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69063" w14:textId="31F6F4A8" w:rsidR="00A30E54" w:rsidRDefault="00954646" w:rsidP="00F770E6">
      <w:pPr>
        <w:pStyle w:val="Bodyaftertablefigure"/>
      </w:pPr>
      <w:r>
        <w:rPr>
          <w:noProof/>
        </w:rPr>
        <w:drawing>
          <wp:anchor distT="0" distB="0" distL="114300" distR="114300" simplePos="0" relativeHeight="251658240" behindDoc="1" locked="1" layoutInCell="1" allowOverlap="1" wp14:anchorId="7467F254" wp14:editId="37F30ECA">
            <wp:simplePos x="0" y="0"/>
            <wp:positionH relativeFrom="margin">
              <wp:align>center</wp:align>
            </wp:positionH>
            <wp:positionV relativeFrom="page">
              <wp:align>top</wp:align>
            </wp:positionV>
            <wp:extent cx="7559040" cy="10678160"/>
            <wp:effectExtent l="0" t="0" r="3810" b="0"/>
            <wp:wrapNone/>
            <wp:docPr id="2" name="Picture 2" descr="Commission for Gender Equality in the Public Sector,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mission for Gender Equality in the Public Sector, Victoria State Government"/>
                    <pic:cNvPicPr/>
                  </pic:nvPicPr>
                  <pic:blipFill>
                    <a:blip r:embed="rId11"/>
                    <a:stretch>
                      <a:fillRect/>
                    </a:stretch>
                  </pic:blipFill>
                  <pic:spPr>
                    <a:xfrm>
                      <a:off x="0" y="0"/>
                      <a:ext cx="7559040" cy="10678160"/>
                    </a:xfrm>
                    <a:prstGeom prst="rect">
                      <a:avLst/>
                    </a:prstGeom>
                  </pic:spPr>
                </pic:pic>
              </a:graphicData>
            </a:graphic>
            <wp14:sizeRelH relativeFrom="margin">
              <wp14:pctWidth>0</wp14:pctWidth>
            </wp14:sizeRelH>
            <wp14:sizeRelV relativeFrom="margin">
              <wp14:pctHeight>0</wp14:pctHeight>
            </wp14:sizeRelV>
          </wp:anchor>
        </w:drawing>
      </w:r>
    </w:p>
    <w:p w14:paraId="6DDC43F5" w14:textId="50D6DF2A" w:rsidR="004979D2" w:rsidRPr="00431F42" w:rsidRDefault="005551DE" w:rsidP="003B0164">
      <w:pPr>
        <w:pStyle w:val="Documenttitle"/>
      </w:pPr>
      <w:r w:rsidRPr="005551DE">
        <w:t>State of gender equality in Victoria</w:t>
      </w:r>
      <w:r w:rsidR="00AA1117">
        <w:t>’s public sector</w:t>
      </w:r>
      <w:r w:rsidRPr="005551DE">
        <w:t xml:space="preserve"> 2026</w:t>
      </w:r>
    </w:p>
    <w:p w14:paraId="36280105" w14:textId="65F4AA72" w:rsidR="004979D2" w:rsidRPr="00A1389F" w:rsidRDefault="00BC682B" w:rsidP="003B0164">
      <w:pPr>
        <w:pStyle w:val="Documentsubtitle"/>
      </w:pPr>
      <w:r w:rsidRPr="00C27278">
        <w:t>Progress</w:t>
      </w:r>
      <w:r w:rsidR="00DF79FC">
        <w:t xml:space="preserve">, persistence and </w:t>
      </w:r>
      <w:r w:rsidR="005B1B9A">
        <w:t>priorities</w:t>
      </w:r>
      <w:r w:rsidRPr="00C27278">
        <w:t xml:space="preserve"> </w:t>
      </w:r>
      <w:r w:rsidR="005551DE" w:rsidRPr="005551DE">
        <w:t>under the Gender Equality Act</w:t>
      </w:r>
    </w:p>
    <w:p w14:paraId="2B2D6674" w14:textId="77777777" w:rsidR="00A30E54" w:rsidRDefault="00A30E54" w:rsidP="0078531C">
      <w:pPr>
        <w:pStyle w:val="BodyText"/>
      </w:pPr>
    </w:p>
    <w:p w14:paraId="3B4B7FED" w14:textId="5A778641" w:rsidR="00FE4081" w:rsidRPr="00FE4081" w:rsidRDefault="00FE4081" w:rsidP="0078531C">
      <w:pPr>
        <w:pStyle w:val="BodyText"/>
        <w:sectPr w:rsidR="00FE4081" w:rsidRPr="00FE4081" w:rsidSect="00C461DD">
          <w:headerReference w:type="default" r:id="rId12"/>
          <w:footerReference w:type="even" r:id="rId13"/>
          <w:footerReference w:type="default" r:id="rId14"/>
          <w:footerReference w:type="first" r:id="rId15"/>
          <w:type w:val="continuous"/>
          <w:pgSz w:w="11906" w:h="16838" w:code="9"/>
          <w:pgMar w:top="1701" w:right="1304" w:bottom="1418" w:left="1361" w:header="680" w:footer="851" w:gutter="0"/>
          <w:cols w:space="340"/>
          <w:titlePg/>
          <w:docGrid w:linePitch="360"/>
        </w:sectPr>
      </w:pPr>
    </w:p>
    <w:p w14:paraId="5A1EC0B6" w14:textId="77777777" w:rsidR="004A753E" w:rsidRDefault="004A753E" w:rsidP="004A753E">
      <w:pPr>
        <w:pStyle w:val="Accessibilitypara"/>
      </w:pPr>
      <w:r w:rsidRPr="00F25E54">
        <w:lastRenderedPageBreak/>
        <w:t xml:space="preserve">To receive this document in another format, </w:t>
      </w:r>
      <w:r w:rsidRPr="004C5A3E">
        <w:t>email Commission for Gender Equality in the Public Sector</w:t>
      </w:r>
      <w:r>
        <w:t xml:space="preserve"> </w:t>
      </w:r>
      <w:hyperlink r:id="rId16" w:history="1">
        <w:r w:rsidRPr="003D1E5F">
          <w:rPr>
            <w:rStyle w:val="Hyperlink"/>
          </w:rPr>
          <w:t>enquiries@genderequalitycommission.vic.gov.au</w:t>
        </w:r>
      </w:hyperlink>
    </w:p>
    <w:p w14:paraId="74847BD4" w14:textId="77777777" w:rsidR="004A753E" w:rsidRPr="00FE5FD8" w:rsidRDefault="004A753E" w:rsidP="004A753E">
      <w:pPr>
        <w:pStyle w:val="Imprint"/>
      </w:pPr>
      <w:r w:rsidRPr="00FE5FD8">
        <w:t>Authorised and published by the Victorian Government, 1 Treasury Place, Melbourne.</w:t>
      </w:r>
    </w:p>
    <w:p w14:paraId="198F63E3" w14:textId="189E1435" w:rsidR="004A753E" w:rsidRDefault="004A753E" w:rsidP="004A753E">
      <w:pPr>
        <w:pStyle w:val="Imprint"/>
        <w:rPr>
          <w:color w:val="87189D"/>
        </w:rPr>
      </w:pPr>
      <w:r w:rsidRPr="00FE5FD8">
        <w:t>© State of Victoria,</w:t>
      </w:r>
      <w:r w:rsidRPr="0055119B">
        <w:t xml:space="preserve"> Australia, </w:t>
      </w:r>
      <w:r w:rsidRPr="00C461DD">
        <w:t>Commission for Gender Equality in the Public Sector</w:t>
      </w:r>
      <w:r w:rsidRPr="0055119B">
        <w:t xml:space="preserve">, </w:t>
      </w:r>
      <w:r w:rsidR="00505D7A">
        <w:t>August 2026</w:t>
      </w:r>
      <w:r w:rsidRPr="00025223">
        <w:rPr>
          <w:color w:val="87189D"/>
        </w:rPr>
        <w:t>.</w:t>
      </w:r>
    </w:p>
    <w:p w14:paraId="2CF7B649" w14:textId="77777777" w:rsidR="004A753E" w:rsidRPr="00EA2FFB" w:rsidRDefault="004A753E" w:rsidP="004A753E">
      <w:pPr>
        <w:pStyle w:val="Imprint"/>
        <w:rPr>
          <w:color w:val="87189D"/>
        </w:rPr>
      </w:pPr>
      <w:r w:rsidRPr="00EA2FFB">
        <w:rPr>
          <w:noProof/>
          <w:color w:val="87189D"/>
        </w:rPr>
        <w:drawing>
          <wp:inline distT="0" distB="0" distL="0" distR="0" wp14:anchorId="56397BDF" wp14:editId="7651ED2E">
            <wp:extent cx="1219200" cy="419100"/>
            <wp:effectExtent l="0" t="0" r="0" b="0"/>
            <wp:docPr id="1011051470" name="Picture 3" descr="Description: CC (Creative commons)_by">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C (Creative commons)_by">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419100"/>
                    </a:xfrm>
                    <a:prstGeom prst="rect">
                      <a:avLst/>
                    </a:prstGeom>
                    <a:noFill/>
                    <a:ln>
                      <a:noFill/>
                    </a:ln>
                  </pic:spPr>
                </pic:pic>
              </a:graphicData>
            </a:graphic>
          </wp:inline>
        </w:drawing>
      </w:r>
    </w:p>
    <w:p w14:paraId="3618D88D" w14:textId="4D4BBB58" w:rsidR="004A753E" w:rsidRPr="00EA2FFB" w:rsidRDefault="004A753E" w:rsidP="004A753E">
      <w:pPr>
        <w:pStyle w:val="Imprint"/>
      </w:pPr>
      <w:r w:rsidRPr="00EA2FFB">
        <w:t>With the exception of any images, photographs</w:t>
      </w:r>
      <w:r w:rsidR="0053080E" w:rsidRPr="00EA2FFB">
        <w:t>,</w:t>
      </w:r>
      <w:r w:rsidRPr="00EA2FFB">
        <w:t xml:space="preserve"> or branding (including, but not limited to the Victorian Coat of Arms, the Victorian Government logo</w:t>
      </w:r>
      <w:r w:rsidR="00F108CF" w:rsidRPr="00EA2FFB">
        <w:t>,</w:t>
      </w:r>
      <w:r w:rsidRPr="00EA2FFB">
        <w:t xml:space="preserve"> or the </w:t>
      </w:r>
      <w:r w:rsidR="009813B0">
        <w:t xml:space="preserve">Commission for Gender Equality </w:t>
      </w:r>
      <w:r w:rsidR="000F6779">
        <w:t>in the Public Sector</w:t>
      </w:r>
      <w:r w:rsidRPr="00EA2FFB">
        <w:t xml:space="preserve"> logo), this work, </w:t>
      </w:r>
      <w:r w:rsidR="00AA1117" w:rsidRPr="00AA1117">
        <w:rPr>
          <w:i/>
          <w:iCs/>
          <w:color w:val="auto"/>
        </w:rPr>
        <w:t>State</w:t>
      </w:r>
      <w:r w:rsidRPr="00AA1117">
        <w:rPr>
          <w:i/>
          <w:color w:val="auto"/>
        </w:rPr>
        <w:t xml:space="preserve"> of </w:t>
      </w:r>
      <w:r w:rsidR="00AA1117" w:rsidRPr="00AA1117">
        <w:rPr>
          <w:i/>
          <w:iCs/>
          <w:color w:val="auto"/>
        </w:rPr>
        <w:t>gender equality in Victoria’s public sector 2026: Progress, persistence and priorities under the Gender Equality Act</w:t>
      </w:r>
      <w:r w:rsidRPr="00EA2FFB">
        <w:t>, is licensed under a Creative Commons Attribution 4.0 licence.</w:t>
      </w:r>
    </w:p>
    <w:p w14:paraId="72385E61" w14:textId="77777777" w:rsidR="004A753E" w:rsidRPr="00EA2FFB" w:rsidRDefault="004A753E" w:rsidP="004A753E">
      <w:pPr>
        <w:pStyle w:val="Imprint"/>
      </w:pPr>
      <w:r w:rsidRPr="00EA2FFB">
        <w:t xml:space="preserve">The terms and conditions of this licence, including disclaimer of warranties and limitation of liability are available at </w:t>
      </w:r>
      <w:hyperlink r:id="rId19" w:history="1">
        <w:r w:rsidRPr="00EA2FFB">
          <w:rPr>
            <w:rStyle w:val="Hyperlink"/>
          </w:rPr>
          <w:t xml:space="preserve">Creative Commons Attribution 4.0 International Public License </w:t>
        </w:r>
      </w:hyperlink>
      <w:r w:rsidRPr="00EA2FFB">
        <w:t>https://creativecommons.org/licenses/by/4.0/.</w:t>
      </w:r>
    </w:p>
    <w:p w14:paraId="7789A22D" w14:textId="77777777" w:rsidR="004A753E" w:rsidRPr="00EA2FFB" w:rsidRDefault="004A753E" w:rsidP="004A753E">
      <w:pPr>
        <w:pStyle w:val="Imprint"/>
      </w:pPr>
      <w:r w:rsidRPr="00EA2FFB">
        <w:t>You are free to re-use the work under that licence, on the condition that you credit the State of Victoria, Australia (</w:t>
      </w:r>
      <w:r w:rsidRPr="00C461DD">
        <w:t>Commission for Gender Equality in the Public Sector</w:t>
      </w:r>
      <w:r w:rsidRPr="00EA2FFB">
        <w:t>) as the author, indicate if any changes have been made to the work and comply with the other licence terms.</w:t>
      </w:r>
    </w:p>
    <w:p w14:paraId="3BA002CF" w14:textId="103015BD" w:rsidR="004A753E" w:rsidRPr="0055119B" w:rsidRDefault="00230489" w:rsidP="004A753E">
      <w:pPr>
        <w:pStyle w:val="Imprint"/>
      </w:pPr>
      <w:r w:rsidRPr="00230489">
        <w:rPr>
          <w:b/>
          <w:bCs/>
        </w:rPr>
        <w:t xml:space="preserve">ISBN </w:t>
      </w:r>
      <w:r w:rsidRPr="004444B7">
        <w:rPr>
          <w:b/>
        </w:rPr>
        <w:t>978-1-76171-197-8 (</w:t>
      </w:r>
      <w:r w:rsidRPr="00230489">
        <w:rPr>
          <w:b/>
          <w:bCs/>
        </w:rPr>
        <w:t>pdf/online/MS word)</w:t>
      </w:r>
      <w:r w:rsidRPr="00230489">
        <w:t xml:space="preserve"> </w:t>
      </w:r>
      <w:r w:rsidR="004A753E" w:rsidRPr="0055119B">
        <w:t xml:space="preserve">Available at </w:t>
      </w:r>
      <w:hyperlink r:id="rId20" w:history="1">
        <w:r w:rsidR="00295E50">
          <w:rPr>
            <w:rStyle w:val="Hyperlink"/>
            <w:rFonts w:cs="Times New Roman"/>
          </w:rPr>
          <w:t>State of gender equality in Victoria's public sector 2026</w:t>
        </w:r>
      </w:hyperlink>
      <w:r w:rsidR="004A753E" w:rsidRPr="00E33237">
        <w:t xml:space="preserve"> </w:t>
      </w:r>
      <w:r w:rsidR="00C624B0">
        <w:t>&lt;</w:t>
      </w:r>
      <w:r w:rsidR="00C624B0" w:rsidRPr="00E0173B">
        <w:t>https://www.genderequalitycommission.vic.gov.au/state-gender-equality-victorias-public-sector</w:t>
      </w:r>
      <w:r w:rsidR="00C624B0">
        <w:t>&gt;</w:t>
      </w:r>
      <w:r w:rsidR="004A753E" w:rsidRPr="00E33237">
        <w:t xml:space="preserve"> </w:t>
      </w:r>
    </w:p>
    <w:p w14:paraId="0A182FBD" w14:textId="328F7B3D" w:rsidR="0008204A" w:rsidRPr="0008204A" w:rsidRDefault="0008204A" w:rsidP="0078531C">
      <w:pPr>
        <w:pStyle w:val="BodyText"/>
      </w:pPr>
      <w:r w:rsidRPr="0008204A">
        <w:br w:type="page"/>
      </w:r>
    </w:p>
    <w:p w14:paraId="4028DB6E" w14:textId="0B4EE14E" w:rsidR="00AD784C" w:rsidRPr="00B57329" w:rsidRDefault="00AD784C" w:rsidP="002365B4">
      <w:pPr>
        <w:pStyle w:val="TOCheadingreport"/>
      </w:pPr>
      <w:r w:rsidRPr="00B57329">
        <w:lastRenderedPageBreak/>
        <w:t>Contents</w:t>
      </w:r>
    </w:p>
    <w:p w14:paraId="711399CC" w14:textId="2DA48009" w:rsidR="00B2609D"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259496" w:history="1">
        <w:r w:rsidR="00B2609D" w:rsidRPr="00B66888">
          <w:rPr>
            <w:rStyle w:val="Hyperlink"/>
          </w:rPr>
          <w:t>Acknowledgement of Country</w:t>
        </w:r>
        <w:r w:rsidR="00B2609D">
          <w:rPr>
            <w:webHidden/>
          </w:rPr>
          <w:tab/>
        </w:r>
        <w:r w:rsidR="00B2609D">
          <w:rPr>
            <w:webHidden/>
          </w:rPr>
          <w:fldChar w:fldCharType="begin"/>
        </w:r>
        <w:r w:rsidR="00B2609D">
          <w:rPr>
            <w:webHidden/>
          </w:rPr>
          <w:instrText xml:space="preserve"> PAGEREF _Toc237259496 \h </w:instrText>
        </w:r>
        <w:r w:rsidR="00B2609D">
          <w:rPr>
            <w:webHidden/>
          </w:rPr>
        </w:r>
        <w:r w:rsidR="00B2609D">
          <w:rPr>
            <w:webHidden/>
          </w:rPr>
          <w:fldChar w:fldCharType="separate"/>
        </w:r>
        <w:r w:rsidR="00B2609D">
          <w:rPr>
            <w:webHidden/>
          </w:rPr>
          <w:t>5</w:t>
        </w:r>
        <w:r w:rsidR="00B2609D">
          <w:rPr>
            <w:webHidden/>
          </w:rPr>
          <w:fldChar w:fldCharType="end"/>
        </w:r>
      </w:hyperlink>
    </w:p>
    <w:p w14:paraId="18001A47" w14:textId="4FB9B5C7"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497" w:history="1">
        <w:r w:rsidRPr="00B66888">
          <w:rPr>
            <w:rStyle w:val="Hyperlink"/>
          </w:rPr>
          <w:t>Message from the Minister for Women and Gender Equality</w:t>
        </w:r>
        <w:r>
          <w:rPr>
            <w:webHidden/>
          </w:rPr>
          <w:tab/>
        </w:r>
        <w:r>
          <w:rPr>
            <w:webHidden/>
          </w:rPr>
          <w:fldChar w:fldCharType="begin"/>
        </w:r>
        <w:r>
          <w:rPr>
            <w:webHidden/>
          </w:rPr>
          <w:instrText xml:space="preserve"> PAGEREF _Toc237259497 \h </w:instrText>
        </w:r>
        <w:r>
          <w:rPr>
            <w:webHidden/>
          </w:rPr>
        </w:r>
        <w:r>
          <w:rPr>
            <w:webHidden/>
          </w:rPr>
          <w:fldChar w:fldCharType="separate"/>
        </w:r>
        <w:r>
          <w:rPr>
            <w:webHidden/>
          </w:rPr>
          <w:t>6</w:t>
        </w:r>
        <w:r>
          <w:rPr>
            <w:webHidden/>
          </w:rPr>
          <w:fldChar w:fldCharType="end"/>
        </w:r>
      </w:hyperlink>
    </w:p>
    <w:p w14:paraId="56FCD050" w14:textId="114A97D5"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498" w:history="1">
        <w:r w:rsidRPr="00B66888">
          <w:rPr>
            <w:rStyle w:val="Hyperlink"/>
          </w:rPr>
          <w:t>Commissioner’s foreword</w:t>
        </w:r>
        <w:r>
          <w:rPr>
            <w:webHidden/>
          </w:rPr>
          <w:tab/>
        </w:r>
        <w:r>
          <w:rPr>
            <w:webHidden/>
          </w:rPr>
          <w:fldChar w:fldCharType="begin"/>
        </w:r>
        <w:r>
          <w:rPr>
            <w:webHidden/>
          </w:rPr>
          <w:instrText xml:space="preserve"> PAGEREF _Toc237259498 \h </w:instrText>
        </w:r>
        <w:r>
          <w:rPr>
            <w:webHidden/>
          </w:rPr>
        </w:r>
        <w:r>
          <w:rPr>
            <w:webHidden/>
          </w:rPr>
          <w:fldChar w:fldCharType="separate"/>
        </w:r>
        <w:r>
          <w:rPr>
            <w:webHidden/>
          </w:rPr>
          <w:t>7</w:t>
        </w:r>
        <w:r>
          <w:rPr>
            <w:webHidden/>
          </w:rPr>
          <w:fldChar w:fldCharType="end"/>
        </w:r>
      </w:hyperlink>
    </w:p>
    <w:p w14:paraId="3BD06195" w14:textId="688390FC"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499" w:history="1">
        <w:r w:rsidRPr="00B66888">
          <w:rPr>
            <w:rStyle w:val="Hyperlink"/>
          </w:rPr>
          <w:t>Executive summary</w:t>
        </w:r>
        <w:r>
          <w:rPr>
            <w:webHidden/>
          </w:rPr>
          <w:tab/>
        </w:r>
        <w:r>
          <w:rPr>
            <w:webHidden/>
          </w:rPr>
          <w:fldChar w:fldCharType="begin"/>
        </w:r>
        <w:r>
          <w:rPr>
            <w:webHidden/>
          </w:rPr>
          <w:instrText xml:space="preserve"> PAGEREF _Toc237259499 \h </w:instrText>
        </w:r>
        <w:r>
          <w:rPr>
            <w:webHidden/>
          </w:rPr>
        </w:r>
        <w:r>
          <w:rPr>
            <w:webHidden/>
          </w:rPr>
          <w:fldChar w:fldCharType="separate"/>
        </w:r>
        <w:r>
          <w:rPr>
            <w:webHidden/>
          </w:rPr>
          <w:t>9</w:t>
        </w:r>
        <w:r>
          <w:rPr>
            <w:webHidden/>
          </w:rPr>
          <w:fldChar w:fldCharType="end"/>
        </w:r>
      </w:hyperlink>
    </w:p>
    <w:p w14:paraId="443C66C6" w14:textId="2605FFFA"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0" w:history="1">
        <w:r w:rsidRPr="00B66888">
          <w:rPr>
            <w:rStyle w:val="Hyperlink"/>
            <w:lang w:eastAsia="en-AU"/>
          </w:rPr>
          <w:t>What’s changed</w:t>
        </w:r>
        <w:r>
          <w:rPr>
            <w:webHidden/>
          </w:rPr>
          <w:tab/>
        </w:r>
        <w:r>
          <w:rPr>
            <w:webHidden/>
          </w:rPr>
          <w:fldChar w:fldCharType="begin"/>
        </w:r>
        <w:r>
          <w:rPr>
            <w:webHidden/>
          </w:rPr>
          <w:instrText xml:space="preserve"> PAGEREF _Toc237259500 \h </w:instrText>
        </w:r>
        <w:r>
          <w:rPr>
            <w:webHidden/>
          </w:rPr>
        </w:r>
        <w:r>
          <w:rPr>
            <w:webHidden/>
          </w:rPr>
          <w:fldChar w:fldCharType="separate"/>
        </w:r>
        <w:r>
          <w:rPr>
            <w:webHidden/>
          </w:rPr>
          <w:t>9</w:t>
        </w:r>
        <w:r>
          <w:rPr>
            <w:webHidden/>
          </w:rPr>
          <w:fldChar w:fldCharType="end"/>
        </w:r>
      </w:hyperlink>
    </w:p>
    <w:p w14:paraId="5C3F8502" w14:textId="791DDBEA"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1" w:history="1">
        <w:r w:rsidRPr="00B66888">
          <w:rPr>
            <w:rStyle w:val="Hyperlink"/>
            <w:lang w:eastAsia="en-AU"/>
          </w:rPr>
          <w:t>Where more attention is needed</w:t>
        </w:r>
        <w:r>
          <w:rPr>
            <w:webHidden/>
          </w:rPr>
          <w:tab/>
        </w:r>
        <w:r>
          <w:rPr>
            <w:webHidden/>
          </w:rPr>
          <w:fldChar w:fldCharType="begin"/>
        </w:r>
        <w:r>
          <w:rPr>
            <w:webHidden/>
          </w:rPr>
          <w:instrText xml:space="preserve"> PAGEREF _Toc237259501 \h </w:instrText>
        </w:r>
        <w:r>
          <w:rPr>
            <w:webHidden/>
          </w:rPr>
        </w:r>
        <w:r>
          <w:rPr>
            <w:webHidden/>
          </w:rPr>
          <w:fldChar w:fldCharType="separate"/>
        </w:r>
        <w:r>
          <w:rPr>
            <w:webHidden/>
          </w:rPr>
          <w:t>10</w:t>
        </w:r>
        <w:r>
          <w:rPr>
            <w:webHidden/>
          </w:rPr>
          <w:fldChar w:fldCharType="end"/>
        </w:r>
      </w:hyperlink>
    </w:p>
    <w:p w14:paraId="0BDE77B8" w14:textId="24AA1AF4"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2" w:history="1">
        <w:r w:rsidRPr="00B66888">
          <w:rPr>
            <w:rStyle w:val="Hyperlink"/>
            <w:lang w:eastAsia="en-AU"/>
          </w:rPr>
          <w:t>Where better data is needed</w:t>
        </w:r>
        <w:r>
          <w:rPr>
            <w:webHidden/>
          </w:rPr>
          <w:tab/>
        </w:r>
        <w:r>
          <w:rPr>
            <w:webHidden/>
          </w:rPr>
          <w:fldChar w:fldCharType="begin"/>
        </w:r>
        <w:r>
          <w:rPr>
            <w:webHidden/>
          </w:rPr>
          <w:instrText xml:space="preserve"> PAGEREF _Toc237259502 \h </w:instrText>
        </w:r>
        <w:r>
          <w:rPr>
            <w:webHidden/>
          </w:rPr>
        </w:r>
        <w:r>
          <w:rPr>
            <w:webHidden/>
          </w:rPr>
          <w:fldChar w:fldCharType="separate"/>
        </w:r>
        <w:r>
          <w:rPr>
            <w:webHidden/>
          </w:rPr>
          <w:t>10</w:t>
        </w:r>
        <w:r>
          <w:rPr>
            <w:webHidden/>
          </w:rPr>
          <w:fldChar w:fldCharType="end"/>
        </w:r>
      </w:hyperlink>
    </w:p>
    <w:p w14:paraId="70A38716" w14:textId="154A5AF9"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3" w:history="1">
        <w:r w:rsidRPr="00B66888">
          <w:rPr>
            <w:rStyle w:val="Hyperlink"/>
            <w:lang w:eastAsia="en-AU"/>
          </w:rPr>
          <w:t>What this means for duty holders</w:t>
        </w:r>
        <w:r>
          <w:rPr>
            <w:webHidden/>
          </w:rPr>
          <w:tab/>
        </w:r>
        <w:r>
          <w:rPr>
            <w:webHidden/>
          </w:rPr>
          <w:fldChar w:fldCharType="begin"/>
        </w:r>
        <w:r>
          <w:rPr>
            <w:webHidden/>
          </w:rPr>
          <w:instrText xml:space="preserve"> PAGEREF _Toc237259503 \h </w:instrText>
        </w:r>
        <w:r>
          <w:rPr>
            <w:webHidden/>
          </w:rPr>
        </w:r>
        <w:r>
          <w:rPr>
            <w:webHidden/>
          </w:rPr>
          <w:fldChar w:fldCharType="separate"/>
        </w:r>
        <w:r>
          <w:rPr>
            <w:webHidden/>
          </w:rPr>
          <w:t>11</w:t>
        </w:r>
        <w:r>
          <w:rPr>
            <w:webHidden/>
          </w:rPr>
          <w:fldChar w:fldCharType="end"/>
        </w:r>
      </w:hyperlink>
    </w:p>
    <w:p w14:paraId="4C824E81" w14:textId="2B5B3B17"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4" w:history="1">
        <w:r w:rsidRPr="00B66888">
          <w:rPr>
            <w:rStyle w:val="Hyperlink"/>
            <w:lang w:eastAsia="en-AU"/>
          </w:rPr>
          <w:t>The next phase of progress under the Gender Equality Act</w:t>
        </w:r>
        <w:r>
          <w:rPr>
            <w:webHidden/>
          </w:rPr>
          <w:tab/>
        </w:r>
        <w:r>
          <w:rPr>
            <w:webHidden/>
          </w:rPr>
          <w:fldChar w:fldCharType="begin"/>
        </w:r>
        <w:r>
          <w:rPr>
            <w:webHidden/>
          </w:rPr>
          <w:instrText xml:space="preserve"> PAGEREF _Toc237259504 \h </w:instrText>
        </w:r>
        <w:r>
          <w:rPr>
            <w:webHidden/>
          </w:rPr>
        </w:r>
        <w:r>
          <w:rPr>
            <w:webHidden/>
          </w:rPr>
          <w:fldChar w:fldCharType="separate"/>
        </w:r>
        <w:r>
          <w:rPr>
            <w:webHidden/>
          </w:rPr>
          <w:t>11</w:t>
        </w:r>
        <w:r>
          <w:rPr>
            <w:webHidden/>
          </w:rPr>
          <w:fldChar w:fldCharType="end"/>
        </w:r>
      </w:hyperlink>
    </w:p>
    <w:p w14:paraId="3E0A79EA" w14:textId="4580DE73"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05" w:history="1">
        <w:r w:rsidRPr="00B66888">
          <w:rPr>
            <w:rStyle w:val="Hyperlink"/>
          </w:rPr>
          <w:t>Gender equality in the Victorian context</w:t>
        </w:r>
        <w:r>
          <w:rPr>
            <w:webHidden/>
          </w:rPr>
          <w:tab/>
        </w:r>
        <w:r>
          <w:rPr>
            <w:webHidden/>
          </w:rPr>
          <w:fldChar w:fldCharType="begin"/>
        </w:r>
        <w:r>
          <w:rPr>
            <w:webHidden/>
          </w:rPr>
          <w:instrText xml:space="preserve"> PAGEREF _Toc237259505 \h </w:instrText>
        </w:r>
        <w:r>
          <w:rPr>
            <w:webHidden/>
          </w:rPr>
        </w:r>
        <w:r>
          <w:rPr>
            <w:webHidden/>
          </w:rPr>
          <w:fldChar w:fldCharType="separate"/>
        </w:r>
        <w:r>
          <w:rPr>
            <w:webHidden/>
          </w:rPr>
          <w:t>12</w:t>
        </w:r>
        <w:r>
          <w:rPr>
            <w:webHidden/>
          </w:rPr>
          <w:fldChar w:fldCharType="end"/>
        </w:r>
      </w:hyperlink>
    </w:p>
    <w:p w14:paraId="32F3D1B0" w14:textId="4258E42F"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6" w:history="1">
        <w:r w:rsidRPr="00B66888">
          <w:rPr>
            <w:rStyle w:val="Hyperlink"/>
          </w:rPr>
          <w:t>About Victoria’s Commission for Gender Equality in the Public Sector</w:t>
        </w:r>
        <w:r>
          <w:rPr>
            <w:webHidden/>
          </w:rPr>
          <w:tab/>
        </w:r>
        <w:r>
          <w:rPr>
            <w:webHidden/>
          </w:rPr>
          <w:fldChar w:fldCharType="begin"/>
        </w:r>
        <w:r>
          <w:rPr>
            <w:webHidden/>
          </w:rPr>
          <w:instrText xml:space="preserve"> PAGEREF _Toc237259506 \h </w:instrText>
        </w:r>
        <w:r>
          <w:rPr>
            <w:webHidden/>
          </w:rPr>
        </w:r>
        <w:r>
          <w:rPr>
            <w:webHidden/>
          </w:rPr>
          <w:fldChar w:fldCharType="separate"/>
        </w:r>
        <w:r>
          <w:rPr>
            <w:webHidden/>
          </w:rPr>
          <w:t>12</w:t>
        </w:r>
        <w:r>
          <w:rPr>
            <w:webHidden/>
          </w:rPr>
          <w:fldChar w:fldCharType="end"/>
        </w:r>
      </w:hyperlink>
    </w:p>
    <w:p w14:paraId="4EC011F2" w14:textId="3B71A2E2"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7" w:history="1">
        <w:r w:rsidRPr="00B66888">
          <w:rPr>
            <w:rStyle w:val="Hyperlink"/>
            <w:lang w:eastAsia="en-AU"/>
          </w:rPr>
          <w:t>How gender inequality shows up at work</w:t>
        </w:r>
        <w:r>
          <w:rPr>
            <w:webHidden/>
          </w:rPr>
          <w:tab/>
        </w:r>
        <w:r>
          <w:rPr>
            <w:webHidden/>
          </w:rPr>
          <w:fldChar w:fldCharType="begin"/>
        </w:r>
        <w:r>
          <w:rPr>
            <w:webHidden/>
          </w:rPr>
          <w:instrText xml:space="preserve"> PAGEREF _Toc237259507 \h </w:instrText>
        </w:r>
        <w:r>
          <w:rPr>
            <w:webHidden/>
          </w:rPr>
        </w:r>
        <w:r>
          <w:rPr>
            <w:webHidden/>
          </w:rPr>
          <w:fldChar w:fldCharType="separate"/>
        </w:r>
        <w:r>
          <w:rPr>
            <w:webHidden/>
          </w:rPr>
          <w:t>14</w:t>
        </w:r>
        <w:r>
          <w:rPr>
            <w:webHidden/>
          </w:rPr>
          <w:fldChar w:fldCharType="end"/>
        </w:r>
      </w:hyperlink>
    </w:p>
    <w:p w14:paraId="397D55EB" w14:textId="5A6D4D7A"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8" w:history="1">
        <w:r w:rsidRPr="00B66888">
          <w:rPr>
            <w:rStyle w:val="Hyperlink"/>
            <w:lang w:eastAsia="en-AU"/>
          </w:rPr>
          <w:t>Measuring workplace gender inequality</w:t>
        </w:r>
        <w:r>
          <w:rPr>
            <w:webHidden/>
          </w:rPr>
          <w:tab/>
        </w:r>
        <w:r>
          <w:rPr>
            <w:webHidden/>
          </w:rPr>
          <w:fldChar w:fldCharType="begin"/>
        </w:r>
        <w:r>
          <w:rPr>
            <w:webHidden/>
          </w:rPr>
          <w:instrText xml:space="preserve"> PAGEREF _Toc237259508 \h </w:instrText>
        </w:r>
        <w:r>
          <w:rPr>
            <w:webHidden/>
          </w:rPr>
        </w:r>
        <w:r>
          <w:rPr>
            <w:webHidden/>
          </w:rPr>
          <w:fldChar w:fldCharType="separate"/>
        </w:r>
        <w:r>
          <w:rPr>
            <w:webHidden/>
          </w:rPr>
          <w:t>14</w:t>
        </w:r>
        <w:r>
          <w:rPr>
            <w:webHidden/>
          </w:rPr>
          <w:fldChar w:fldCharType="end"/>
        </w:r>
      </w:hyperlink>
    </w:p>
    <w:p w14:paraId="1855EC85" w14:textId="3D5D146C"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09" w:history="1">
        <w:r w:rsidRPr="00B66888">
          <w:rPr>
            <w:rStyle w:val="Hyperlink"/>
            <w:lang w:eastAsia="en-AU"/>
          </w:rPr>
          <w:t>Measuring gender inequality outside the binary</w:t>
        </w:r>
        <w:r>
          <w:rPr>
            <w:webHidden/>
          </w:rPr>
          <w:tab/>
        </w:r>
        <w:r>
          <w:rPr>
            <w:webHidden/>
          </w:rPr>
          <w:fldChar w:fldCharType="begin"/>
        </w:r>
        <w:r>
          <w:rPr>
            <w:webHidden/>
          </w:rPr>
          <w:instrText xml:space="preserve"> PAGEREF _Toc237259509 \h </w:instrText>
        </w:r>
        <w:r>
          <w:rPr>
            <w:webHidden/>
          </w:rPr>
        </w:r>
        <w:r>
          <w:rPr>
            <w:webHidden/>
          </w:rPr>
          <w:fldChar w:fldCharType="separate"/>
        </w:r>
        <w:r>
          <w:rPr>
            <w:webHidden/>
          </w:rPr>
          <w:t>16</w:t>
        </w:r>
        <w:r>
          <w:rPr>
            <w:webHidden/>
          </w:rPr>
          <w:fldChar w:fldCharType="end"/>
        </w:r>
      </w:hyperlink>
    </w:p>
    <w:p w14:paraId="335F5D1E" w14:textId="16C1D874"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0" w:history="1">
        <w:r w:rsidRPr="00B66888">
          <w:rPr>
            <w:rStyle w:val="Hyperlink"/>
            <w:lang w:eastAsia="en-AU"/>
          </w:rPr>
          <w:t>The Victorian public sector context</w:t>
        </w:r>
        <w:r>
          <w:rPr>
            <w:webHidden/>
          </w:rPr>
          <w:tab/>
        </w:r>
        <w:r>
          <w:rPr>
            <w:webHidden/>
          </w:rPr>
          <w:fldChar w:fldCharType="begin"/>
        </w:r>
        <w:r>
          <w:rPr>
            <w:webHidden/>
          </w:rPr>
          <w:instrText xml:space="preserve"> PAGEREF _Toc237259510 \h </w:instrText>
        </w:r>
        <w:r>
          <w:rPr>
            <w:webHidden/>
          </w:rPr>
        </w:r>
        <w:r>
          <w:rPr>
            <w:webHidden/>
          </w:rPr>
          <w:fldChar w:fldCharType="separate"/>
        </w:r>
        <w:r>
          <w:rPr>
            <w:webHidden/>
          </w:rPr>
          <w:t>16</w:t>
        </w:r>
        <w:r>
          <w:rPr>
            <w:webHidden/>
          </w:rPr>
          <w:fldChar w:fldCharType="end"/>
        </w:r>
      </w:hyperlink>
    </w:p>
    <w:p w14:paraId="6C842794" w14:textId="132A866A"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11" w:history="1">
        <w:r w:rsidRPr="00B66888">
          <w:rPr>
            <w:rStyle w:val="Hyperlink"/>
          </w:rPr>
          <w:t>About this report</w:t>
        </w:r>
        <w:r>
          <w:rPr>
            <w:webHidden/>
          </w:rPr>
          <w:tab/>
        </w:r>
        <w:r>
          <w:rPr>
            <w:webHidden/>
          </w:rPr>
          <w:fldChar w:fldCharType="begin"/>
        </w:r>
        <w:r>
          <w:rPr>
            <w:webHidden/>
          </w:rPr>
          <w:instrText xml:space="preserve"> PAGEREF _Toc237259511 \h </w:instrText>
        </w:r>
        <w:r>
          <w:rPr>
            <w:webHidden/>
          </w:rPr>
        </w:r>
        <w:r>
          <w:rPr>
            <w:webHidden/>
          </w:rPr>
          <w:fldChar w:fldCharType="separate"/>
        </w:r>
        <w:r>
          <w:rPr>
            <w:webHidden/>
          </w:rPr>
          <w:t>17</w:t>
        </w:r>
        <w:r>
          <w:rPr>
            <w:webHidden/>
          </w:rPr>
          <w:fldChar w:fldCharType="end"/>
        </w:r>
      </w:hyperlink>
    </w:p>
    <w:p w14:paraId="24EF573F" w14:textId="1C82BD8D"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2" w:history="1">
        <w:r w:rsidRPr="00B66888">
          <w:rPr>
            <w:rStyle w:val="Hyperlink"/>
            <w:lang w:eastAsia="en-AU"/>
          </w:rPr>
          <w:t>How we rate progress</w:t>
        </w:r>
        <w:r>
          <w:rPr>
            <w:webHidden/>
          </w:rPr>
          <w:tab/>
        </w:r>
        <w:r>
          <w:rPr>
            <w:webHidden/>
          </w:rPr>
          <w:fldChar w:fldCharType="begin"/>
        </w:r>
        <w:r>
          <w:rPr>
            <w:webHidden/>
          </w:rPr>
          <w:instrText xml:space="preserve"> PAGEREF _Toc237259512 \h </w:instrText>
        </w:r>
        <w:r>
          <w:rPr>
            <w:webHidden/>
          </w:rPr>
        </w:r>
        <w:r>
          <w:rPr>
            <w:webHidden/>
          </w:rPr>
          <w:fldChar w:fldCharType="separate"/>
        </w:r>
        <w:r>
          <w:rPr>
            <w:webHidden/>
          </w:rPr>
          <w:t>18</w:t>
        </w:r>
        <w:r>
          <w:rPr>
            <w:webHidden/>
          </w:rPr>
          <w:fldChar w:fldCharType="end"/>
        </w:r>
      </w:hyperlink>
    </w:p>
    <w:p w14:paraId="0CF2D6BE" w14:textId="694C7459"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13" w:history="1">
        <w:r w:rsidRPr="00B66888">
          <w:rPr>
            <w:rStyle w:val="Hyperlink"/>
          </w:rPr>
          <w:t>Indicator 1: Gender composition of the workforce</w:t>
        </w:r>
        <w:r>
          <w:rPr>
            <w:webHidden/>
          </w:rPr>
          <w:tab/>
        </w:r>
        <w:r>
          <w:rPr>
            <w:webHidden/>
          </w:rPr>
          <w:fldChar w:fldCharType="begin"/>
        </w:r>
        <w:r>
          <w:rPr>
            <w:webHidden/>
          </w:rPr>
          <w:instrText xml:space="preserve"> PAGEREF _Toc237259513 \h </w:instrText>
        </w:r>
        <w:r>
          <w:rPr>
            <w:webHidden/>
          </w:rPr>
        </w:r>
        <w:r>
          <w:rPr>
            <w:webHidden/>
          </w:rPr>
          <w:fldChar w:fldCharType="separate"/>
        </w:r>
        <w:r>
          <w:rPr>
            <w:webHidden/>
          </w:rPr>
          <w:t>19</w:t>
        </w:r>
        <w:r>
          <w:rPr>
            <w:webHidden/>
          </w:rPr>
          <w:fldChar w:fldCharType="end"/>
        </w:r>
      </w:hyperlink>
    </w:p>
    <w:p w14:paraId="5B24FC1B" w14:textId="06BFEFD8"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4" w:history="1">
        <w:r w:rsidRPr="00B66888">
          <w:rPr>
            <w:rStyle w:val="Hyperlink"/>
          </w:rPr>
          <w:t>Why this matters</w:t>
        </w:r>
        <w:r>
          <w:rPr>
            <w:webHidden/>
          </w:rPr>
          <w:tab/>
        </w:r>
        <w:r>
          <w:rPr>
            <w:webHidden/>
          </w:rPr>
          <w:fldChar w:fldCharType="begin"/>
        </w:r>
        <w:r>
          <w:rPr>
            <w:webHidden/>
          </w:rPr>
          <w:instrText xml:space="preserve"> PAGEREF _Toc237259514 \h </w:instrText>
        </w:r>
        <w:r>
          <w:rPr>
            <w:webHidden/>
          </w:rPr>
        </w:r>
        <w:r>
          <w:rPr>
            <w:webHidden/>
          </w:rPr>
          <w:fldChar w:fldCharType="separate"/>
        </w:r>
        <w:r>
          <w:rPr>
            <w:webHidden/>
          </w:rPr>
          <w:t>19</w:t>
        </w:r>
        <w:r>
          <w:rPr>
            <w:webHidden/>
          </w:rPr>
          <w:fldChar w:fldCharType="end"/>
        </w:r>
      </w:hyperlink>
    </w:p>
    <w:p w14:paraId="34E883C8" w14:textId="7A2B0161"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5" w:history="1">
        <w:r w:rsidRPr="00B66888">
          <w:rPr>
            <w:rStyle w:val="Hyperlink"/>
          </w:rPr>
          <w:t>How we define progress</w:t>
        </w:r>
        <w:r>
          <w:rPr>
            <w:webHidden/>
          </w:rPr>
          <w:tab/>
        </w:r>
        <w:r>
          <w:rPr>
            <w:webHidden/>
          </w:rPr>
          <w:fldChar w:fldCharType="begin"/>
        </w:r>
        <w:r>
          <w:rPr>
            <w:webHidden/>
          </w:rPr>
          <w:instrText xml:space="preserve"> PAGEREF _Toc237259515 \h </w:instrText>
        </w:r>
        <w:r>
          <w:rPr>
            <w:webHidden/>
          </w:rPr>
        </w:r>
        <w:r>
          <w:rPr>
            <w:webHidden/>
          </w:rPr>
          <w:fldChar w:fldCharType="separate"/>
        </w:r>
        <w:r>
          <w:rPr>
            <w:webHidden/>
          </w:rPr>
          <w:t>19</w:t>
        </w:r>
        <w:r>
          <w:rPr>
            <w:webHidden/>
          </w:rPr>
          <w:fldChar w:fldCharType="end"/>
        </w:r>
      </w:hyperlink>
    </w:p>
    <w:p w14:paraId="57145FAE" w14:textId="738B1F17"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6" w:history="1">
        <w:r w:rsidRPr="00B66888">
          <w:rPr>
            <w:rStyle w:val="Hyperlink"/>
          </w:rPr>
          <w:t>Progress between 2021 and 2025</w:t>
        </w:r>
        <w:r>
          <w:rPr>
            <w:webHidden/>
          </w:rPr>
          <w:tab/>
        </w:r>
        <w:r>
          <w:rPr>
            <w:webHidden/>
          </w:rPr>
          <w:fldChar w:fldCharType="begin"/>
        </w:r>
        <w:r>
          <w:rPr>
            <w:webHidden/>
          </w:rPr>
          <w:instrText xml:space="preserve"> PAGEREF _Toc237259516 \h </w:instrText>
        </w:r>
        <w:r>
          <w:rPr>
            <w:webHidden/>
          </w:rPr>
        </w:r>
        <w:r>
          <w:rPr>
            <w:webHidden/>
          </w:rPr>
          <w:fldChar w:fldCharType="separate"/>
        </w:r>
        <w:r>
          <w:rPr>
            <w:webHidden/>
          </w:rPr>
          <w:t>20</w:t>
        </w:r>
        <w:r>
          <w:rPr>
            <w:webHidden/>
          </w:rPr>
          <w:fldChar w:fldCharType="end"/>
        </w:r>
      </w:hyperlink>
    </w:p>
    <w:p w14:paraId="43A76FC0" w14:textId="6E73F426"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7" w:history="1">
        <w:r w:rsidRPr="00B66888">
          <w:rPr>
            <w:rStyle w:val="Hyperlink"/>
          </w:rPr>
          <w:t>Commissioner expectations</w:t>
        </w:r>
        <w:r>
          <w:rPr>
            <w:webHidden/>
          </w:rPr>
          <w:tab/>
        </w:r>
        <w:r>
          <w:rPr>
            <w:webHidden/>
          </w:rPr>
          <w:fldChar w:fldCharType="begin"/>
        </w:r>
        <w:r>
          <w:rPr>
            <w:webHidden/>
          </w:rPr>
          <w:instrText xml:space="preserve"> PAGEREF _Toc237259517 \h </w:instrText>
        </w:r>
        <w:r>
          <w:rPr>
            <w:webHidden/>
          </w:rPr>
        </w:r>
        <w:r>
          <w:rPr>
            <w:webHidden/>
          </w:rPr>
          <w:fldChar w:fldCharType="separate"/>
        </w:r>
        <w:r>
          <w:rPr>
            <w:webHidden/>
          </w:rPr>
          <w:t>24</w:t>
        </w:r>
        <w:r>
          <w:rPr>
            <w:webHidden/>
          </w:rPr>
          <w:fldChar w:fldCharType="end"/>
        </w:r>
      </w:hyperlink>
    </w:p>
    <w:p w14:paraId="0976F4EA" w14:textId="12E630EE"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18" w:history="1">
        <w:r w:rsidRPr="00B66888">
          <w:rPr>
            <w:rStyle w:val="Hyperlink"/>
          </w:rPr>
          <w:t>Indicator 2: Gender composition of governing bodies</w:t>
        </w:r>
        <w:r>
          <w:rPr>
            <w:webHidden/>
          </w:rPr>
          <w:tab/>
        </w:r>
        <w:r>
          <w:rPr>
            <w:webHidden/>
          </w:rPr>
          <w:fldChar w:fldCharType="begin"/>
        </w:r>
        <w:r>
          <w:rPr>
            <w:webHidden/>
          </w:rPr>
          <w:instrText xml:space="preserve"> PAGEREF _Toc237259518 \h </w:instrText>
        </w:r>
        <w:r>
          <w:rPr>
            <w:webHidden/>
          </w:rPr>
        </w:r>
        <w:r>
          <w:rPr>
            <w:webHidden/>
          </w:rPr>
          <w:fldChar w:fldCharType="separate"/>
        </w:r>
        <w:r>
          <w:rPr>
            <w:webHidden/>
          </w:rPr>
          <w:t>24</w:t>
        </w:r>
        <w:r>
          <w:rPr>
            <w:webHidden/>
          </w:rPr>
          <w:fldChar w:fldCharType="end"/>
        </w:r>
      </w:hyperlink>
    </w:p>
    <w:p w14:paraId="339E7885" w14:textId="40ED4B2C"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19" w:history="1">
        <w:r w:rsidRPr="00B66888">
          <w:rPr>
            <w:rStyle w:val="Hyperlink"/>
          </w:rPr>
          <w:t>Why this matters</w:t>
        </w:r>
        <w:r>
          <w:rPr>
            <w:webHidden/>
          </w:rPr>
          <w:tab/>
        </w:r>
        <w:r>
          <w:rPr>
            <w:webHidden/>
          </w:rPr>
          <w:fldChar w:fldCharType="begin"/>
        </w:r>
        <w:r>
          <w:rPr>
            <w:webHidden/>
          </w:rPr>
          <w:instrText xml:space="preserve"> PAGEREF _Toc237259519 \h </w:instrText>
        </w:r>
        <w:r>
          <w:rPr>
            <w:webHidden/>
          </w:rPr>
        </w:r>
        <w:r>
          <w:rPr>
            <w:webHidden/>
          </w:rPr>
          <w:fldChar w:fldCharType="separate"/>
        </w:r>
        <w:r>
          <w:rPr>
            <w:webHidden/>
          </w:rPr>
          <w:t>24</w:t>
        </w:r>
        <w:r>
          <w:rPr>
            <w:webHidden/>
          </w:rPr>
          <w:fldChar w:fldCharType="end"/>
        </w:r>
      </w:hyperlink>
    </w:p>
    <w:p w14:paraId="6182530B" w14:textId="721932B0"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0" w:history="1">
        <w:r w:rsidRPr="00B66888">
          <w:rPr>
            <w:rStyle w:val="Hyperlink"/>
          </w:rPr>
          <w:t>How we define progress</w:t>
        </w:r>
        <w:r>
          <w:rPr>
            <w:webHidden/>
          </w:rPr>
          <w:tab/>
        </w:r>
        <w:r>
          <w:rPr>
            <w:webHidden/>
          </w:rPr>
          <w:fldChar w:fldCharType="begin"/>
        </w:r>
        <w:r>
          <w:rPr>
            <w:webHidden/>
          </w:rPr>
          <w:instrText xml:space="preserve"> PAGEREF _Toc237259520 \h </w:instrText>
        </w:r>
        <w:r>
          <w:rPr>
            <w:webHidden/>
          </w:rPr>
        </w:r>
        <w:r>
          <w:rPr>
            <w:webHidden/>
          </w:rPr>
          <w:fldChar w:fldCharType="separate"/>
        </w:r>
        <w:r>
          <w:rPr>
            <w:webHidden/>
          </w:rPr>
          <w:t>25</w:t>
        </w:r>
        <w:r>
          <w:rPr>
            <w:webHidden/>
          </w:rPr>
          <w:fldChar w:fldCharType="end"/>
        </w:r>
      </w:hyperlink>
    </w:p>
    <w:p w14:paraId="5FB8A6D5" w14:textId="49F70B01"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1" w:history="1">
        <w:r w:rsidRPr="00B66888">
          <w:rPr>
            <w:rStyle w:val="Hyperlink"/>
          </w:rPr>
          <w:t>Progress between 2021 and 2025</w:t>
        </w:r>
        <w:r>
          <w:rPr>
            <w:webHidden/>
          </w:rPr>
          <w:tab/>
        </w:r>
        <w:r>
          <w:rPr>
            <w:webHidden/>
          </w:rPr>
          <w:fldChar w:fldCharType="begin"/>
        </w:r>
        <w:r>
          <w:rPr>
            <w:webHidden/>
          </w:rPr>
          <w:instrText xml:space="preserve"> PAGEREF _Toc237259521 \h </w:instrText>
        </w:r>
        <w:r>
          <w:rPr>
            <w:webHidden/>
          </w:rPr>
        </w:r>
        <w:r>
          <w:rPr>
            <w:webHidden/>
          </w:rPr>
          <w:fldChar w:fldCharType="separate"/>
        </w:r>
        <w:r>
          <w:rPr>
            <w:webHidden/>
          </w:rPr>
          <w:t>26</w:t>
        </w:r>
        <w:r>
          <w:rPr>
            <w:webHidden/>
          </w:rPr>
          <w:fldChar w:fldCharType="end"/>
        </w:r>
      </w:hyperlink>
    </w:p>
    <w:p w14:paraId="49E5316A" w14:textId="0706E986"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2" w:history="1">
        <w:r w:rsidRPr="00B66888">
          <w:rPr>
            <w:rStyle w:val="Hyperlink"/>
          </w:rPr>
          <w:t>Commissioner expectations</w:t>
        </w:r>
        <w:r>
          <w:rPr>
            <w:webHidden/>
          </w:rPr>
          <w:tab/>
        </w:r>
        <w:r>
          <w:rPr>
            <w:webHidden/>
          </w:rPr>
          <w:fldChar w:fldCharType="begin"/>
        </w:r>
        <w:r>
          <w:rPr>
            <w:webHidden/>
          </w:rPr>
          <w:instrText xml:space="preserve"> PAGEREF _Toc237259522 \h </w:instrText>
        </w:r>
        <w:r>
          <w:rPr>
            <w:webHidden/>
          </w:rPr>
        </w:r>
        <w:r>
          <w:rPr>
            <w:webHidden/>
          </w:rPr>
          <w:fldChar w:fldCharType="separate"/>
        </w:r>
        <w:r>
          <w:rPr>
            <w:webHidden/>
          </w:rPr>
          <w:t>29</w:t>
        </w:r>
        <w:r>
          <w:rPr>
            <w:webHidden/>
          </w:rPr>
          <w:fldChar w:fldCharType="end"/>
        </w:r>
      </w:hyperlink>
    </w:p>
    <w:p w14:paraId="78A588E5" w14:textId="4A9BB801"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23" w:history="1">
        <w:r w:rsidRPr="00B66888">
          <w:rPr>
            <w:rStyle w:val="Hyperlink"/>
          </w:rPr>
          <w:t>Indicator 3: Gender pay gaps</w:t>
        </w:r>
        <w:r>
          <w:rPr>
            <w:webHidden/>
          </w:rPr>
          <w:tab/>
        </w:r>
        <w:r>
          <w:rPr>
            <w:webHidden/>
          </w:rPr>
          <w:fldChar w:fldCharType="begin"/>
        </w:r>
        <w:r>
          <w:rPr>
            <w:webHidden/>
          </w:rPr>
          <w:instrText xml:space="preserve"> PAGEREF _Toc237259523 \h </w:instrText>
        </w:r>
        <w:r>
          <w:rPr>
            <w:webHidden/>
          </w:rPr>
        </w:r>
        <w:r>
          <w:rPr>
            <w:webHidden/>
          </w:rPr>
          <w:fldChar w:fldCharType="separate"/>
        </w:r>
        <w:r>
          <w:rPr>
            <w:webHidden/>
          </w:rPr>
          <w:t>29</w:t>
        </w:r>
        <w:r>
          <w:rPr>
            <w:webHidden/>
          </w:rPr>
          <w:fldChar w:fldCharType="end"/>
        </w:r>
      </w:hyperlink>
    </w:p>
    <w:p w14:paraId="0181ADC9" w14:textId="2E31485A"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4" w:history="1">
        <w:r w:rsidRPr="00B66888">
          <w:rPr>
            <w:rStyle w:val="Hyperlink"/>
          </w:rPr>
          <w:t>Why this matters</w:t>
        </w:r>
        <w:r>
          <w:rPr>
            <w:webHidden/>
          </w:rPr>
          <w:tab/>
        </w:r>
        <w:r>
          <w:rPr>
            <w:webHidden/>
          </w:rPr>
          <w:fldChar w:fldCharType="begin"/>
        </w:r>
        <w:r>
          <w:rPr>
            <w:webHidden/>
          </w:rPr>
          <w:instrText xml:space="preserve"> PAGEREF _Toc237259524 \h </w:instrText>
        </w:r>
        <w:r>
          <w:rPr>
            <w:webHidden/>
          </w:rPr>
        </w:r>
        <w:r>
          <w:rPr>
            <w:webHidden/>
          </w:rPr>
          <w:fldChar w:fldCharType="separate"/>
        </w:r>
        <w:r>
          <w:rPr>
            <w:webHidden/>
          </w:rPr>
          <w:t>29</w:t>
        </w:r>
        <w:r>
          <w:rPr>
            <w:webHidden/>
          </w:rPr>
          <w:fldChar w:fldCharType="end"/>
        </w:r>
      </w:hyperlink>
    </w:p>
    <w:p w14:paraId="66F49D68" w14:textId="38002598"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5" w:history="1">
        <w:r w:rsidRPr="00B66888">
          <w:rPr>
            <w:rStyle w:val="Hyperlink"/>
          </w:rPr>
          <w:t>How we define progress</w:t>
        </w:r>
        <w:r>
          <w:rPr>
            <w:webHidden/>
          </w:rPr>
          <w:tab/>
        </w:r>
        <w:r>
          <w:rPr>
            <w:webHidden/>
          </w:rPr>
          <w:fldChar w:fldCharType="begin"/>
        </w:r>
        <w:r>
          <w:rPr>
            <w:webHidden/>
          </w:rPr>
          <w:instrText xml:space="preserve"> PAGEREF _Toc237259525 \h </w:instrText>
        </w:r>
        <w:r>
          <w:rPr>
            <w:webHidden/>
          </w:rPr>
        </w:r>
        <w:r>
          <w:rPr>
            <w:webHidden/>
          </w:rPr>
          <w:fldChar w:fldCharType="separate"/>
        </w:r>
        <w:r>
          <w:rPr>
            <w:webHidden/>
          </w:rPr>
          <w:t>30</w:t>
        </w:r>
        <w:r>
          <w:rPr>
            <w:webHidden/>
          </w:rPr>
          <w:fldChar w:fldCharType="end"/>
        </w:r>
      </w:hyperlink>
    </w:p>
    <w:p w14:paraId="5147911F" w14:textId="6D7A5075"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6" w:history="1">
        <w:r w:rsidRPr="00B66888">
          <w:rPr>
            <w:rStyle w:val="Hyperlink"/>
          </w:rPr>
          <w:t>How the Commission reports on pay gaps</w:t>
        </w:r>
        <w:r>
          <w:rPr>
            <w:webHidden/>
          </w:rPr>
          <w:tab/>
        </w:r>
        <w:r>
          <w:rPr>
            <w:webHidden/>
          </w:rPr>
          <w:fldChar w:fldCharType="begin"/>
        </w:r>
        <w:r>
          <w:rPr>
            <w:webHidden/>
          </w:rPr>
          <w:instrText xml:space="preserve"> PAGEREF _Toc237259526 \h </w:instrText>
        </w:r>
        <w:r>
          <w:rPr>
            <w:webHidden/>
          </w:rPr>
        </w:r>
        <w:r>
          <w:rPr>
            <w:webHidden/>
          </w:rPr>
          <w:fldChar w:fldCharType="separate"/>
        </w:r>
        <w:r>
          <w:rPr>
            <w:webHidden/>
          </w:rPr>
          <w:t>30</w:t>
        </w:r>
        <w:r>
          <w:rPr>
            <w:webHidden/>
          </w:rPr>
          <w:fldChar w:fldCharType="end"/>
        </w:r>
      </w:hyperlink>
    </w:p>
    <w:p w14:paraId="41973E9C" w14:textId="6DE47C61"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7" w:history="1">
        <w:r w:rsidRPr="00B66888">
          <w:rPr>
            <w:rStyle w:val="Hyperlink"/>
          </w:rPr>
          <w:t>Progress between 2021 and 2025</w:t>
        </w:r>
        <w:r>
          <w:rPr>
            <w:webHidden/>
          </w:rPr>
          <w:tab/>
        </w:r>
        <w:r>
          <w:rPr>
            <w:webHidden/>
          </w:rPr>
          <w:fldChar w:fldCharType="begin"/>
        </w:r>
        <w:r>
          <w:rPr>
            <w:webHidden/>
          </w:rPr>
          <w:instrText xml:space="preserve"> PAGEREF _Toc237259527 \h </w:instrText>
        </w:r>
        <w:r>
          <w:rPr>
            <w:webHidden/>
          </w:rPr>
        </w:r>
        <w:r>
          <w:rPr>
            <w:webHidden/>
          </w:rPr>
          <w:fldChar w:fldCharType="separate"/>
        </w:r>
        <w:r>
          <w:rPr>
            <w:webHidden/>
          </w:rPr>
          <w:t>30</w:t>
        </w:r>
        <w:r>
          <w:rPr>
            <w:webHidden/>
          </w:rPr>
          <w:fldChar w:fldCharType="end"/>
        </w:r>
      </w:hyperlink>
    </w:p>
    <w:p w14:paraId="6249B32C" w14:textId="058E4B6D"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8" w:history="1">
        <w:r w:rsidRPr="00B66888">
          <w:rPr>
            <w:rStyle w:val="Hyperlink"/>
          </w:rPr>
          <w:t>Estimating indicative pay gaps for groups facing intersecting inequalities</w:t>
        </w:r>
        <w:r>
          <w:rPr>
            <w:webHidden/>
          </w:rPr>
          <w:tab/>
        </w:r>
        <w:r>
          <w:rPr>
            <w:webHidden/>
          </w:rPr>
          <w:fldChar w:fldCharType="begin"/>
        </w:r>
        <w:r>
          <w:rPr>
            <w:webHidden/>
          </w:rPr>
          <w:instrText xml:space="preserve"> PAGEREF _Toc237259528 \h </w:instrText>
        </w:r>
        <w:r>
          <w:rPr>
            <w:webHidden/>
          </w:rPr>
        </w:r>
        <w:r>
          <w:rPr>
            <w:webHidden/>
          </w:rPr>
          <w:fldChar w:fldCharType="separate"/>
        </w:r>
        <w:r>
          <w:rPr>
            <w:webHidden/>
          </w:rPr>
          <w:t>36</w:t>
        </w:r>
        <w:r>
          <w:rPr>
            <w:webHidden/>
          </w:rPr>
          <w:fldChar w:fldCharType="end"/>
        </w:r>
      </w:hyperlink>
    </w:p>
    <w:p w14:paraId="406B8A48" w14:textId="234ECF79"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29" w:history="1">
        <w:r w:rsidRPr="00B66888">
          <w:rPr>
            <w:rStyle w:val="Hyperlink"/>
          </w:rPr>
          <w:t>Commissioner expectations</w:t>
        </w:r>
        <w:r>
          <w:rPr>
            <w:webHidden/>
          </w:rPr>
          <w:tab/>
        </w:r>
        <w:r>
          <w:rPr>
            <w:webHidden/>
          </w:rPr>
          <w:fldChar w:fldCharType="begin"/>
        </w:r>
        <w:r>
          <w:rPr>
            <w:webHidden/>
          </w:rPr>
          <w:instrText xml:space="preserve"> PAGEREF _Toc237259529 \h </w:instrText>
        </w:r>
        <w:r>
          <w:rPr>
            <w:webHidden/>
          </w:rPr>
        </w:r>
        <w:r>
          <w:rPr>
            <w:webHidden/>
          </w:rPr>
          <w:fldChar w:fldCharType="separate"/>
        </w:r>
        <w:r>
          <w:rPr>
            <w:webHidden/>
          </w:rPr>
          <w:t>40</w:t>
        </w:r>
        <w:r>
          <w:rPr>
            <w:webHidden/>
          </w:rPr>
          <w:fldChar w:fldCharType="end"/>
        </w:r>
      </w:hyperlink>
    </w:p>
    <w:p w14:paraId="78A4CA30" w14:textId="63FE00D6"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0" w:history="1">
        <w:r w:rsidRPr="00B66888">
          <w:rPr>
            <w:rStyle w:val="Hyperlink"/>
            <w:lang w:eastAsia="en-AU"/>
          </w:rPr>
          <w:t xml:space="preserve">Rural and </w:t>
        </w:r>
        <w:r w:rsidRPr="00B66888">
          <w:rPr>
            <w:rStyle w:val="Hyperlink"/>
          </w:rPr>
          <w:t>regional</w:t>
        </w:r>
        <w:r w:rsidRPr="00B66888">
          <w:rPr>
            <w:rStyle w:val="Hyperlink"/>
            <w:lang w:eastAsia="en-AU"/>
          </w:rPr>
          <w:t xml:space="preserve"> </w:t>
        </w:r>
        <w:r w:rsidRPr="00B66888">
          <w:rPr>
            <w:rStyle w:val="Hyperlink"/>
          </w:rPr>
          <w:t>snapshot</w:t>
        </w:r>
        <w:r>
          <w:rPr>
            <w:webHidden/>
          </w:rPr>
          <w:tab/>
        </w:r>
        <w:r>
          <w:rPr>
            <w:webHidden/>
          </w:rPr>
          <w:fldChar w:fldCharType="begin"/>
        </w:r>
        <w:r>
          <w:rPr>
            <w:webHidden/>
          </w:rPr>
          <w:instrText xml:space="preserve"> PAGEREF _Toc237259530 \h </w:instrText>
        </w:r>
        <w:r>
          <w:rPr>
            <w:webHidden/>
          </w:rPr>
        </w:r>
        <w:r>
          <w:rPr>
            <w:webHidden/>
          </w:rPr>
          <w:fldChar w:fldCharType="separate"/>
        </w:r>
        <w:r>
          <w:rPr>
            <w:webHidden/>
          </w:rPr>
          <w:t>40</w:t>
        </w:r>
        <w:r>
          <w:rPr>
            <w:webHidden/>
          </w:rPr>
          <w:fldChar w:fldCharType="end"/>
        </w:r>
      </w:hyperlink>
    </w:p>
    <w:p w14:paraId="64ED9210" w14:textId="303CE85A"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1" w:history="1">
        <w:r w:rsidRPr="00B66888">
          <w:rPr>
            <w:rStyle w:val="Hyperlink"/>
          </w:rPr>
          <w:t>Spotlight on gender pay gap</w:t>
        </w:r>
        <w:r>
          <w:rPr>
            <w:webHidden/>
          </w:rPr>
          <w:tab/>
        </w:r>
        <w:r>
          <w:rPr>
            <w:webHidden/>
          </w:rPr>
          <w:fldChar w:fldCharType="begin"/>
        </w:r>
        <w:r>
          <w:rPr>
            <w:webHidden/>
          </w:rPr>
          <w:instrText xml:space="preserve"> PAGEREF _Toc237259531 \h </w:instrText>
        </w:r>
        <w:r>
          <w:rPr>
            <w:webHidden/>
          </w:rPr>
        </w:r>
        <w:r>
          <w:rPr>
            <w:webHidden/>
          </w:rPr>
          <w:fldChar w:fldCharType="separate"/>
        </w:r>
        <w:r>
          <w:rPr>
            <w:webHidden/>
          </w:rPr>
          <w:t>41</w:t>
        </w:r>
        <w:r>
          <w:rPr>
            <w:webHidden/>
          </w:rPr>
          <w:fldChar w:fldCharType="end"/>
        </w:r>
      </w:hyperlink>
    </w:p>
    <w:p w14:paraId="09096F1F" w14:textId="47DC2A1E"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32" w:history="1">
        <w:r w:rsidRPr="00B66888">
          <w:rPr>
            <w:rStyle w:val="Hyperlink"/>
          </w:rPr>
          <w:t>Indicator 4: Workplace sexual harassment</w:t>
        </w:r>
        <w:r>
          <w:rPr>
            <w:webHidden/>
          </w:rPr>
          <w:tab/>
        </w:r>
        <w:r>
          <w:rPr>
            <w:webHidden/>
          </w:rPr>
          <w:fldChar w:fldCharType="begin"/>
        </w:r>
        <w:r>
          <w:rPr>
            <w:webHidden/>
          </w:rPr>
          <w:instrText xml:space="preserve"> PAGEREF _Toc237259532 \h </w:instrText>
        </w:r>
        <w:r>
          <w:rPr>
            <w:webHidden/>
          </w:rPr>
        </w:r>
        <w:r>
          <w:rPr>
            <w:webHidden/>
          </w:rPr>
          <w:fldChar w:fldCharType="separate"/>
        </w:r>
        <w:r>
          <w:rPr>
            <w:webHidden/>
          </w:rPr>
          <w:t>45</w:t>
        </w:r>
        <w:r>
          <w:rPr>
            <w:webHidden/>
          </w:rPr>
          <w:fldChar w:fldCharType="end"/>
        </w:r>
      </w:hyperlink>
    </w:p>
    <w:p w14:paraId="49F89CAD" w14:textId="52E8F95D"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3" w:history="1">
        <w:r w:rsidRPr="00B66888">
          <w:rPr>
            <w:rStyle w:val="Hyperlink"/>
          </w:rPr>
          <w:t>Why this matters</w:t>
        </w:r>
        <w:r>
          <w:rPr>
            <w:webHidden/>
          </w:rPr>
          <w:tab/>
        </w:r>
        <w:r>
          <w:rPr>
            <w:webHidden/>
          </w:rPr>
          <w:fldChar w:fldCharType="begin"/>
        </w:r>
        <w:r>
          <w:rPr>
            <w:webHidden/>
          </w:rPr>
          <w:instrText xml:space="preserve"> PAGEREF _Toc237259533 \h </w:instrText>
        </w:r>
        <w:r>
          <w:rPr>
            <w:webHidden/>
          </w:rPr>
        </w:r>
        <w:r>
          <w:rPr>
            <w:webHidden/>
          </w:rPr>
          <w:fldChar w:fldCharType="separate"/>
        </w:r>
        <w:r>
          <w:rPr>
            <w:webHidden/>
          </w:rPr>
          <w:t>45</w:t>
        </w:r>
        <w:r>
          <w:rPr>
            <w:webHidden/>
          </w:rPr>
          <w:fldChar w:fldCharType="end"/>
        </w:r>
      </w:hyperlink>
    </w:p>
    <w:p w14:paraId="619F7D53" w14:textId="4D0916B6"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4" w:history="1">
        <w:r w:rsidRPr="00B66888">
          <w:rPr>
            <w:rStyle w:val="Hyperlink"/>
          </w:rPr>
          <w:t>How we define progress</w:t>
        </w:r>
        <w:r>
          <w:rPr>
            <w:webHidden/>
          </w:rPr>
          <w:tab/>
        </w:r>
        <w:r>
          <w:rPr>
            <w:webHidden/>
          </w:rPr>
          <w:fldChar w:fldCharType="begin"/>
        </w:r>
        <w:r>
          <w:rPr>
            <w:webHidden/>
          </w:rPr>
          <w:instrText xml:space="preserve"> PAGEREF _Toc237259534 \h </w:instrText>
        </w:r>
        <w:r>
          <w:rPr>
            <w:webHidden/>
          </w:rPr>
        </w:r>
        <w:r>
          <w:rPr>
            <w:webHidden/>
          </w:rPr>
          <w:fldChar w:fldCharType="separate"/>
        </w:r>
        <w:r>
          <w:rPr>
            <w:webHidden/>
          </w:rPr>
          <w:t>46</w:t>
        </w:r>
        <w:r>
          <w:rPr>
            <w:webHidden/>
          </w:rPr>
          <w:fldChar w:fldCharType="end"/>
        </w:r>
      </w:hyperlink>
    </w:p>
    <w:p w14:paraId="3E97C93F" w14:textId="09268D06"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5" w:history="1">
        <w:r w:rsidRPr="00B66888">
          <w:rPr>
            <w:rStyle w:val="Hyperlink"/>
          </w:rPr>
          <w:t>Progress between 2021 and 2025</w:t>
        </w:r>
        <w:r>
          <w:rPr>
            <w:webHidden/>
          </w:rPr>
          <w:tab/>
        </w:r>
        <w:r>
          <w:rPr>
            <w:webHidden/>
          </w:rPr>
          <w:fldChar w:fldCharType="begin"/>
        </w:r>
        <w:r>
          <w:rPr>
            <w:webHidden/>
          </w:rPr>
          <w:instrText xml:space="preserve"> PAGEREF _Toc237259535 \h </w:instrText>
        </w:r>
        <w:r>
          <w:rPr>
            <w:webHidden/>
          </w:rPr>
        </w:r>
        <w:r>
          <w:rPr>
            <w:webHidden/>
          </w:rPr>
          <w:fldChar w:fldCharType="separate"/>
        </w:r>
        <w:r>
          <w:rPr>
            <w:webHidden/>
          </w:rPr>
          <w:t>47</w:t>
        </w:r>
        <w:r>
          <w:rPr>
            <w:webHidden/>
          </w:rPr>
          <w:fldChar w:fldCharType="end"/>
        </w:r>
      </w:hyperlink>
    </w:p>
    <w:p w14:paraId="60104589" w14:textId="4CE2406D"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6" w:history="1">
        <w:r w:rsidRPr="00B66888">
          <w:rPr>
            <w:rStyle w:val="Hyperlink"/>
            <w:lang w:eastAsia="en-AU"/>
          </w:rPr>
          <w:t>Commissioner expectations</w:t>
        </w:r>
        <w:r>
          <w:rPr>
            <w:webHidden/>
          </w:rPr>
          <w:tab/>
        </w:r>
        <w:r>
          <w:rPr>
            <w:webHidden/>
          </w:rPr>
          <w:fldChar w:fldCharType="begin"/>
        </w:r>
        <w:r>
          <w:rPr>
            <w:webHidden/>
          </w:rPr>
          <w:instrText xml:space="preserve"> PAGEREF _Toc237259536 \h </w:instrText>
        </w:r>
        <w:r>
          <w:rPr>
            <w:webHidden/>
          </w:rPr>
        </w:r>
        <w:r>
          <w:rPr>
            <w:webHidden/>
          </w:rPr>
          <w:fldChar w:fldCharType="separate"/>
        </w:r>
        <w:r>
          <w:rPr>
            <w:webHidden/>
          </w:rPr>
          <w:t>53</w:t>
        </w:r>
        <w:r>
          <w:rPr>
            <w:webHidden/>
          </w:rPr>
          <w:fldChar w:fldCharType="end"/>
        </w:r>
      </w:hyperlink>
    </w:p>
    <w:p w14:paraId="6B4875D4" w14:textId="713CA5DB"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7" w:history="1">
        <w:r w:rsidRPr="00B66888">
          <w:rPr>
            <w:rStyle w:val="Hyperlink"/>
          </w:rPr>
          <w:t>Spotlight on sexual harassment</w:t>
        </w:r>
        <w:r>
          <w:rPr>
            <w:webHidden/>
          </w:rPr>
          <w:tab/>
        </w:r>
        <w:r>
          <w:rPr>
            <w:webHidden/>
          </w:rPr>
          <w:fldChar w:fldCharType="begin"/>
        </w:r>
        <w:r>
          <w:rPr>
            <w:webHidden/>
          </w:rPr>
          <w:instrText xml:space="preserve"> PAGEREF _Toc237259537 \h </w:instrText>
        </w:r>
        <w:r>
          <w:rPr>
            <w:webHidden/>
          </w:rPr>
        </w:r>
        <w:r>
          <w:rPr>
            <w:webHidden/>
          </w:rPr>
          <w:fldChar w:fldCharType="separate"/>
        </w:r>
        <w:r>
          <w:rPr>
            <w:webHidden/>
          </w:rPr>
          <w:t>55</w:t>
        </w:r>
        <w:r>
          <w:rPr>
            <w:webHidden/>
          </w:rPr>
          <w:fldChar w:fldCharType="end"/>
        </w:r>
      </w:hyperlink>
    </w:p>
    <w:p w14:paraId="55DD36C8" w14:textId="0FDF14A0"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38" w:history="1">
        <w:r w:rsidRPr="00B66888">
          <w:rPr>
            <w:rStyle w:val="Hyperlink"/>
          </w:rPr>
          <w:t>Indicator 5: Recruitment and promotion</w:t>
        </w:r>
        <w:r>
          <w:rPr>
            <w:webHidden/>
          </w:rPr>
          <w:tab/>
        </w:r>
        <w:r>
          <w:rPr>
            <w:webHidden/>
          </w:rPr>
          <w:fldChar w:fldCharType="begin"/>
        </w:r>
        <w:r>
          <w:rPr>
            <w:webHidden/>
          </w:rPr>
          <w:instrText xml:space="preserve"> PAGEREF _Toc237259538 \h </w:instrText>
        </w:r>
        <w:r>
          <w:rPr>
            <w:webHidden/>
          </w:rPr>
        </w:r>
        <w:r>
          <w:rPr>
            <w:webHidden/>
          </w:rPr>
          <w:fldChar w:fldCharType="separate"/>
        </w:r>
        <w:r>
          <w:rPr>
            <w:webHidden/>
          </w:rPr>
          <w:t>57</w:t>
        </w:r>
        <w:r>
          <w:rPr>
            <w:webHidden/>
          </w:rPr>
          <w:fldChar w:fldCharType="end"/>
        </w:r>
      </w:hyperlink>
    </w:p>
    <w:p w14:paraId="228B7EBC" w14:textId="7FE0F227"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39" w:history="1">
        <w:r w:rsidRPr="00B66888">
          <w:rPr>
            <w:rStyle w:val="Hyperlink"/>
          </w:rPr>
          <w:t>Why this matters</w:t>
        </w:r>
        <w:r>
          <w:rPr>
            <w:webHidden/>
          </w:rPr>
          <w:tab/>
        </w:r>
        <w:r>
          <w:rPr>
            <w:webHidden/>
          </w:rPr>
          <w:fldChar w:fldCharType="begin"/>
        </w:r>
        <w:r>
          <w:rPr>
            <w:webHidden/>
          </w:rPr>
          <w:instrText xml:space="preserve"> PAGEREF _Toc237259539 \h </w:instrText>
        </w:r>
        <w:r>
          <w:rPr>
            <w:webHidden/>
          </w:rPr>
        </w:r>
        <w:r>
          <w:rPr>
            <w:webHidden/>
          </w:rPr>
          <w:fldChar w:fldCharType="separate"/>
        </w:r>
        <w:r>
          <w:rPr>
            <w:webHidden/>
          </w:rPr>
          <w:t>57</w:t>
        </w:r>
        <w:r>
          <w:rPr>
            <w:webHidden/>
          </w:rPr>
          <w:fldChar w:fldCharType="end"/>
        </w:r>
      </w:hyperlink>
    </w:p>
    <w:p w14:paraId="5C89B13C" w14:textId="4573C673"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0" w:history="1">
        <w:r w:rsidRPr="00B66888">
          <w:rPr>
            <w:rStyle w:val="Hyperlink"/>
          </w:rPr>
          <w:t>How we define progress</w:t>
        </w:r>
        <w:r>
          <w:rPr>
            <w:webHidden/>
          </w:rPr>
          <w:tab/>
        </w:r>
        <w:r>
          <w:rPr>
            <w:webHidden/>
          </w:rPr>
          <w:fldChar w:fldCharType="begin"/>
        </w:r>
        <w:r>
          <w:rPr>
            <w:webHidden/>
          </w:rPr>
          <w:instrText xml:space="preserve"> PAGEREF _Toc237259540 \h </w:instrText>
        </w:r>
        <w:r>
          <w:rPr>
            <w:webHidden/>
          </w:rPr>
        </w:r>
        <w:r>
          <w:rPr>
            <w:webHidden/>
          </w:rPr>
          <w:fldChar w:fldCharType="separate"/>
        </w:r>
        <w:r>
          <w:rPr>
            <w:webHidden/>
          </w:rPr>
          <w:t>58</w:t>
        </w:r>
        <w:r>
          <w:rPr>
            <w:webHidden/>
          </w:rPr>
          <w:fldChar w:fldCharType="end"/>
        </w:r>
      </w:hyperlink>
    </w:p>
    <w:p w14:paraId="29613AD1" w14:textId="255BEC0F"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1" w:history="1">
        <w:r w:rsidRPr="00B66888">
          <w:rPr>
            <w:rStyle w:val="Hyperlink"/>
          </w:rPr>
          <w:t>Progress between 2021 and 2025</w:t>
        </w:r>
        <w:r>
          <w:rPr>
            <w:webHidden/>
          </w:rPr>
          <w:tab/>
        </w:r>
        <w:r>
          <w:rPr>
            <w:webHidden/>
          </w:rPr>
          <w:fldChar w:fldCharType="begin"/>
        </w:r>
        <w:r>
          <w:rPr>
            <w:webHidden/>
          </w:rPr>
          <w:instrText xml:space="preserve"> PAGEREF _Toc237259541 \h </w:instrText>
        </w:r>
        <w:r>
          <w:rPr>
            <w:webHidden/>
          </w:rPr>
        </w:r>
        <w:r>
          <w:rPr>
            <w:webHidden/>
          </w:rPr>
          <w:fldChar w:fldCharType="separate"/>
        </w:r>
        <w:r>
          <w:rPr>
            <w:webHidden/>
          </w:rPr>
          <w:t>58</w:t>
        </w:r>
        <w:r>
          <w:rPr>
            <w:webHidden/>
          </w:rPr>
          <w:fldChar w:fldCharType="end"/>
        </w:r>
      </w:hyperlink>
    </w:p>
    <w:p w14:paraId="121A2C9C" w14:textId="6F627B37"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2" w:history="1">
        <w:r w:rsidRPr="00B66888">
          <w:rPr>
            <w:rStyle w:val="Hyperlink"/>
          </w:rPr>
          <w:t>Commissioner expectations</w:t>
        </w:r>
        <w:r>
          <w:rPr>
            <w:webHidden/>
          </w:rPr>
          <w:tab/>
        </w:r>
        <w:r>
          <w:rPr>
            <w:webHidden/>
          </w:rPr>
          <w:fldChar w:fldCharType="begin"/>
        </w:r>
        <w:r>
          <w:rPr>
            <w:webHidden/>
          </w:rPr>
          <w:instrText xml:space="preserve"> PAGEREF _Toc237259542 \h </w:instrText>
        </w:r>
        <w:r>
          <w:rPr>
            <w:webHidden/>
          </w:rPr>
        </w:r>
        <w:r>
          <w:rPr>
            <w:webHidden/>
          </w:rPr>
          <w:fldChar w:fldCharType="separate"/>
        </w:r>
        <w:r>
          <w:rPr>
            <w:webHidden/>
          </w:rPr>
          <w:t>64</w:t>
        </w:r>
        <w:r>
          <w:rPr>
            <w:webHidden/>
          </w:rPr>
          <w:fldChar w:fldCharType="end"/>
        </w:r>
      </w:hyperlink>
    </w:p>
    <w:p w14:paraId="112E177E" w14:textId="02BFE843"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43" w:history="1">
        <w:r w:rsidRPr="00B66888">
          <w:rPr>
            <w:rStyle w:val="Hyperlink"/>
          </w:rPr>
          <w:t>Indicator 6: Leave and flexibility</w:t>
        </w:r>
        <w:r>
          <w:rPr>
            <w:webHidden/>
          </w:rPr>
          <w:tab/>
        </w:r>
        <w:r>
          <w:rPr>
            <w:webHidden/>
          </w:rPr>
          <w:fldChar w:fldCharType="begin"/>
        </w:r>
        <w:r>
          <w:rPr>
            <w:webHidden/>
          </w:rPr>
          <w:instrText xml:space="preserve"> PAGEREF _Toc237259543 \h </w:instrText>
        </w:r>
        <w:r>
          <w:rPr>
            <w:webHidden/>
          </w:rPr>
        </w:r>
        <w:r>
          <w:rPr>
            <w:webHidden/>
          </w:rPr>
          <w:fldChar w:fldCharType="separate"/>
        </w:r>
        <w:r>
          <w:rPr>
            <w:webHidden/>
          </w:rPr>
          <w:t>64</w:t>
        </w:r>
        <w:r>
          <w:rPr>
            <w:webHidden/>
          </w:rPr>
          <w:fldChar w:fldCharType="end"/>
        </w:r>
      </w:hyperlink>
    </w:p>
    <w:p w14:paraId="304806CE" w14:textId="41D0D055"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4" w:history="1">
        <w:r w:rsidRPr="00B66888">
          <w:rPr>
            <w:rStyle w:val="Hyperlink"/>
          </w:rPr>
          <w:t>Why this matters</w:t>
        </w:r>
        <w:r>
          <w:rPr>
            <w:webHidden/>
          </w:rPr>
          <w:tab/>
        </w:r>
        <w:r>
          <w:rPr>
            <w:webHidden/>
          </w:rPr>
          <w:fldChar w:fldCharType="begin"/>
        </w:r>
        <w:r>
          <w:rPr>
            <w:webHidden/>
          </w:rPr>
          <w:instrText xml:space="preserve"> PAGEREF _Toc237259544 \h </w:instrText>
        </w:r>
        <w:r>
          <w:rPr>
            <w:webHidden/>
          </w:rPr>
        </w:r>
        <w:r>
          <w:rPr>
            <w:webHidden/>
          </w:rPr>
          <w:fldChar w:fldCharType="separate"/>
        </w:r>
        <w:r>
          <w:rPr>
            <w:webHidden/>
          </w:rPr>
          <w:t>64</w:t>
        </w:r>
        <w:r>
          <w:rPr>
            <w:webHidden/>
          </w:rPr>
          <w:fldChar w:fldCharType="end"/>
        </w:r>
      </w:hyperlink>
    </w:p>
    <w:p w14:paraId="5639D1FE" w14:textId="467A6FAC"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5" w:history="1">
        <w:r w:rsidRPr="00B66888">
          <w:rPr>
            <w:rStyle w:val="Hyperlink"/>
          </w:rPr>
          <w:t>How we define progress</w:t>
        </w:r>
        <w:r>
          <w:rPr>
            <w:webHidden/>
          </w:rPr>
          <w:tab/>
        </w:r>
        <w:r>
          <w:rPr>
            <w:webHidden/>
          </w:rPr>
          <w:fldChar w:fldCharType="begin"/>
        </w:r>
        <w:r>
          <w:rPr>
            <w:webHidden/>
          </w:rPr>
          <w:instrText xml:space="preserve"> PAGEREF _Toc237259545 \h </w:instrText>
        </w:r>
        <w:r>
          <w:rPr>
            <w:webHidden/>
          </w:rPr>
        </w:r>
        <w:r>
          <w:rPr>
            <w:webHidden/>
          </w:rPr>
          <w:fldChar w:fldCharType="separate"/>
        </w:r>
        <w:r>
          <w:rPr>
            <w:webHidden/>
          </w:rPr>
          <w:t>65</w:t>
        </w:r>
        <w:r>
          <w:rPr>
            <w:webHidden/>
          </w:rPr>
          <w:fldChar w:fldCharType="end"/>
        </w:r>
      </w:hyperlink>
    </w:p>
    <w:p w14:paraId="0339F038" w14:textId="3CCDB8A9"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6" w:history="1">
        <w:r w:rsidRPr="00B66888">
          <w:rPr>
            <w:rStyle w:val="Hyperlink"/>
          </w:rPr>
          <w:t>Progress between 2021 and 2025</w:t>
        </w:r>
        <w:r>
          <w:rPr>
            <w:webHidden/>
          </w:rPr>
          <w:tab/>
        </w:r>
        <w:r>
          <w:rPr>
            <w:webHidden/>
          </w:rPr>
          <w:fldChar w:fldCharType="begin"/>
        </w:r>
        <w:r>
          <w:rPr>
            <w:webHidden/>
          </w:rPr>
          <w:instrText xml:space="preserve"> PAGEREF _Toc237259546 \h </w:instrText>
        </w:r>
        <w:r>
          <w:rPr>
            <w:webHidden/>
          </w:rPr>
        </w:r>
        <w:r>
          <w:rPr>
            <w:webHidden/>
          </w:rPr>
          <w:fldChar w:fldCharType="separate"/>
        </w:r>
        <w:r>
          <w:rPr>
            <w:webHidden/>
          </w:rPr>
          <w:t>65</w:t>
        </w:r>
        <w:r>
          <w:rPr>
            <w:webHidden/>
          </w:rPr>
          <w:fldChar w:fldCharType="end"/>
        </w:r>
      </w:hyperlink>
    </w:p>
    <w:p w14:paraId="60C139E2" w14:textId="056AA9BA"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7" w:history="1">
        <w:r w:rsidRPr="00B66888">
          <w:rPr>
            <w:rStyle w:val="Hyperlink"/>
          </w:rPr>
          <w:t>Commissioner expectations</w:t>
        </w:r>
        <w:r>
          <w:rPr>
            <w:webHidden/>
          </w:rPr>
          <w:tab/>
        </w:r>
        <w:r>
          <w:rPr>
            <w:webHidden/>
          </w:rPr>
          <w:fldChar w:fldCharType="begin"/>
        </w:r>
        <w:r>
          <w:rPr>
            <w:webHidden/>
          </w:rPr>
          <w:instrText xml:space="preserve"> PAGEREF _Toc237259547 \h </w:instrText>
        </w:r>
        <w:r>
          <w:rPr>
            <w:webHidden/>
          </w:rPr>
        </w:r>
        <w:r>
          <w:rPr>
            <w:webHidden/>
          </w:rPr>
          <w:fldChar w:fldCharType="separate"/>
        </w:r>
        <w:r>
          <w:rPr>
            <w:webHidden/>
          </w:rPr>
          <w:t>71</w:t>
        </w:r>
        <w:r>
          <w:rPr>
            <w:webHidden/>
          </w:rPr>
          <w:fldChar w:fldCharType="end"/>
        </w:r>
      </w:hyperlink>
    </w:p>
    <w:p w14:paraId="6FD66D04" w14:textId="169A4518"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48" w:history="1">
        <w:r w:rsidRPr="00B66888">
          <w:rPr>
            <w:rStyle w:val="Hyperlink"/>
          </w:rPr>
          <w:t>Indicator 7: Gendered segregation</w:t>
        </w:r>
        <w:r>
          <w:rPr>
            <w:webHidden/>
          </w:rPr>
          <w:tab/>
        </w:r>
        <w:r>
          <w:rPr>
            <w:webHidden/>
          </w:rPr>
          <w:fldChar w:fldCharType="begin"/>
        </w:r>
        <w:r>
          <w:rPr>
            <w:webHidden/>
          </w:rPr>
          <w:instrText xml:space="preserve"> PAGEREF _Toc237259548 \h </w:instrText>
        </w:r>
        <w:r>
          <w:rPr>
            <w:webHidden/>
          </w:rPr>
        </w:r>
        <w:r>
          <w:rPr>
            <w:webHidden/>
          </w:rPr>
          <w:fldChar w:fldCharType="separate"/>
        </w:r>
        <w:r>
          <w:rPr>
            <w:webHidden/>
          </w:rPr>
          <w:t>71</w:t>
        </w:r>
        <w:r>
          <w:rPr>
            <w:webHidden/>
          </w:rPr>
          <w:fldChar w:fldCharType="end"/>
        </w:r>
      </w:hyperlink>
    </w:p>
    <w:p w14:paraId="10212219" w14:textId="79DD7E65"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49" w:history="1">
        <w:r w:rsidRPr="00B66888">
          <w:rPr>
            <w:rStyle w:val="Hyperlink"/>
          </w:rPr>
          <w:t>Why this matters</w:t>
        </w:r>
        <w:r>
          <w:rPr>
            <w:webHidden/>
          </w:rPr>
          <w:tab/>
        </w:r>
        <w:r>
          <w:rPr>
            <w:webHidden/>
          </w:rPr>
          <w:fldChar w:fldCharType="begin"/>
        </w:r>
        <w:r>
          <w:rPr>
            <w:webHidden/>
          </w:rPr>
          <w:instrText xml:space="preserve"> PAGEREF _Toc237259549 \h </w:instrText>
        </w:r>
        <w:r>
          <w:rPr>
            <w:webHidden/>
          </w:rPr>
        </w:r>
        <w:r>
          <w:rPr>
            <w:webHidden/>
          </w:rPr>
          <w:fldChar w:fldCharType="separate"/>
        </w:r>
        <w:r>
          <w:rPr>
            <w:webHidden/>
          </w:rPr>
          <w:t>71</w:t>
        </w:r>
        <w:r>
          <w:rPr>
            <w:webHidden/>
          </w:rPr>
          <w:fldChar w:fldCharType="end"/>
        </w:r>
      </w:hyperlink>
    </w:p>
    <w:p w14:paraId="6225E56F" w14:textId="561FA502"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0" w:history="1">
        <w:r w:rsidRPr="00B66888">
          <w:rPr>
            <w:rStyle w:val="Hyperlink"/>
          </w:rPr>
          <w:t>How we define progress</w:t>
        </w:r>
        <w:r>
          <w:rPr>
            <w:webHidden/>
          </w:rPr>
          <w:tab/>
        </w:r>
        <w:r>
          <w:rPr>
            <w:webHidden/>
          </w:rPr>
          <w:fldChar w:fldCharType="begin"/>
        </w:r>
        <w:r>
          <w:rPr>
            <w:webHidden/>
          </w:rPr>
          <w:instrText xml:space="preserve"> PAGEREF _Toc237259550 \h </w:instrText>
        </w:r>
        <w:r>
          <w:rPr>
            <w:webHidden/>
          </w:rPr>
        </w:r>
        <w:r>
          <w:rPr>
            <w:webHidden/>
          </w:rPr>
          <w:fldChar w:fldCharType="separate"/>
        </w:r>
        <w:r>
          <w:rPr>
            <w:webHidden/>
          </w:rPr>
          <w:t>72</w:t>
        </w:r>
        <w:r>
          <w:rPr>
            <w:webHidden/>
          </w:rPr>
          <w:fldChar w:fldCharType="end"/>
        </w:r>
      </w:hyperlink>
    </w:p>
    <w:p w14:paraId="62DFB0AF" w14:textId="78E38B18"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1" w:history="1">
        <w:r w:rsidRPr="00B66888">
          <w:rPr>
            <w:rStyle w:val="Hyperlink"/>
          </w:rPr>
          <w:t>Progress between 2021 and 2025</w:t>
        </w:r>
        <w:r>
          <w:rPr>
            <w:webHidden/>
          </w:rPr>
          <w:tab/>
        </w:r>
        <w:r>
          <w:rPr>
            <w:webHidden/>
          </w:rPr>
          <w:fldChar w:fldCharType="begin"/>
        </w:r>
        <w:r>
          <w:rPr>
            <w:webHidden/>
          </w:rPr>
          <w:instrText xml:space="preserve"> PAGEREF _Toc237259551 \h </w:instrText>
        </w:r>
        <w:r>
          <w:rPr>
            <w:webHidden/>
          </w:rPr>
        </w:r>
        <w:r>
          <w:rPr>
            <w:webHidden/>
          </w:rPr>
          <w:fldChar w:fldCharType="separate"/>
        </w:r>
        <w:r>
          <w:rPr>
            <w:webHidden/>
          </w:rPr>
          <w:t>72</w:t>
        </w:r>
        <w:r>
          <w:rPr>
            <w:webHidden/>
          </w:rPr>
          <w:fldChar w:fldCharType="end"/>
        </w:r>
      </w:hyperlink>
    </w:p>
    <w:p w14:paraId="3A8A0FDA" w14:textId="04A6E38E"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2" w:history="1">
        <w:r w:rsidRPr="00B66888">
          <w:rPr>
            <w:rStyle w:val="Hyperlink"/>
          </w:rPr>
          <w:t>Commissioner expectations</w:t>
        </w:r>
        <w:r>
          <w:rPr>
            <w:webHidden/>
          </w:rPr>
          <w:tab/>
        </w:r>
        <w:r>
          <w:rPr>
            <w:webHidden/>
          </w:rPr>
          <w:fldChar w:fldCharType="begin"/>
        </w:r>
        <w:r>
          <w:rPr>
            <w:webHidden/>
          </w:rPr>
          <w:instrText xml:space="preserve"> PAGEREF _Toc237259552 \h </w:instrText>
        </w:r>
        <w:r>
          <w:rPr>
            <w:webHidden/>
          </w:rPr>
        </w:r>
        <w:r>
          <w:rPr>
            <w:webHidden/>
          </w:rPr>
          <w:fldChar w:fldCharType="separate"/>
        </w:r>
        <w:r>
          <w:rPr>
            <w:webHidden/>
          </w:rPr>
          <w:t>76</w:t>
        </w:r>
        <w:r>
          <w:rPr>
            <w:webHidden/>
          </w:rPr>
          <w:fldChar w:fldCharType="end"/>
        </w:r>
      </w:hyperlink>
    </w:p>
    <w:p w14:paraId="5D8EF5B6" w14:textId="3CFAADF5"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53" w:history="1">
        <w:r w:rsidRPr="00B66888">
          <w:rPr>
            <w:rStyle w:val="Hyperlink"/>
            <w:lang w:eastAsia="en-AU"/>
          </w:rPr>
          <w:t>Appendix 1: Data and methods</w:t>
        </w:r>
        <w:r>
          <w:rPr>
            <w:webHidden/>
          </w:rPr>
          <w:tab/>
        </w:r>
        <w:r>
          <w:rPr>
            <w:webHidden/>
          </w:rPr>
          <w:fldChar w:fldCharType="begin"/>
        </w:r>
        <w:r>
          <w:rPr>
            <w:webHidden/>
          </w:rPr>
          <w:instrText xml:space="preserve"> PAGEREF _Toc237259553 \h </w:instrText>
        </w:r>
        <w:r>
          <w:rPr>
            <w:webHidden/>
          </w:rPr>
        </w:r>
        <w:r>
          <w:rPr>
            <w:webHidden/>
          </w:rPr>
          <w:fldChar w:fldCharType="separate"/>
        </w:r>
        <w:r>
          <w:rPr>
            <w:webHidden/>
          </w:rPr>
          <w:t>77</w:t>
        </w:r>
        <w:r>
          <w:rPr>
            <w:webHidden/>
          </w:rPr>
          <w:fldChar w:fldCharType="end"/>
        </w:r>
      </w:hyperlink>
    </w:p>
    <w:p w14:paraId="507526F3" w14:textId="5BC34487"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4" w:history="1">
        <w:r w:rsidRPr="00B66888">
          <w:rPr>
            <w:rStyle w:val="Hyperlink"/>
          </w:rPr>
          <w:t>About our data</w:t>
        </w:r>
        <w:r>
          <w:rPr>
            <w:webHidden/>
          </w:rPr>
          <w:tab/>
        </w:r>
        <w:r>
          <w:rPr>
            <w:webHidden/>
          </w:rPr>
          <w:fldChar w:fldCharType="begin"/>
        </w:r>
        <w:r>
          <w:rPr>
            <w:webHidden/>
          </w:rPr>
          <w:instrText xml:space="preserve"> PAGEREF _Toc237259554 \h </w:instrText>
        </w:r>
        <w:r>
          <w:rPr>
            <w:webHidden/>
          </w:rPr>
        </w:r>
        <w:r>
          <w:rPr>
            <w:webHidden/>
          </w:rPr>
          <w:fldChar w:fldCharType="separate"/>
        </w:r>
        <w:r>
          <w:rPr>
            <w:webHidden/>
          </w:rPr>
          <w:t>77</w:t>
        </w:r>
        <w:r>
          <w:rPr>
            <w:webHidden/>
          </w:rPr>
          <w:fldChar w:fldCharType="end"/>
        </w:r>
      </w:hyperlink>
    </w:p>
    <w:p w14:paraId="39641E55" w14:textId="5521A48F"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5" w:history="1">
        <w:r w:rsidRPr="00B66888">
          <w:rPr>
            <w:rStyle w:val="Hyperlink"/>
            <w:lang w:eastAsia="en-AU"/>
          </w:rPr>
          <w:t>Data types</w:t>
        </w:r>
        <w:r>
          <w:rPr>
            <w:webHidden/>
          </w:rPr>
          <w:tab/>
        </w:r>
        <w:r>
          <w:rPr>
            <w:webHidden/>
          </w:rPr>
          <w:fldChar w:fldCharType="begin"/>
        </w:r>
        <w:r>
          <w:rPr>
            <w:webHidden/>
          </w:rPr>
          <w:instrText xml:space="preserve"> PAGEREF _Toc237259555 \h </w:instrText>
        </w:r>
        <w:r>
          <w:rPr>
            <w:webHidden/>
          </w:rPr>
        </w:r>
        <w:r>
          <w:rPr>
            <w:webHidden/>
          </w:rPr>
          <w:fldChar w:fldCharType="separate"/>
        </w:r>
        <w:r>
          <w:rPr>
            <w:webHidden/>
          </w:rPr>
          <w:t>77</w:t>
        </w:r>
        <w:r>
          <w:rPr>
            <w:webHidden/>
          </w:rPr>
          <w:fldChar w:fldCharType="end"/>
        </w:r>
      </w:hyperlink>
    </w:p>
    <w:p w14:paraId="50EC657D" w14:textId="1941880E"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6" w:history="1">
        <w:r w:rsidRPr="00B66888">
          <w:rPr>
            <w:rStyle w:val="Hyperlink"/>
            <w:lang w:eastAsia="en-AU"/>
          </w:rPr>
          <w:t>Intersectionality</w:t>
        </w:r>
        <w:r>
          <w:rPr>
            <w:webHidden/>
          </w:rPr>
          <w:tab/>
        </w:r>
        <w:r>
          <w:rPr>
            <w:webHidden/>
          </w:rPr>
          <w:fldChar w:fldCharType="begin"/>
        </w:r>
        <w:r>
          <w:rPr>
            <w:webHidden/>
          </w:rPr>
          <w:instrText xml:space="preserve"> PAGEREF _Toc237259556 \h </w:instrText>
        </w:r>
        <w:r>
          <w:rPr>
            <w:webHidden/>
          </w:rPr>
        </w:r>
        <w:r>
          <w:rPr>
            <w:webHidden/>
          </w:rPr>
          <w:fldChar w:fldCharType="separate"/>
        </w:r>
        <w:r>
          <w:rPr>
            <w:webHidden/>
          </w:rPr>
          <w:t>79</w:t>
        </w:r>
        <w:r>
          <w:rPr>
            <w:webHidden/>
          </w:rPr>
          <w:fldChar w:fldCharType="end"/>
        </w:r>
      </w:hyperlink>
    </w:p>
    <w:p w14:paraId="17FE589C" w14:textId="50080596"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7" w:history="1">
        <w:r w:rsidRPr="00B66888">
          <w:rPr>
            <w:rStyle w:val="Hyperlink"/>
            <w:lang w:eastAsia="en-AU"/>
          </w:rPr>
          <w:t xml:space="preserve">Data </w:t>
        </w:r>
        <w:r w:rsidRPr="00B66888">
          <w:rPr>
            <w:rStyle w:val="Hyperlink"/>
          </w:rPr>
          <w:t>measures</w:t>
        </w:r>
        <w:r>
          <w:rPr>
            <w:webHidden/>
          </w:rPr>
          <w:tab/>
        </w:r>
        <w:r>
          <w:rPr>
            <w:webHidden/>
          </w:rPr>
          <w:fldChar w:fldCharType="begin"/>
        </w:r>
        <w:r>
          <w:rPr>
            <w:webHidden/>
          </w:rPr>
          <w:instrText xml:space="preserve"> PAGEREF _Toc237259557 \h </w:instrText>
        </w:r>
        <w:r>
          <w:rPr>
            <w:webHidden/>
          </w:rPr>
        </w:r>
        <w:r>
          <w:rPr>
            <w:webHidden/>
          </w:rPr>
          <w:fldChar w:fldCharType="separate"/>
        </w:r>
        <w:r>
          <w:rPr>
            <w:webHidden/>
          </w:rPr>
          <w:t>80</w:t>
        </w:r>
        <w:r>
          <w:rPr>
            <w:webHidden/>
          </w:rPr>
          <w:fldChar w:fldCharType="end"/>
        </w:r>
      </w:hyperlink>
    </w:p>
    <w:p w14:paraId="139A173D" w14:textId="34528050"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58" w:history="1">
        <w:r w:rsidRPr="00B66888">
          <w:rPr>
            <w:rStyle w:val="Hyperlink"/>
            <w:lang w:eastAsia="en-AU"/>
          </w:rPr>
          <w:t>Data caveats</w:t>
        </w:r>
        <w:r>
          <w:rPr>
            <w:webHidden/>
          </w:rPr>
          <w:tab/>
        </w:r>
        <w:r>
          <w:rPr>
            <w:webHidden/>
          </w:rPr>
          <w:fldChar w:fldCharType="begin"/>
        </w:r>
        <w:r>
          <w:rPr>
            <w:webHidden/>
          </w:rPr>
          <w:instrText xml:space="preserve"> PAGEREF _Toc237259558 \h </w:instrText>
        </w:r>
        <w:r>
          <w:rPr>
            <w:webHidden/>
          </w:rPr>
        </w:r>
        <w:r>
          <w:rPr>
            <w:webHidden/>
          </w:rPr>
          <w:fldChar w:fldCharType="separate"/>
        </w:r>
        <w:r>
          <w:rPr>
            <w:webHidden/>
          </w:rPr>
          <w:t>85</w:t>
        </w:r>
        <w:r>
          <w:rPr>
            <w:webHidden/>
          </w:rPr>
          <w:fldChar w:fldCharType="end"/>
        </w:r>
      </w:hyperlink>
    </w:p>
    <w:p w14:paraId="197A4C57" w14:textId="1C153D92"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59" w:history="1">
        <w:r w:rsidRPr="00B66888">
          <w:rPr>
            <w:rStyle w:val="Hyperlink"/>
            <w:lang w:eastAsia="en-AU"/>
          </w:rPr>
          <w:t>Appendix 2: Duty holders by industry</w:t>
        </w:r>
        <w:r>
          <w:rPr>
            <w:webHidden/>
          </w:rPr>
          <w:tab/>
        </w:r>
        <w:r>
          <w:rPr>
            <w:webHidden/>
          </w:rPr>
          <w:fldChar w:fldCharType="begin"/>
        </w:r>
        <w:r>
          <w:rPr>
            <w:webHidden/>
          </w:rPr>
          <w:instrText xml:space="preserve"> PAGEREF _Toc237259559 \h </w:instrText>
        </w:r>
        <w:r>
          <w:rPr>
            <w:webHidden/>
          </w:rPr>
        </w:r>
        <w:r>
          <w:rPr>
            <w:webHidden/>
          </w:rPr>
          <w:fldChar w:fldCharType="separate"/>
        </w:r>
        <w:r>
          <w:rPr>
            <w:webHidden/>
          </w:rPr>
          <w:t>87</w:t>
        </w:r>
        <w:r>
          <w:rPr>
            <w:webHidden/>
          </w:rPr>
          <w:fldChar w:fldCharType="end"/>
        </w:r>
      </w:hyperlink>
    </w:p>
    <w:p w14:paraId="03CF5C88" w14:textId="5B352AE2" w:rsidR="00B2609D" w:rsidRDefault="00B2609D">
      <w:pPr>
        <w:pStyle w:val="TOC2"/>
        <w:rPr>
          <w:rFonts w:asciiTheme="minorHAnsi" w:eastAsiaTheme="minorEastAsia" w:hAnsiTheme="minorHAnsi" w:cstheme="minorBidi"/>
          <w:kern w:val="2"/>
          <w:sz w:val="24"/>
          <w:szCs w:val="24"/>
          <w:lang w:eastAsia="en-AU"/>
          <w14:ligatures w14:val="standardContextual"/>
        </w:rPr>
      </w:pPr>
      <w:hyperlink w:anchor="_Toc237259560" w:history="1">
        <w:r w:rsidRPr="00B66888">
          <w:rPr>
            <w:rStyle w:val="Hyperlink"/>
            <w:lang w:eastAsia="en-AU"/>
          </w:rPr>
          <w:t>Industry list</w:t>
        </w:r>
        <w:r>
          <w:rPr>
            <w:webHidden/>
          </w:rPr>
          <w:tab/>
        </w:r>
        <w:r>
          <w:rPr>
            <w:webHidden/>
          </w:rPr>
          <w:fldChar w:fldCharType="begin"/>
        </w:r>
        <w:r>
          <w:rPr>
            <w:webHidden/>
          </w:rPr>
          <w:instrText xml:space="preserve"> PAGEREF _Toc237259560 \h </w:instrText>
        </w:r>
        <w:r>
          <w:rPr>
            <w:webHidden/>
          </w:rPr>
        </w:r>
        <w:r>
          <w:rPr>
            <w:webHidden/>
          </w:rPr>
          <w:fldChar w:fldCharType="separate"/>
        </w:r>
        <w:r>
          <w:rPr>
            <w:webHidden/>
          </w:rPr>
          <w:t>87</w:t>
        </w:r>
        <w:r>
          <w:rPr>
            <w:webHidden/>
          </w:rPr>
          <w:fldChar w:fldCharType="end"/>
        </w:r>
      </w:hyperlink>
    </w:p>
    <w:p w14:paraId="451D865A" w14:textId="210CF672" w:rsidR="00B2609D" w:rsidRDefault="00B2609D">
      <w:pPr>
        <w:pStyle w:val="TOC1"/>
        <w:rPr>
          <w:rFonts w:asciiTheme="minorHAnsi" w:eastAsiaTheme="minorEastAsia" w:hAnsiTheme="minorHAnsi" w:cstheme="minorBidi"/>
          <w:b w:val="0"/>
          <w:kern w:val="2"/>
          <w:sz w:val="24"/>
          <w:szCs w:val="24"/>
          <w:lang w:eastAsia="en-AU"/>
          <w14:ligatures w14:val="standardContextual"/>
        </w:rPr>
      </w:pPr>
      <w:hyperlink w:anchor="_Toc237259561" w:history="1">
        <w:r w:rsidRPr="00B66888">
          <w:rPr>
            <w:rStyle w:val="Hyperlink"/>
            <w:lang w:eastAsia="en-AU"/>
          </w:rPr>
          <w:t>References</w:t>
        </w:r>
        <w:r>
          <w:rPr>
            <w:webHidden/>
          </w:rPr>
          <w:tab/>
        </w:r>
        <w:r>
          <w:rPr>
            <w:webHidden/>
          </w:rPr>
          <w:fldChar w:fldCharType="begin"/>
        </w:r>
        <w:r>
          <w:rPr>
            <w:webHidden/>
          </w:rPr>
          <w:instrText xml:space="preserve"> PAGEREF _Toc237259561 \h </w:instrText>
        </w:r>
        <w:r>
          <w:rPr>
            <w:webHidden/>
          </w:rPr>
        </w:r>
        <w:r>
          <w:rPr>
            <w:webHidden/>
          </w:rPr>
          <w:fldChar w:fldCharType="separate"/>
        </w:r>
        <w:r>
          <w:rPr>
            <w:webHidden/>
          </w:rPr>
          <w:t>95</w:t>
        </w:r>
        <w:r>
          <w:rPr>
            <w:webHidden/>
          </w:rPr>
          <w:fldChar w:fldCharType="end"/>
        </w:r>
      </w:hyperlink>
    </w:p>
    <w:p w14:paraId="42C49055" w14:textId="18B80656" w:rsidR="00FB1F6E" w:rsidRDefault="00AD784C" w:rsidP="0078531C">
      <w:pPr>
        <w:pStyle w:val="BodyText"/>
      </w:pPr>
      <w:r>
        <w:fldChar w:fldCharType="end"/>
      </w:r>
    </w:p>
    <w:p w14:paraId="1C862B32" w14:textId="764FA7FE" w:rsidR="00854FC0" w:rsidRPr="00385A0B" w:rsidRDefault="00FB1F6E" w:rsidP="00385A0B">
      <w:pPr>
        <w:spacing w:after="0" w:line="240" w:lineRule="auto"/>
        <w:rPr>
          <w:rFonts w:eastAsia="Times"/>
        </w:rPr>
      </w:pPr>
      <w:r>
        <w:br w:type="page"/>
      </w:r>
    </w:p>
    <w:p w14:paraId="7E55CA28" w14:textId="608D12ED" w:rsidR="005F05A7" w:rsidRDefault="00256BA0" w:rsidP="00562811">
      <w:pPr>
        <w:pStyle w:val="Heading1"/>
        <w:spacing w:before="0"/>
      </w:pPr>
      <w:bookmarkStart w:id="0" w:name="_Toc237259496"/>
      <w:r>
        <w:lastRenderedPageBreak/>
        <w:t>A</w:t>
      </w:r>
      <w:r w:rsidR="005F05A7">
        <w:t>cknowledg</w:t>
      </w:r>
      <w:r w:rsidR="00247CB9">
        <w:t>e</w:t>
      </w:r>
      <w:r w:rsidR="005F05A7">
        <w:t>ment</w:t>
      </w:r>
      <w:r w:rsidR="005F05A7" w:rsidRPr="00C27278">
        <w:t xml:space="preserve"> of </w:t>
      </w:r>
      <w:r w:rsidR="001A415F">
        <w:t>C</w:t>
      </w:r>
      <w:r w:rsidR="005F05A7" w:rsidRPr="00C27278">
        <w:t>ountry</w:t>
      </w:r>
      <w:bookmarkEnd w:id="0"/>
      <w:r w:rsidR="005F05A7" w:rsidRPr="00C27278">
        <w:t xml:space="preserve"> </w:t>
      </w:r>
    </w:p>
    <w:p w14:paraId="7DE4627D" w14:textId="009C1567" w:rsidR="00A242CA" w:rsidRDefault="00013D6C" w:rsidP="00B409A0">
      <w:pPr>
        <w:pStyle w:val="BodyText"/>
      </w:pPr>
      <w:r w:rsidRPr="00013D6C">
        <w:t xml:space="preserve">The Commission for Gender Equality in the Public Sector acknowledges and pays respect to the Traditional Owners of the lands. Our office is based on the lands of the Wurundjeri people – the lands on which many of our team members also live and work from home. Other team members live and work on the lands of the Bunurong and Dja Dja Wurrung peoples. </w:t>
      </w:r>
    </w:p>
    <w:p w14:paraId="1B4EADCF" w14:textId="39010EA4" w:rsidR="00C73741" w:rsidRDefault="00013D6C" w:rsidP="00B409A0">
      <w:pPr>
        <w:pStyle w:val="BodyText"/>
      </w:pPr>
      <w:r w:rsidRPr="00013D6C">
        <w:t>We also acknowledge the Traditional Owners and Custodians of Country throughout Victoria and pay our respects to Elders past and present. We recognise the deep and enduring connection of Aboriginal and/or Torres Strait Islander peoples to Country and their continuing custodianship of the land, waterways</w:t>
      </w:r>
      <w:r w:rsidR="0053080E" w:rsidRPr="00013D6C">
        <w:t>,</w:t>
      </w:r>
      <w:r w:rsidRPr="00013D6C">
        <w:t xml:space="preserve"> and seas. </w:t>
      </w:r>
    </w:p>
    <w:p w14:paraId="3B7F1E36" w14:textId="7270A077" w:rsidR="00C73741" w:rsidRDefault="00013D6C" w:rsidP="00B409A0">
      <w:pPr>
        <w:pStyle w:val="BodyText"/>
      </w:pPr>
      <w:r w:rsidRPr="00013D6C">
        <w:t>We proudly recognise First Nations peoples as having the world</w:t>
      </w:r>
      <w:r w:rsidR="002F55AB">
        <w:t>’</w:t>
      </w:r>
      <w:r w:rsidRPr="00013D6C">
        <w:t>s oldest living cultures, and acknowledge that the heritage, traditions</w:t>
      </w:r>
      <w:r w:rsidR="0053080E" w:rsidRPr="00013D6C">
        <w:t>,</w:t>
      </w:r>
      <w:r w:rsidRPr="00013D6C">
        <w:t xml:space="preserve"> and customs of Aboriginal communities throughout Victoria are vibrant, rich</w:t>
      </w:r>
      <w:r w:rsidR="0053080E" w:rsidRPr="00013D6C">
        <w:t>,</w:t>
      </w:r>
      <w:r w:rsidRPr="00013D6C">
        <w:t xml:space="preserve"> and diverse. </w:t>
      </w:r>
    </w:p>
    <w:p w14:paraId="60DAC5A4" w14:textId="77777777" w:rsidR="00C73741" w:rsidRDefault="00013D6C" w:rsidP="00B409A0">
      <w:pPr>
        <w:pStyle w:val="BodyText"/>
      </w:pPr>
      <w:r w:rsidRPr="00013D6C">
        <w:t xml:space="preserve">We respect that Elders and other leaders of Aboriginal communities in Victoria are critical to redressing inequality and disadvantage and improving outcomes for Victorian women. Their leadership includes First Nations women, lesbian, gay, bisexual, trans and gender diverse, non-binary, sistergirls, brotherboys, intersex and queer folk who drive gender equality across Victoria. We thank them and honour their important work. </w:t>
      </w:r>
    </w:p>
    <w:p w14:paraId="019965CD" w14:textId="229247D7" w:rsidR="005F05A7" w:rsidRPr="005F05A7" w:rsidRDefault="00013D6C" w:rsidP="0096082D">
      <w:pPr>
        <w:pStyle w:val="BodyText"/>
      </w:pPr>
      <w:r w:rsidRPr="00013D6C">
        <w:t>As we reflect on previous government policies and practices, we acknowledge the continuing negative impacts on Aboriginal and/or Torres Strait Islander peoples, we recognise and embrace the opportunity to collaborate and work together with First Nations peoples, families, and communities, towards improved economic, social, and cultural outcomes.</w:t>
      </w:r>
    </w:p>
    <w:p w14:paraId="0FDFAD70" w14:textId="65C8F116" w:rsidR="0074356C" w:rsidRPr="005F05A7" w:rsidRDefault="0074356C" w:rsidP="0096082D">
      <w:pPr>
        <w:pStyle w:val="BodyText"/>
      </w:pPr>
      <w:r>
        <w:t>Read more in the Commission</w:t>
      </w:r>
      <w:r w:rsidR="002F55AB">
        <w:t>’</w:t>
      </w:r>
      <w:r>
        <w:t xml:space="preserve">s </w:t>
      </w:r>
      <w:hyperlink r:id="rId21" w:history="1">
        <w:r w:rsidRPr="00992038">
          <w:rPr>
            <w:rStyle w:val="Hyperlink"/>
            <w:rFonts w:cs="Times New Roman"/>
          </w:rPr>
          <w:t xml:space="preserve">Reconciliation </w:t>
        </w:r>
        <w:r w:rsidR="0098193B">
          <w:rPr>
            <w:rStyle w:val="Hyperlink"/>
            <w:rFonts w:cs="Times New Roman"/>
          </w:rPr>
          <w:t>A</w:t>
        </w:r>
        <w:r w:rsidRPr="00992038">
          <w:rPr>
            <w:rStyle w:val="Hyperlink"/>
            <w:rFonts w:cs="Times New Roman"/>
          </w:rPr>
          <w:t xml:space="preserve">ction </w:t>
        </w:r>
        <w:r w:rsidR="0098193B">
          <w:rPr>
            <w:rStyle w:val="Hyperlink"/>
            <w:rFonts w:cs="Times New Roman"/>
          </w:rPr>
          <w:t>P</w:t>
        </w:r>
        <w:r w:rsidRPr="00992038">
          <w:rPr>
            <w:rStyle w:val="Hyperlink"/>
            <w:rFonts w:cs="Times New Roman"/>
          </w:rPr>
          <w:t>lan</w:t>
        </w:r>
      </w:hyperlink>
      <w:r>
        <w:t>.</w:t>
      </w:r>
    </w:p>
    <w:p w14:paraId="2B1D2082" w14:textId="77777777" w:rsidR="00013D6C" w:rsidRPr="0096082D" w:rsidRDefault="00013D6C" w:rsidP="00893162">
      <w:pPr>
        <w:pStyle w:val="BodyText"/>
        <w:rPr>
          <w:rFonts w:eastAsia="MS Gothic"/>
        </w:rPr>
      </w:pPr>
      <w:r>
        <w:br w:type="page"/>
      </w:r>
    </w:p>
    <w:p w14:paraId="75362EB3" w14:textId="2C7818AE" w:rsidR="0067664E" w:rsidRDefault="0067664E" w:rsidP="00562811">
      <w:pPr>
        <w:pStyle w:val="Heading1"/>
        <w:spacing w:before="0"/>
      </w:pPr>
      <w:bookmarkStart w:id="1" w:name="_Toc237259497"/>
      <w:r>
        <w:lastRenderedPageBreak/>
        <w:t>Message from the Minister</w:t>
      </w:r>
      <w:r w:rsidR="006D1ED4">
        <w:t xml:space="preserve"> for Women</w:t>
      </w:r>
      <w:r w:rsidR="001A415F">
        <w:t xml:space="preserve"> and </w:t>
      </w:r>
      <w:r w:rsidR="007957CA">
        <w:t>Gender Equality</w:t>
      </w:r>
      <w:bookmarkEnd w:id="1"/>
    </w:p>
    <w:p w14:paraId="4438AD44" w14:textId="77777777" w:rsidR="00142121" w:rsidRPr="00142121" w:rsidRDefault="00142121" w:rsidP="0082458C">
      <w:pPr>
        <w:pStyle w:val="Introtext"/>
        <w:rPr>
          <w:lang w:eastAsia="en-AU"/>
        </w:rPr>
      </w:pPr>
      <w:r w:rsidRPr="00142121">
        <w:rPr>
          <w:lang w:eastAsia="en-AU"/>
        </w:rPr>
        <w:t xml:space="preserve">Victoria continues to lead the nation in driving systemic and structural reform for gender equality. I was proud to be the Minister who introduced the </w:t>
      </w:r>
      <w:r w:rsidRPr="0082458C">
        <w:rPr>
          <w:i/>
          <w:iCs/>
          <w:lang w:eastAsia="en-AU"/>
        </w:rPr>
        <w:t>Gender Equality Act in 2020</w:t>
      </w:r>
      <w:r w:rsidRPr="00142121">
        <w:rPr>
          <w:lang w:eastAsia="en-AU"/>
        </w:rPr>
        <w:t xml:space="preserve"> which established an ambitious, world-first framework to tackle the root causes of gender inequality in public sector workforces and service delivery.</w:t>
      </w:r>
    </w:p>
    <w:p w14:paraId="4D5BD9BA" w14:textId="3BE205B8" w:rsidR="00142121" w:rsidRPr="00142121" w:rsidRDefault="00142121" w:rsidP="0082458C">
      <w:pPr>
        <w:pStyle w:val="Body"/>
        <w:rPr>
          <w:lang w:eastAsia="en-AU"/>
        </w:rPr>
      </w:pPr>
      <w:r w:rsidRPr="00142121">
        <w:rPr>
          <w:lang w:eastAsia="en-AU"/>
        </w:rPr>
        <w:t xml:space="preserve">As the Public Sector Gender Equality Commissioner releases this </w:t>
      </w:r>
      <w:r>
        <w:rPr>
          <w:lang w:eastAsia="en-AU"/>
        </w:rPr>
        <w:t>r</w:t>
      </w:r>
      <w:r w:rsidRPr="00142121">
        <w:rPr>
          <w:lang w:eastAsia="en-AU"/>
        </w:rPr>
        <w:t xml:space="preserve">eport, I am proud to return to the portfolio and see growing evidence that the sustained effort of recent years is beginning to support measurable progress across parts of the Victorian public sector. </w:t>
      </w:r>
    </w:p>
    <w:p w14:paraId="57BC8E1C" w14:textId="77777777" w:rsidR="00142121" w:rsidRPr="00142121" w:rsidRDefault="00142121" w:rsidP="0082458C">
      <w:pPr>
        <w:pStyle w:val="Body"/>
        <w:rPr>
          <w:lang w:eastAsia="en-AU"/>
        </w:rPr>
      </w:pPr>
      <w:r w:rsidRPr="00142121">
        <w:rPr>
          <w:lang w:eastAsia="en-AU"/>
        </w:rPr>
        <w:t xml:space="preserve">While meaningful structural change takes time, this report points to encouraging signs that the foundations laid under the Act are beginning to shift patterns that have historically proven difficult to change. This report provides an important opportunity to take stock of where progress is occurring, where challenges persist, and where further effort is needed. </w:t>
      </w:r>
    </w:p>
    <w:p w14:paraId="77A4A455" w14:textId="77777777" w:rsidR="00142121" w:rsidRPr="00142121" w:rsidRDefault="00142121" w:rsidP="0082458C">
      <w:pPr>
        <w:pStyle w:val="Body"/>
        <w:rPr>
          <w:lang w:eastAsia="en-AU"/>
        </w:rPr>
      </w:pPr>
      <w:r w:rsidRPr="00142121">
        <w:rPr>
          <w:lang w:eastAsia="en-AU"/>
        </w:rPr>
        <w:t xml:space="preserve">The findings show a mixed but encouraging picture. There are measurable signs of progress in some areas, including women’s representation in senior leadership, board gender balance, and greater uptake of flexible work and parental leave by men in some industries. </w:t>
      </w:r>
    </w:p>
    <w:p w14:paraId="02413AC2" w14:textId="77777777" w:rsidR="00142121" w:rsidRPr="00142121" w:rsidRDefault="00142121" w:rsidP="0082458C">
      <w:pPr>
        <w:pStyle w:val="Body"/>
        <w:rPr>
          <w:lang w:eastAsia="en-AU"/>
        </w:rPr>
      </w:pPr>
      <w:r w:rsidRPr="00142121">
        <w:rPr>
          <w:lang w:eastAsia="en-AU"/>
        </w:rPr>
        <w:t xml:space="preserve">At the same time, the report makes clear that progress is uneven. Workplace sexual harassment remains a serious concern, gender pay gaps persist, and entrenched gendered segregation continues to shape workplace experiences and outcomes. </w:t>
      </w:r>
    </w:p>
    <w:p w14:paraId="1B77CAEB" w14:textId="4ADE6BB4" w:rsidR="00142121" w:rsidRPr="00142121" w:rsidRDefault="00142121" w:rsidP="0082458C">
      <w:pPr>
        <w:pStyle w:val="Body"/>
        <w:rPr>
          <w:lang w:eastAsia="en-AU"/>
        </w:rPr>
      </w:pPr>
      <w:r w:rsidRPr="00142121">
        <w:rPr>
          <w:lang w:eastAsia="en-AU"/>
        </w:rPr>
        <w:t xml:space="preserve">These findings reinforce something we have long understood: lasting structural change requires sustained effort, leadership and accountability. The Gender Equality Act was designed with this in mind. By requiring organisations to measure, report and take action over time, the Act recognises that meaningful workplace and cultural change is rarely immediate or linear. </w:t>
      </w:r>
    </w:p>
    <w:p w14:paraId="5DB053D1" w14:textId="1AB0B9C1" w:rsidR="00142121" w:rsidRPr="00142121" w:rsidRDefault="00142121" w:rsidP="0082458C">
      <w:pPr>
        <w:pStyle w:val="Body"/>
        <w:rPr>
          <w:lang w:eastAsia="en-AU"/>
        </w:rPr>
      </w:pPr>
      <w:r w:rsidRPr="00142121">
        <w:rPr>
          <w:lang w:eastAsia="en-AU"/>
        </w:rPr>
        <w:t xml:space="preserve">I thank the Public Sector Gender Equality Commissioner and her team for this important work. I also acknowledge the many public sector leaders, employees, union representatives, and practitioners working every day to create fairer, safer and more inclusive workplaces across Victoria. </w:t>
      </w:r>
    </w:p>
    <w:p w14:paraId="508C5D7B" w14:textId="77777777" w:rsidR="00142121" w:rsidRPr="00142121" w:rsidRDefault="00142121" w:rsidP="0082458C">
      <w:pPr>
        <w:pStyle w:val="Body"/>
        <w:rPr>
          <w:lang w:eastAsia="en-AU"/>
        </w:rPr>
      </w:pPr>
      <w:r w:rsidRPr="00142121">
        <w:rPr>
          <w:lang w:eastAsia="en-AU"/>
        </w:rPr>
        <w:t>This report provides valuable evidence to guide future action. By continuing to measure progress, learn from what is working, and address persistent challenges, Victoria’s public sector can continue to strengthen outcomes for employees and the communities they serve.</w:t>
      </w:r>
    </w:p>
    <w:p w14:paraId="21805634" w14:textId="52ADAA68" w:rsidR="00401E61" w:rsidRPr="00401E61" w:rsidRDefault="00D66B43" w:rsidP="00401E61">
      <w:pPr>
        <w:pStyle w:val="BodyText"/>
        <w:rPr>
          <w:b/>
          <w:bCs/>
        </w:rPr>
      </w:pPr>
      <w:r w:rsidRPr="00401E61">
        <w:rPr>
          <w:b/>
          <w:bCs/>
        </w:rPr>
        <w:t>Gabrielle Williams MP</w:t>
      </w:r>
      <w:r w:rsidR="004E1436" w:rsidRPr="00401E61">
        <w:rPr>
          <w:b/>
          <w:bCs/>
        </w:rPr>
        <w:t xml:space="preserve"> </w:t>
      </w:r>
      <w:r w:rsidR="003C6889">
        <w:rPr>
          <w:b/>
          <w:bCs/>
        </w:rPr>
        <w:br/>
      </w:r>
      <w:r w:rsidRPr="00401E61">
        <w:rPr>
          <w:b/>
          <w:bCs/>
        </w:rPr>
        <w:t>Minister for Women</w:t>
      </w:r>
      <w:r w:rsidR="004E1436" w:rsidRPr="00401E61">
        <w:rPr>
          <w:b/>
          <w:bCs/>
        </w:rPr>
        <w:t xml:space="preserve"> </w:t>
      </w:r>
      <w:r w:rsidR="00037363">
        <w:rPr>
          <w:b/>
          <w:bCs/>
        </w:rPr>
        <w:t xml:space="preserve">and </w:t>
      </w:r>
      <w:r w:rsidR="007957CA">
        <w:rPr>
          <w:b/>
          <w:bCs/>
        </w:rPr>
        <w:t>Gender Equality</w:t>
      </w:r>
      <w:r w:rsidR="007957CA" w:rsidRPr="00401E61">
        <w:rPr>
          <w:b/>
          <w:bCs/>
        </w:rPr>
        <w:t xml:space="preserve"> </w:t>
      </w:r>
    </w:p>
    <w:p w14:paraId="38CC16E9" w14:textId="77777777" w:rsidR="00401E61" w:rsidRDefault="00401E61" w:rsidP="00401E61">
      <w:pPr>
        <w:pStyle w:val="BodyText"/>
      </w:pPr>
    </w:p>
    <w:p w14:paraId="021F617B" w14:textId="645FDC1E" w:rsidR="00401E61" w:rsidRDefault="00FE172F" w:rsidP="00401E61">
      <w:pPr>
        <w:pStyle w:val="Heading1"/>
      </w:pPr>
      <w:r>
        <w:br w:type="page"/>
      </w:r>
      <w:bookmarkStart w:id="2" w:name="_Toc237259498"/>
      <w:r w:rsidR="002029FA">
        <w:lastRenderedPageBreak/>
        <w:t>Commissioner</w:t>
      </w:r>
      <w:r w:rsidR="002F55AB">
        <w:t>’</w:t>
      </w:r>
      <w:r w:rsidR="002029FA">
        <w:t xml:space="preserve">s </w:t>
      </w:r>
      <w:r w:rsidR="007936A3">
        <w:t>f</w:t>
      </w:r>
      <w:r w:rsidR="002029FA">
        <w:t>oreword</w:t>
      </w:r>
      <w:bookmarkEnd w:id="2"/>
    </w:p>
    <w:p w14:paraId="21DEB30E" w14:textId="12A18426" w:rsidR="00D34D39" w:rsidRDefault="002A3439" w:rsidP="00401E61">
      <w:pPr>
        <w:pStyle w:val="Introtext"/>
      </w:pPr>
      <w:r w:rsidRPr="005F688D" w:rsidDel="002E3E0D">
        <w:t xml:space="preserve">Victorians deserve workplaces and communities where fairness </w:t>
      </w:r>
      <w:r w:rsidR="009A0985" w:rsidRPr="005F688D">
        <w:t>isn</w:t>
      </w:r>
      <w:r w:rsidR="002F55AB">
        <w:t>’</w:t>
      </w:r>
      <w:r w:rsidR="009A0985" w:rsidRPr="005F688D">
        <w:t>t</w:t>
      </w:r>
      <w:r w:rsidRPr="005F688D" w:rsidDel="002E3E0D">
        <w:t xml:space="preserve"> just aspirational </w:t>
      </w:r>
      <w:r w:rsidR="00F405A1">
        <w:t>–</w:t>
      </w:r>
      <w:r w:rsidR="009A0985" w:rsidRPr="005F688D">
        <w:t xml:space="preserve"> it</w:t>
      </w:r>
      <w:r w:rsidR="002F55AB">
        <w:t>’</w:t>
      </w:r>
      <w:r w:rsidR="009A0985" w:rsidRPr="005F688D">
        <w:t>s</w:t>
      </w:r>
      <w:r w:rsidRPr="005F688D" w:rsidDel="002E3E0D">
        <w:t xml:space="preserve"> realised.</w:t>
      </w:r>
      <w:r w:rsidR="004E1436" w:rsidDel="002E3E0D">
        <w:t xml:space="preserve"> </w:t>
      </w:r>
      <w:r w:rsidR="009A0985" w:rsidRPr="005F688D">
        <w:t>That</w:t>
      </w:r>
      <w:r w:rsidR="002F55AB">
        <w:t>’</w:t>
      </w:r>
      <w:r w:rsidR="009A0985" w:rsidRPr="005F688D">
        <w:t xml:space="preserve">s why, five years </w:t>
      </w:r>
      <w:r w:rsidR="005C4C0A">
        <w:t>since</w:t>
      </w:r>
      <w:r w:rsidR="009A0985" w:rsidRPr="005F688D">
        <w:t xml:space="preserve"> the </w:t>
      </w:r>
      <w:r w:rsidR="005C4C0A">
        <w:t>commencement</w:t>
      </w:r>
      <w:r w:rsidR="009A0985" w:rsidRPr="005F688D">
        <w:t xml:space="preserve"> of Victoria</w:t>
      </w:r>
      <w:r w:rsidR="002F55AB">
        <w:t>’</w:t>
      </w:r>
      <w:r w:rsidR="009A0985" w:rsidRPr="005F688D">
        <w:t xml:space="preserve">s landmark </w:t>
      </w:r>
      <w:r w:rsidR="009A0985" w:rsidRPr="001A243D">
        <w:rPr>
          <w:i/>
          <w:iCs/>
        </w:rPr>
        <w:t>Gender Equality Act 2020</w:t>
      </w:r>
      <w:r w:rsidR="009A0985" w:rsidRPr="005F688D">
        <w:t>, the pursuit of gender equality remains so important.</w:t>
      </w:r>
      <w:r w:rsidR="004E1436">
        <w:t xml:space="preserve"> </w:t>
      </w:r>
    </w:p>
    <w:p w14:paraId="431C31F0" w14:textId="58F7367C" w:rsidR="004E1436" w:rsidRDefault="009A0985" w:rsidP="004444B7">
      <w:pPr>
        <w:pStyle w:val="BodyText"/>
      </w:pPr>
      <w:r w:rsidRPr="005F688D">
        <w:t>In a cost-of-living crisis, more Victorians rely on the public sector for programs and services that are fair and equitable. At the same time, the sector is undergoing significant reform</w:t>
      </w:r>
      <w:r w:rsidR="002E1F77">
        <w:t>. J</w:t>
      </w:r>
      <w:r w:rsidRPr="005F688D">
        <w:t xml:space="preserve">ob cuts, budget savings measures and the adoption of AI </w:t>
      </w:r>
      <w:r w:rsidR="002E1F77">
        <w:t xml:space="preserve">are </w:t>
      </w:r>
      <w:r w:rsidRPr="005F688D">
        <w:t xml:space="preserve">affecting many parts of the workforce. Periods of rapid change like this carry a real risk: that existing gender </w:t>
      </w:r>
      <w:r w:rsidR="00133A9E">
        <w:t>inequalities</w:t>
      </w:r>
      <w:r w:rsidR="00133A9E" w:rsidRPr="005F688D">
        <w:t xml:space="preserve"> </w:t>
      </w:r>
      <w:r w:rsidRPr="005F688D">
        <w:t xml:space="preserve">become </w:t>
      </w:r>
      <w:r w:rsidR="00185BA8">
        <w:t>further entrenched</w:t>
      </w:r>
      <w:r w:rsidRPr="005F688D">
        <w:t xml:space="preserve"> as new systems and structures are built. </w:t>
      </w:r>
      <w:r w:rsidR="00185BA8">
        <w:t>Organisations have t</w:t>
      </w:r>
      <w:r w:rsidRPr="005F688D">
        <w:t xml:space="preserve">he opportunity </w:t>
      </w:r>
      <w:r w:rsidR="00F100D6">
        <w:t>–</w:t>
      </w:r>
      <w:r w:rsidRPr="005F688D">
        <w:t xml:space="preserve"> and the responsibility –</w:t>
      </w:r>
      <w:r w:rsidRPr="005F688D" w:rsidDel="00480F11">
        <w:t xml:space="preserve"> </w:t>
      </w:r>
      <w:r w:rsidRPr="005F688D">
        <w:t>to design gender equality into those systems, processes</w:t>
      </w:r>
      <w:r w:rsidR="00766DCB" w:rsidRPr="005F688D">
        <w:t>,</w:t>
      </w:r>
      <w:r w:rsidRPr="005F688D">
        <w:t xml:space="preserve"> and policies now, </w:t>
      </w:r>
      <w:r w:rsidR="000C1079">
        <w:t>to avoid</w:t>
      </w:r>
      <w:r w:rsidRPr="005F688D">
        <w:t xml:space="preserve"> trying to retrofit it </w:t>
      </w:r>
      <w:r w:rsidR="00DB4A7B" w:rsidRPr="005F688D">
        <w:t xml:space="preserve">later. </w:t>
      </w:r>
    </w:p>
    <w:p w14:paraId="18AB9B9B" w14:textId="19F866CC" w:rsidR="00EE761E" w:rsidRDefault="00DB4A7B" w:rsidP="0078531C">
      <w:pPr>
        <w:pStyle w:val="BodyText"/>
      </w:pPr>
      <w:r w:rsidRPr="005F688D">
        <w:t>The</w:t>
      </w:r>
      <w:r w:rsidR="009A0985" w:rsidRPr="005F688D">
        <w:t xml:space="preserve"> </w:t>
      </w:r>
      <w:r w:rsidR="009A0985" w:rsidRPr="00337347">
        <w:t>Gender Equality Act</w:t>
      </w:r>
      <w:r w:rsidR="009A0985" w:rsidRPr="005F688D">
        <w:t xml:space="preserve"> requires public sector organisations to proactively address gender inequality in their workplaces, and in the programs, policies and services they deliver</w:t>
      </w:r>
      <w:r w:rsidR="002627E3">
        <w:t xml:space="preserve"> to the public</w:t>
      </w:r>
      <w:r w:rsidR="009A0985" w:rsidRPr="005F688D">
        <w:t xml:space="preserve">. It does this </w:t>
      </w:r>
      <w:r w:rsidR="002627E3">
        <w:t xml:space="preserve">in part, </w:t>
      </w:r>
      <w:r w:rsidR="009A0985" w:rsidRPr="005F688D">
        <w:t>through 7 workplace gender equality indicators that, together, capture how interconnected these issues are.</w:t>
      </w:r>
      <w:r w:rsidR="00EE761E">
        <w:t xml:space="preserve"> </w:t>
      </w:r>
      <w:r w:rsidR="009A0985" w:rsidRPr="005F688D">
        <w:t xml:space="preserve">Measuring and driving progress against these indicators is core to the </w:t>
      </w:r>
      <w:r w:rsidR="007C2D7D" w:rsidRPr="005F688D">
        <w:t>Act</w:t>
      </w:r>
      <w:r w:rsidR="007C2D7D">
        <w:t>’s</w:t>
      </w:r>
      <w:r w:rsidR="009A0985" w:rsidRPr="005F688D">
        <w:t xml:space="preserve"> purpose. For the first time, Victoria has longitudinal, sector-wide data that tracks whether public sector organisations are making measurable progress over time. That transparency and accountability framework is a significant reform in its own right. </w:t>
      </w:r>
    </w:p>
    <w:p w14:paraId="3F6E1684" w14:textId="069E1C22" w:rsidR="00EE761E" w:rsidRDefault="009A0985" w:rsidP="0078531C">
      <w:pPr>
        <w:pStyle w:val="BodyText"/>
      </w:pPr>
      <w:r w:rsidRPr="005F688D">
        <w:t xml:space="preserve">The data in this report shows that structural progress is beginning to take hold across parts of the Victorian public sector </w:t>
      </w:r>
      <w:r w:rsidR="00FE572C">
        <w:t>–</w:t>
      </w:r>
      <w:r w:rsidRPr="005F688D">
        <w:t xml:space="preserve"> including</w:t>
      </w:r>
      <w:r w:rsidR="00FE572C">
        <w:t xml:space="preserve"> </w:t>
      </w:r>
      <w:r w:rsidRPr="005F688D">
        <w:t xml:space="preserve">in some areas that have historically been most resistant to change. </w:t>
      </w:r>
      <w:r w:rsidR="0004697E">
        <w:t>In 2025, w</w:t>
      </w:r>
      <w:r w:rsidRPr="005F688D">
        <w:t>omen</w:t>
      </w:r>
      <w:r w:rsidR="002F55AB">
        <w:t>’</w:t>
      </w:r>
      <w:r w:rsidRPr="005F688D">
        <w:t>s representation in senior leadership increas</w:t>
      </w:r>
      <w:r w:rsidR="00ED0372">
        <w:t>ed</w:t>
      </w:r>
      <w:r w:rsidRPr="005F688D">
        <w:t xml:space="preserve">. More women </w:t>
      </w:r>
      <w:r w:rsidR="0004697E">
        <w:t>were</w:t>
      </w:r>
      <w:r w:rsidRPr="005F688D">
        <w:t xml:space="preserve"> working in </w:t>
      </w:r>
      <w:r w:rsidR="00082A53">
        <w:t>traditionally</w:t>
      </w:r>
      <w:r w:rsidR="00082A53" w:rsidRPr="00E61B52">
        <w:t xml:space="preserve"> </w:t>
      </w:r>
      <w:r w:rsidR="00082A53">
        <w:t>men-concentrated</w:t>
      </w:r>
      <w:r w:rsidR="00082A53" w:rsidRPr="005F688D">
        <w:t xml:space="preserve"> </w:t>
      </w:r>
      <w:r w:rsidRPr="005F688D">
        <w:t xml:space="preserve">occupations and industries. </w:t>
      </w:r>
      <w:r w:rsidR="00ED0372">
        <w:t>Gender p</w:t>
      </w:r>
      <w:r w:rsidR="00ED0372" w:rsidRPr="005F688D">
        <w:t>ay gaps narrow</w:t>
      </w:r>
      <w:r w:rsidR="00ED0372">
        <w:t>ed</w:t>
      </w:r>
      <w:r w:rsidR="00ED0372" w:rsidRPr="005F688D">
        <w:t xml:space="preserve"> within many organisations</w:t>
      </w:r>
      <w:r w:rsidR="00ED0372">
        <w:t xml:space="preserve"> and </w:t>
      </w:r>
      <w:r w:rsidR="00BB0BD5">
        <w:t xml:space="preserve">across </w:t>
      </w:r>
      <w:r w:rsidR="00ED0372">
        <w:t xml:space="preserve">7 of </w:t>
      </w:r>
      <w:r w:rsidR="00BB0BD5">
        <w:t xml:space="preserve">the sector’s </w:t>
      </w:r>
      <w:r w:rsidR="00ED0372">
        <w:t>11 industries</w:t>
      </w:r>
      <w:r w:rsidR="00BB0BD5">
        <w:t>.</w:t>
      </w:r>
      <w:r w:rsidR="00ED0372">
        <w:t xml:space="preserve"> </w:t>
      </w:r>
      <w:r w:rsidRPr="005F688D">
        <w:t>Men</w:t>
      </w:r>
      <w:r w:rsidR="002F55AB">
        <w:t>’</w:t>
      </w:r>
      <w:r w:rsidRPr="005F688D">
        <w:t>s uptake of parental leave improved in several industries. These are meaningful signs that change is possible.</w:t>
      </w:r>
      <w:r w:rsidR="00DB4A7B">
        <w:t xml:space="preserve"> </w:t>
      </w:r>
    </w:p>
    <w:p w14:paraId="7D5BEB02" w14:textId="4609C292" w:rsidR="00EE761E" w:rsidRDefault="009A0985" w:rsidP="0078531C">
      <w:pPr>
        <w:pStyle w:val="BodyText"/>
      </w:pPr>
      <w:r w:rsidRPr="005F688D">
        <w:t>But progress is neither consistent nor fast enough</w:t>
      </w:r>
      <w:r w:rsidR="00370132">
        <w:t>. S</w:t>
      </w:r>
      <w:r w:rsidRPr="005F688D">
        <w:t xml:space="preserve">tructural gender inequality continues to </w:t>
      </w:r>
      <w:r w:rsidR="005F7A07">
        <w:t xml:space="preserve">shape </w:t>
      </w:r>
      <w:r w:rsidR="00F95710">
        <w:t xml:space="preserve">workplace </w:t>
      </w:r>
      <w:r w:rsidR="005F7A07">
        <w:t>experiences and outcomes</w:t>
      </w:r>
      <w:r w:rsidRPr="005F688D">
        <w:t xml:space="preserve"> </w:t>
      </w:r>
      <w:r w:rsidR="00F95710">
        <w:t>for</w:t>
      </w:r>
      <w:r w:rsidRPr="005F688D">
        <w:t xml:space="preserve"> Victorians every day. </w:t>
      </w:r>
      <w:r w:rsidR="00B93567">
        <w:t xml:space="preserve">There is still work to be done to eliminate sexual harassment in public sector workplaces. </w:t>
      </w:r>
      <w:r w:rsidRPr="005F688D">
        <w:t>Women</w:t>
      </w:r>
      <w:r w:rsidR="00B4244F">
        <w:t xml:space="preserve">’s experience of sexual harassment </w:t>
      </w:r>
      <w:r w:rsidR="00923D7A">
        <w:t>barely shifted</w:t>
      </w:r>
      <w:r w:rsidR="00C87805">
        <w:t xml:space="preserve"> </w:t>
      </w:r>
      <w:r w:rsidR="00923D7A">
        <w:t>at the sector level</w:t>
      </w:r>
      <w:r w:rsidRPr="005F688D">
        <w:t>,</w:t>
      </w:r>
      <w:r w:rsidR="00923D7A">
        <w:t xml:space="preserve"> and for</w:t>
      </w:r>
      <w:r w:rsidRPr="005F688D">
        <w:t xml:space="preserve"> non-binary and gender-diverse people </w:t>
      </w:r>
      <w:r w:rsidR="00923D7A">
        <w:t>it increased</w:t>
      </w:r>
      <w:r w:rsidR="008B3858">
        <w:t>.</w:t>
      </w:r>
      <w:r w:rsidRPr="005F688D">
        <w:t xml:space="preserve"> </w:t>
      </w:r>
      <w:r w:rsidR="001B1BEF" w:rsidRPr="001B1BEF">
        <w:t>The whole-of-sector pay gap has not narrowed since 2021</w:t>
      </w:r>
      <w:r w:rsidR="00E6481F">
        <w:t xml:space="preserve">. </w:t>
      </w:r>
      <w:r w:rsidR="00C05BE6">
        <w:t>(It is worth noting, however</w:t>
      </w:r>
      <w:r w:rsidR="001B1BEF" w:rsidRPr="001B1BEF">
        <w:t xml:space="preserve">, </w:t>
      </w:r>
      <w:r w:rsidR="00C05BE6">
        <w:t xml:space="preserve">that </w:t>
      </w:r>
      <w:r w:rsidR="001B1BEF" w:rsidRPr="001B1BEF">
        <w:t xml:space="preserve">organisations </w:t>
      </w:r>
      <w:r w:rsidR="00401BAA">
        <w:t xml:space="preserve">who </w:t>
      </w:r>
      <w:r w:rsidR="001B1BEF" w:rsidRPr="001B1BEF">
        <w:t>report</w:t>
      </w:r>
      <w:r w:rsidR="00401BAA">
        <w:t>ed</w:t>
      </w:r>
      <w:r w:rsidR="001B1BEF" w:rsidRPr="001B1BEF">
        <w:t xml:space="preserve"> in both </w:t>
      </w:r>
      <w:r w:rsidR="00401BAA">
        <w:t>2021 and 2025</w:t>
      </w:r>
      <w:r w:rsidR="001B1BEF" w:rsidRPr="001B1BEF">
        <w:t xml:space="preserve"> improved on average</w:t>
      </w:r>
      <w:r w:rsidR="00D572E2">
        <w:t xml:space="preserve"> – this means t</w:t>
      </w:r>
      <w:r w:rsidR="001B1BEF" w:rsidRPr="001B1BEF">
        <w:t xml:space="preserve">he </w:t>
      </w:r>
      <w:r w:rsidR="00D572E2">
        <w:t xml:space="preserve">2025 gender pay gap </w:t>
      </w:r>
      <w:r w:rsidR="001B1BEF" w:rsidRPr="001B1BEF">
        <w:t>reflects broader reporting coverage</w:t>
      </w:r>
      <w:r w:rsidR="00A36AEF">
        <w:t>,</w:t>
      </w:r>
      <w:r w:rsidR="001B1BEF" w:rsidRPr="001B1BEF">
        <w:t xml:space="preserve"> and where women and men sit </w:t>
      </w:r>
      <w:r w:rsidR="00A93F23" w:rsidRPr="00A93F23">
        <w:t>across different industries and pay bands</w:t>
      </w:r>
      <w:r w:rsidR="001B1BEF" w:rsidRPr="001B1BEF">
        <w:t>, rather than a decline in pay equity</w:t>
      </w:r>
      <w:r w:rsidRPr="005F688D">
        <w:t>.</w:t>
      </w:r>
      <w:r w:rsidR="00A36AEF">
        <w:t>)</w:t>
      </w:r>
      <w:r w:rsidRPr="005F688D">
        <w:t xml:space="preserve"> The</w:t>
      </w:r>
      <w:r w:rsidR="00DC6517">
        <w:t xml:space="preserve"> </w:t>
      </w:r>
      <w:r w:rsidR="00ED0372">
        <w:t>gender pay</w:t>
      </w:r>
      <w:r w:rsidRPr="005F688D">
        <w:t xml:space="preserve"> gap </w:t>
      </w:r>
      <w:r w:rsidR="00F0507E">
        <w:t>was</w:t>
      </w:r>
      <w:r w:rsidRPr="005F688D">
        <w:t xml:space="preserve"> wide</w:t>
      </w:r>
      <w:r w:rsidR="00ED1CAA">
        <w:t>r</w:t>
      </w:r>
      <w:r w:rsidRPr="005F688D">
        <w:t xml:space="preserve"> for women in women-concentrated industries such as public health</w:t>
      </w:r>
      <w:r w:rsidR="00A6337A">
        <w:t xml:space="preserve"> </w:t>
      </w:r>
      <w:r w:rsidRPr="005F688D">
        <w:t xml:space="preserve">care and community </w:t>
      </w:r>
      <w:r w:rsidR="008F56EA">
        <w:t xml:space="preserve">and cultural </w:t>
      </w:r>
      <w:r w:rsidRPr="005F688D">
        <w:t xml:space="preserve">services, and widest of all for First Nations women. </w:t>
      </w:r>
    </w:p>
    <w:p w14:paraId="04750BD1" w14:textId="156475FB" w:rsidR="001D7070" w:rsidRPr="001D7070" w:rsidRDefault="001D7070" w:rsidP="001D7070">
      <w:pPr>
        <w:pStyle w:val="BodyText"/>
      </w:pPr>
      <w:r w:rsidRPr="001D7070">
        <w:t xml:space="preserve">Five years into implementation, we have moved beyond establishing baselines and identifying problems. We now have evidence about where progress is occurring, where it is stalling, and </w:t>
      </w:r>
      <w:r w:rsidR="00CF6AC8">
        <w:t xml:space="preserve">what </w:t>
      </w:r>
      <w:r w:rsidR="00152429">
        <w:t>organisations must do to shift this</w:t>
      </w:r>
      <w:r w:rsidRPr="001D7070">
        <w:t>. Throughout this report I set out my expectations for organisations under each workplace gender equality indicator, to help focus effort where it can have the greatest impact.</w:t>
      </w:r>
    </w:p>
    <w:p w14:paraId="1953144A" w14:textId="73DF0603" w:rsidR="001D7070" w:rsidRPr="001D7070" w:rsidRDefault="001D7070" w:rsidP="001D7070">
      <w:pPr>
        <w:pStyle w:val="BodyText"/>
      </w:pPr>
      <w:r w:rsidRPr="001D7070">
        <w:t>My immediate regulatory priorities are the inequalities causing the greatest harm and those where the evidence suggests the greatest opportunity for improvement. This includes reducing gender pay gaps, strengthening the prevention of</w:t>
      </w:r>
      <w:r w:rsidR="00C363F1">
        <w:t xml:space="preserve"> </w:t>
      </w:r>
      <w:r w:rsidR="0039726A">
        <w:t>–</w:t>
      </w:r>
      <w:r w:rsidR="00C363F1">
        <w:t xml:space="preserve"> and response to </w:t>
      </w:r>
      <w:r w:rsidR="0039726A">
        <w:t>–</w:t>
      </w:r>
      <w:r w:rsidR="00C363F1">
        <w:t xml:space="preserve"> </w:t>
      </w:r>
      <w:r w:rsidRPr="001D7070">
        <w:t>workplace sexual harassment, and increasing men</w:t>
      </w:r>
      <w:r w:rsidR="00901479">
        <w:t>’</w:t>
      </w:r>
      <w:r w:rsidRPr="001D7070">
        <w:t>s uptake of parental leave to support more equitable sharing of care.</w:t>
      </w:r>
    </w:p>
    <w:p w14:paraId="62201342" w14:textId="273D40A4" w:rsidR="00974609" w:rsidRDefault="00CE5E64" w:rsidP="0078531C">
      <w:pPr>
        <w:pStyle w:val="BodyText"/>
      </w:pPr>
      <w:r>
        <w:lastRenderedPageBreak/>
        <w:t xml:space="preserve">Intersectionality is </w:t>
      </w:r>
      <w:r w:rsidR="005E3A84" w:rsidRPr="005E3A84">
        <w:t>central</w:t>
      </w:r>
      <w:r w:rsidR="00AC30B8">
        <w:t xml:space="preserve"> to</w:t>
      </w:r>
      <w:r>
        <w:t xml:space="preserve"> </w:t>
      </w:r>
      <w:r w:rsidR="005E3A84" w:rsidRPr="005E3A84">
        <w:t>the Commission's approach</w:t>
      </w:r>
      <w:r w:rsidR="00CC5B0F">
        <w:t>. W</w:t>
      </w:r>
      <w:r w:rsidR="000B4D7F">
        <w:t>e recognise</w:t>
      </w:r>
      <w:r w:rsidR="00083CFB">
        <w:t xml:space="preserve"> that </w:t>
      </w:r>
      <w:r w:rsidR="001A428C">
        <w:t>some</w:t>
      </w:r>
      <w:r w:rsidR="008D0286">
        <w:t xml:space="preserve"> groups face compounded </w:t>
      </w:r>
      <w:r w:rsidR="001A428C">
        <w:t xml:space="preserve">forms of </w:t>
      </w:r>
      <w:r w:rsidR="00AF2DE7">
        <w:t>gender inequality</w:t>
      </w:r>
      <w:r w:rsidR="003A58E2">
        <w:t>, and that addressing these intersecting barriers</w:t>
      </w:r>
      <w:r w:rsidR="00D04A8A">
        <w:t xml:space="preserve"> is essential to achieving</w:t>
      </w:r>
      <w:r w:rsidR="002940CE">
        <w:t xml:space="preserve"> </w:t>
      </w:r>
      <w:r w:rsidR="006C29C6">
        <w:t>fair outcomes</w:t>
      </w:r>
      <w:r w:rsidR="008D761A">
        <w:t xml:space="preserve"> for all Victorians</w:t>
      </w:r>
      <w:r w:rsidR="00007539">
        <w:t xml:space="preserve">. </w:t>
      </w:r>
    </w:p>
    <w:p w14:paraId="52285AB6" w14:textId="37BB62EF" w:rsidR="00035965" w:rsidRDefault="009A0985" w:rsidP="00035965">
      <w:pPr>
        <w:pStyle w:val="BodyText"/>
      </w:pPr>
      <w:r w:rsidRPr="005F688D">
        <w:t>Gender inequality is an entrenched structural and social issue</w:t>
      </w:r>
      <w:r w:rsidR="002C6618">
        <w:t>.</w:t>
      </w:r>
      <w:r w:rsidRPr="005F688D">
        <w:t xml:space="preserve"> </w:t>
      </w:r>
      <w:r w:rsidR="002C6618">
        <w:t>S</w:t>
      </w:r>
      <w:r w:rsidRPr="005F688D">
        <w:t xml:space="preserve">hifting it </w:t>
      </w:r>
      <w:r w:rsidR="00D04A8A">
        <w:t>requires sustained</w:t>
      </w:r>
      <w:r w:rsidRPr="005F688D">
        <w:t xml:space="preserve"> effort </w:t>
      </w:r>
      <w:r w:rsidR="00770ABE">
        <w:t>across</w:t>
      </w:r>
      <w:r w:rsidRPr="005F688D">
        <w:t xml:space="preserve"> government</w:t>
      </w:r>
      <w:r w:rsidR="00770ABE">
        <w:t>, workplaces</w:t>
      </w:r>
      <w:r w:rsidR="000B7A9B">
        <w:t xml:space="preserve"> and the broader community</w:t>
      </w:r>
      <w:r w:rsidRPr="005F688D">
        <w:t xml:space="preserve">. </w:t>
      </w:r>
      <w:r w:rsidR="00035965" w:rsidRPr="005F688D">
        <w:t>The Commission</w:t>
      </w:r>
      <w:r w:rsidR="00035965">
        <w:t>’</w:t>
      </w:r>
      <w:r w:rsidR="00035965" w:rsidRPr="005F688D">
        <w:t xml:space="preserve">s work adds a </w:t>
      </w:r>
      <w:r w:rsidR="00466DF8">
        <w:t>strong</w:t>
      </w:r>
      <w:r w:rsidR="00DC6517">
        <w:t xml:space="preserve"> </w:t>
      </w:r>
      <w:r w:rsidR="00035965" w:rsidRPr="005F688D">
        <w:t>regulatory lever to Victoria</w:t>
      </w:r>
      <w:r w:rsidR="00035965">
        <w:t>’</w:t>
      </w:r>
      <w:r w:rsidR="00035965" w:rsidRPr="005F688D">
        <w:t xml:space="preserve">s well-established gender equality ecosystem. </w:t>
      </w:r>
    </w:p>
    <w:p w14:paraId="55F1BD69" w14:textId="14B2A568" w:rsidR="005E7329" w:rsidRDefault="009A0985" w:rsidP="0078531C">
      <w:pPr>
        <w:pStyle w:val="BodyText"/>
      </w:pPr>
      <w:r w:rsidRPr="005F688D">
        <w:t xml:space="preserve">I want to thank the many advocates, change-makers and leaders who pursue this work relentlessly across their own </w:t>
      </w:r>
      <w:r w:rsidR="000B7A9B">
        <w:t>organisations and communities</w:t>
      </w:r>
      <w:r w:rsidRPr="005F688D">
        <w:t xml:space="preserve">. By continuing to </w:t>
      </w:r>
      <w:r w:rsidR="000B7A9B">
        <w:t>strengthen</w:t>
      </w:r>
      <w:r w:rsidRPr="005F688D">
        <w:t xml:space="preserve"> transparency and accountability in public sector organisations, we will build safer, fairer workplaces, </w:t>
      </w:r>
      <w:r w:rsidR="005A4821">
        <w:t>deliver</w:t>
      </w:r>
      <w:r w:rsidRPr="005F688D">
        <w:t xml:space="preserve"> better programs and services</w:t>
      </w:r>
      <w:r w:rsidR="00055DCF">
        <w:t>,</w:t>
      </w:r>
      <w:r w:rsidR="00466DF8">
        <w:t xml:space="preserve"> and provide an example</w:t>
      </w:r>
      <w:r w:rsidRPr="005F688D">
        <w:t xml:space="preserve"> for </w:t>
      </w:r>
      <w:r w:rsidR="00466DF8">
        <w:t xml:space="preserve">other </w:t>
      </w:r>
      <w:r w:rsidR="006D58CA">
        <w:t xml:space="preserve">sectors </w:t>
      </w:r>
      <w:r w:rsidR="00233EC5">
        <w:t>across Victoria and the nation</w:t>
      </w:r>
      <w:r w:rsidR="001A7633">
        <w:t>.</w:t>
      </w:r>
      <w:r w:rsidRPr="005F688D">
        <w:t xml:space="preserve"> </w:t>
      </w:r>
      <w:r w:rsidR="001A7633">
        <w:t>Together, we</w:t>
      </w:r>
      <w:r w:rsidR="002F55AB">
        <w:t>’</w:t>
      </w:r>
      <w:r w:rsidR="001A7633">
        <w:t xml:space="preserve">ll </w:t>
      </w:r>
      <w:r w:rsidRPr="005F688D">
        <w:t>move closer to a gender-equal Victoria</w:t>
      </w:r>
      <w:r>
        <w:t>.</w:t>
      </w:r>
      <w:r w:rsidRPr="005F688D">
        <w:t xml:space="preserve"> </w:t>
      </w:r>
    </w:p>
    <w:p w14:paraId="5CE571F4" w14:textId="77777777" w:rsidR="003E3850" w:rsidRPr="00DC6517" w:rsidRDefault="001100B1" w:rsidP="0078531C">
      <w:pPr>
        <w:pStyle w:val="BodyText"/>
        <w:rPr>
          <w:b/>
        </w:rPr>
      </w:pPr>
      <w:r w:rsidRPr="00DC6517">
        <w:rPr>
          <w:b/>
        </w:rPr>
        <w:t>Dr Niki Vincent</w:t>
      </w:r>
      <w:r w:rsidRPr="00DC6517">
        <w:rPr>
          <w:b/>
        </w:rPr>
        <w:br/>
        <w:t>Public Sector Gender Equality Commissioner</w:t>
      </w:r>
    </w:p>
    <w:p w14:paraId="3B5F424C" w14:textId="77777777" w:rsidR="0058401B" w:rsidRDefault="0058401B">
      <w:pPr>
        <w:spacing w:after="0" w:line="240" w:lineRule="auto"/>
        <w:rPr>
          <w:rStyle w:val="Heading1Char"/>
          <w:bCs w:val="0"/>
        </w:rPr>
      </w:pPr>
      <w:r>
        <w:rPr>
          <w:rStyle w:val="Heading1Char"/>
        </w:rPr>
        <w:br w:type="page"/>
      </w:r>
    </w:p>
    <w:p w14:paraId="4B845429" w14:textId="369BEBA7" w:rsidR="005E7329" w:rsidRPr="00373377" w:rsidRDefault="00A45D67" w:rsidP="00B2631C">
      <w:pPr>
        <w:pStyle w:val="Heading1"/>
        <w:rPr>
          <w:rStyle w:val="Heading1Char"/>
        </w:rPr>
      </w:pPr>
      <w:bookmarkStart w:id="3" w:name="_Toc237259499"/>
      <w:r w:rsidRPr="00B837A9">
        <w:rPr>
          <w:rStyle w:val="Heading1Char"/>
        </w:rPr>
        <w:lastRenderedPageBreak/>
        <w:t xml:space="preserve">Executive </w:t>
      </w:r>
      <w:r w:rsidR="007936A3" w:rsidRPr="00B837A9">
        <w:rPr>
          <w:rStyle w:val="Heading1Char"/>
        </w:rPr>
        <w:t>s</w:t>
      </w:r>
      <w:r w:rsidRPr="00B837A9">
        <w:rPr>
          <w:rStyle w:val="Heading1Char"/>
        </w:rPr>
        <w:t>ummary</w:t>
      </w:r>
      <w:bookmarkEnd w:id="3"/>
    </w:p>
    <w:p w14:paraId="17786820" w14:textId="16AC2E20" w:rsidR="00AE3703" w:rsidRDefault="006F6ED1" w:rsidP="004444B7">
      <w:pPr>
        <w:pStyle w:val="Introtext"/>
      </w:pPr>
      <w:r w:rsidRPr="005F688D">
        <w:rPr>
          <w:lang w:eastAsia="en-AU"/>
        </w:rPr>
        <w:t xml:space="preserve">Five years </w:t>
      </w:r>
      <w:r w:rsidR="00FD6A5B">
        <w:rPr>
          <w:lang w:eastAsia="en-AU"/>
        </w:rPr>
        <w:t>since</w:t>
      </w:r>
      <w:r w:rsidRPr="005F688D">
        <w:rPr>
          <w:lang w:eastAsia="en-AU"/>
        </w:rPr>
        <w:t xml:space="preserve"> the </w:t>
      </w:r>
      <w:r w:rsidR="00FD6A5B">
        <w:rPr>
          <w:lang w:eastAsia="en-AU"/>
        </w:rPr>
        <w:t>commencement</w:t>
      </w:r>
      <w:r w:rsidRPr="005F688D">
        <w:rPr>
          <w:lang w:eastAsia="en-AU"/>
        </w:rPr>
        <w:t xml:space="preserve"> of the </w:t>
      </w:r>
      <w:r w:rsidRPr="005F688D">
        <w:rPr>
          <w:i/>
          <w:lang w:eastAsia="en-AU"/>
        </w:rPr>
        <w:t>Gender Equality Act 2020</w:t>
      </w:r>
      <w:r w:rsidRPr="005F688D">
        <w:rPr>
          <w:lang w:eastAsia="en-AU"/>
        </w:rPr>
        <w:t>, there is measurable progress in some areas of workplace gender equality across the Victorian public sector</w:t>
      </w:r>
      <w:r w:rsidR="00AE3703">
        <w:rPr>
          <w:lang w:eastAsia="en-AU"/>
        </w:rPr>
        <w:t>. There are also</w:t>
      </w:r>
      <w:r w:rsidRPr="005F688D">
        <w:rPr>
          <w:lang w:eastAsia="en-AU"/>
        </w:rPr>
        <w:t xml:space="preserve"> areas where change has stalled</w:t>
      </w:r>
      <w:r w:rsidR="009256F0">
        <w:rPr>
          <w:lang w:eastAsia="en-AU"/>
        </w:rPr>
        <w:t>.</w:t>
      </w:r>
    </w:p>
    <w:p w14:paraId="0628C0DB" w14:textId="7DFEABF6" w:rsidR="005C6CE5" w:rsidRDefault="006F6ED1" w:rsidP="004444B7">
      <w:pPr>
        <w:pStyle w:val="BodyText"/>
      </w:pPr>
      <w:r w:rsidRPr="005F688D">
        <w:rPr>
          <w:lang w:eastAsia="en-AU"/>
        </w:rPr>
        <w:t xml:space="preserve">For the first time, Victoria has longitudinal, sector-wide data tracking whether public sector organisations are making measurable progress on workplace gender equality over time. This report draws on workplace gender audits submitted by around 300 duty holders in 2021, 2023 and 2025 </w:t>
      </w:r>
      <w:r w:rsidR="005A5B4B">
        <w:rPr>
          <w:lang w:eastAsia="en-AU"/>
        </w:rPr>
        <w:t>–</w:t>
      </w:r>
      <w:r w:rsidRPr="005F688D">
        <w:rPr>
          <w:lang w:eastAsia="en-AU"/>
        </w:rPr>
        <w:t xml:space="preserve"> the most comprehensive public sector </w:t>
      </w:r>
      <w:r w:rsidR="00A563E2">
        <w:rPr>
          <w:lang w:eastAsia="en-AU"/>
        </w:rPr>
        <w:t>workplace gender equality</w:t>
      </w:r>
      <w:r w:rsidRPr="005F688D">
        <w:rPr>
          <w:lang w:eastAsia="en-AU"/>
        </w:rPr>
        <w:t xml:space="preserve"> dataset in Australia. The transparency and accountability this creates is a significant reform in its own right.</w:t>
      </w:r>
      <w:r w:rsidR="009A0985" w:rsidRPr="005F688D">
        <w:t xml:space="preserve"> </w:t>
      </w:r>
    </w:p>
    <w:p w14:paraId="07F96D1D" w14:textId="531D8143" w:rsidR="00196BAE" w:rsidRDefault="006F6ED1" w:rsidP="00873840">
      <w:pPr>
        <w:pStyle w:val="BodyText"/>
        <w:rPr>
          <w:lang w:eastAsia="en-AU"/>
        </w:rPr>
      </w:pPr>
      <w:r w:rsidRPr="005F688D">
        <w:rPr>
          <w:lang w:eastAsia="en-AU"/>
        </w:rPr>
        <w:t>The clearest progress is in some of the areas that have historically been hardest to shift. Women</w:t>
      </w:r>
      <w:r w:rsidR="002F55AB">
        <w:rPr>
          <w:lang w:eastAsia="en-AU"/>
        </w:rPr>
        <w:t>’</w:t>
      </w:r>
      <w:r w:rsidRPr="005F688D">
        <w:rPr>
          <w:lang w:eastAsia="en-AU"/>
        </w:rPr>
        <w:t xml:space="preserve">s representation in senior leadership </w:t>
      </w:r>
      <w:r w:rsidR="00D54D29">
        <w:rPr>
          <w:lang w:eastAsia="en-AU"/>
        </w:rPr>
        <w:t>increased</w:t>
      </w:r>
      <w:r w:rsidRPr="005F688D">
        <w:rPr>
          <w:lang w:eastAsia="en-AU"/>
        </w:rPr>
        <w:t xml:space="preserve">. More women </w:t>
      </w:r>
      <w:r w:rsidR="00AF0847">
        <w:rPr>
          <w:lang w:eastAsia="en-AU"/>
        </w:rPr>
        <w:t>were</w:t>
      </w:r>
      <w:r w:rsidRPr="005F688D">
        <w:rPr>
          <w:lang w:eastAsia="en-AU"/>
        </w:rPr>
        <w:t xml:space="preserve"> working in </w:t>
      </w:r>
      <w:r w:rsidR="00CD27AC">
        <w:t>traditionally</w:t>
      </w:r>
      <w:r w:rsidR="00CD27AC" w:rsidRPr="00E61B52">
        <w:t xml:space="preserve"> </w:t>
      </w:r>
      <w:r w:rsidR="00CD27AC">
        <w:t>men-concentrated</w:t>
      </w:r>
      <w:r w:rsidR="00CD27AC" w:rsidRPr="00E61B52">
        <w:t xml:space="preserve"> </w:t>
      </w:r>
      <w:r w:rsidRPr="005F688D">
        <w:rPr>
          <w:lang w:eastAsia="en-AU"/>
        </w:rPr>
        <w:t>occupations and industries. Men</w:t>
      </w:r>
      <w:r w:rsidR="002F55AB">
        <w:rPr>
          <w:lang w:eastAsia="en-AU"/>
        </w:rPr>
        <w:t>’</w:t>
      </w:r>
      <w:r w:rsidRPr="005F688D">
        <w:rPr>
          <w:lang w:eastAsia="en-AU"/>
        </w:rPr>
        <w:t>s uptake of parental leave improved in several industries, and men</w:t>
      </w:r>
      <w:r w:rsidR="002F55AB">
        <w:rPr>
          <w:lang w:eastAsia="en-AU"/>
        </w:rPr>
        <w:t>’</w:t>
      </w:r>
      <w:r w:rsidRPr="005F688D">
        <w:rPr>
          <w:lang w:eastAsia="en-AU"/>
        </w:rPr>
        <w:t xml:space="preserve">s use of flexible work </w:t>
      </w:r>
      <w:r w:rsidR="00D54D29">
        <w:rPr>
          <w:lang w:eastAsia="en-AU"/>
        </w:rPr>
        <w:t>increased more</w:t>
      </w:r>
      <w:r w:rsidRPr="005F688D">
        <w:rPr>
          <w:lang w:eastAsia="en-AU"/>
        </w:rPr>
        <w:t xml:space="preserve"> than women</w:t>
      </w:r>
      <w:r w:rsidR="002F55AB">
        <w:rPr>
          <w:lang w:eastAsia="en-AU"/>
        </w:rPr>
        <w:t>’</w:t>
      </w:r>
      <w:r w:rsidRPr="005F688D">
        <w:rPr>
          <w:lang w:eastAsia="en-AU"/>
        </w:rPr>
        <w:t xml:space="preserve">s. </w:t>
      </w:r>
    </w:p>
    <w:p w14:paraId="4FEDB451" w14:textId="41C1210A" w:rsidR="00BE7DF0" w:rsidRDefault="006F6ED1" w:rsidP="00873840">
      <w:pPr>
        <w:pStyle w:val="BodyText"/>
      </w:pPr>
      <w:r w:rsidRPr="005F688D">
        <w:rPr>
          <w:lang w:eastAsia="en-AU"/>
        </w:rPr>
        <w:t xml:space="preserve">Some of the strongest improvements </w:t>
      </w:r>
      <w:r w:rsidR="00F26C26">
        <w:rPr>
          <w:lang w:eastAsia="en-AU"/>
        </w:rPr>
        <w:t>occurred</w:t>
      </w:r>
      <w:r w:rsidRPr="005F688D">
        <w:rPr>
          <w:lang w:eastAsia="en-AU"/>
        </w:rPr>
        <w:t xml:space="preserve"> in traditionally male-</w:t>
      </w:r>
      <w:r w:rsidR="0009109F">
        <w:rPr>
          <w:lang w:eastAsia="en-AU"/>
        </w:rPr>
        <w:t>concentrated</w:t>
      </w:r>
      <w:r w:rsidR="0009109F" w:rsidRPr="005F688D">
        <w:rPr>
          <w:lang w:eastAsia="en-AU"/>
        </w:rPr>
        <w:t xml:space="preserve"> </w:t>
      </w:r>
      <w:r w:rsidRPr="005F688D">
        <w:rPr>
          <w:lang w:eastAsia="en-AU"/>
        </w:rPr>
        <w:t>sectors – a sign that structural and cultural barriers, while entrenched, are not immovable.</w:t>
      </w:r>
      <w:r w:rsidR="009A0985" w:rsidRPr="005F688D">
        <w:t xml:space="preserve"> </w:t>
      </w:r>
      <w:r w:rsidRPr="005F688D">
        <w:rPr>
          <w:lang w:eastAsia="en-AU"/>
        </w:rPr>
        <w:t>But progress is neither consistent nor fast enough. Sexual harassment remain</w:t>
      </w:r>
      <w:r w:rsidR="00D43553">
        <w:rPr>
          <w:lang w:eastAsia="en-AU"/>
        </w:rPr>
        <w:t>ed</w:t>
      </w:r>
      <w:r w:rsidRPr="005F688D">
        <w:rPr>
          <w:lang w:eastAsia="en-AU"/>
        </w:rPr>
        <w:t xml:space="preserve"> too common and </w:t>
      </w:r>
      <w:r w:rsidR="00D43553">
        <w:rPr>
          <w:lang w:eastAsia="en-AU"/>
        </w:rPr>
        <w:t>increased</w:t>
      </w:r>
      <w:r w:rsidR="00EF1600" w:rsidRPr="005F688D">
        <w:rPr>
          <w:lang w:eastAsia="en-AU"/>
        </w:rPr>
        <w:t xml:space="preserve"> </w:t>
      </w:r>
      <w:r w:rsidRPr="005F688D">
        <w:rPr>
          <w:lang w:eastAsia="en-AU"/>
        </w:rPr>
        <w:t xml:space="preserve">for some groups. </w:t>
      </w:r>
      <w:r w:rsidR="00703026">
        <w:rPr>
          <w:lang w:eastAsia="en-AU"/>
        </w:rPr>
        <w:t xml:space="preserve">Despite </w:t>
      </w:r>
      <w:r w:rsidR="00F07236">
        <w:rPr>
          <w:lang w:eastAsia="en-AU"/>
        </w:rPr>
        <w:t xml:space="preserve">some good progress within </w:t>
      </w:r>
      <w:r w:rsidR="00FD6A5B">
        <w:rPr>
          <w:lang w:eastAsia="en-AU"/>
        </w:rPr>
        <w:t>many</w:t>
      </w:r>
      <w:r w:rsidR="00F07236">
        <w:rPr>
          <w:lang w:eastAsia="en-AU"/>
        </w:rPr>
        <w:t xml:space="preserve"> organisations</w:t>
      </w:r>
      <w:r w:rsidR="00FD6A5B">
        <w:rPr>
          <w:lang w:eastAsia="en-AU"/>
        </w:rPr>
        <w:t xml:space="preserve"> and </w:t>
      </w:r>
      <w:r w:rsidR="0071397D">
        <w:rPr>
          <w:lang w:eastAsia="en-AU"/>
        </w:rPr>
        <w:t>most</w:t>
      </w:r>
      <w:r w:rsidR="00FD6A5B">
        <w:rPr>
          <w:lang w:eastAsia="en-AU"/>
        </w:rPr>
        <w:t xml:space="preserve"> industries</w:t>
      </w:r>
      <w:r w:rsidR="00F07236">
        <w:rPr>
          <w:lang w:eastAsia="en-AU"/>
        </w:rPr>
        <w:t>, t</w:t>
      </w:r>
      <w:r w:rsidRPr="005F688D">
        <w:rPr>
          <w:lang w:eastAsia="en-AU"/>
        </w:rPr>
        <w:t>he gender pay gap has not narrowed at the sector level since 2021. And gendered segregation continue</w:t>
      </w:r>
      <w:r w:rsidR="00694CFD">
        <w:rPr>
          <w:lang w:eastAsia="en-AU"/>
        </w:rPr>
        <w:t>d</w:t>
      </w:r>
      <w:r w:rsidRPr="005F688D">
        <w:rPr>
          <w:lang w:eastAsia="en-AU"/>
        </w:rPr>
        <w:t xml:space="preserve"> to shape who does what work, and how it is valued and paid.</w:t>
      </w:r>
      <w:r w:rsidR="009A0985" w:rsidRPr="005F688D">
        <w:t xml:space="preserve"> </w:t>
      </w:r>
      <w:r w:rsidRPr="005F688D">
        <w:rPr>
          <w:lang w:eastAsia="en-AU"/>
        </w:rPr>
        <w:t>These findings give duty holders, policymakers, peak bodies and advocates a strong, shared evidence base for</w:t>
      </w:r>
      <w:r w:rsidRPr="005F688D" w:rsidDel="00963BC0">
        <w:rPr>
          <w:lang w:eastAsia="en-AU"/>
        </w:rPr>
        <w:t xml:space="preserve"> </w:t>
      </w:r>
      <w:r w:rsidR="00F94FD8">
        <w:rPr>
          <w:lang w:eastAsia="en-AU"/>
        </w:rPr>
        <w:t>action</w:t>
      </w:r>
      <w:r w:rsidRPr="005F688D">
        <w:rPr>
          <w:lang w:eastAsia="en-AU"/>
        </w:rPr>
        <w:t>.</w:t>
      </w:r>
      <w:r w:rsidR="009A0985" w:rsidRPr="005F688D">
        <w:t xml:space="preserve"> </w:t>
      </w:r>
    </w:p>
    <w:p w14:paraId="6AEB70EB" w14:textId="30551FEC" w:rsidR="00AD5274" w:rsidRDefault="00AD5274" w:rsidP="00873840">
      <w:pPr>
        <w:pStyle w:val="BodyText"/>
      </w:pPr>
      <w:r w:rsidRPr="00AD5274">
        <w:t>For the first time, the Commission has established benchmark</w:t>
      </w:r>
      <w:r w:rsidR="003E5DAC">
        <w:t>s</w:t>
      </w:r>
      <w:r w:rsidRPr="00AD5274">
        <w:t xml:space="preserve"> for each measure </w:t>
      </w:r>
      <w:r w:rsidR="003E5DAC">
        <w:t xml:space="preserve">representing </w:t>
      </w:r>
      <w:r w:rsidR="007409EB">
        <w:t xml:space="preserve">the state that would be expected </w:t>
      </w:r>
      <w:r w:rsidRPr="00AD5274">
        <w:t xml:space="preserve">if </w:t>
      </w:r>
      <w:r w:rsidR="00F354B6">
        <w:t>gender</w:t>
      </w:r>
      <w:r w:rsidRPr="00AD5274">
        <w:t xml:space="preserve"> equality was achieved. </w:t>
      </w:r>
      <w:r w:rsidR="00DE39D1">
        <w:t>T</w:t>
      </w:r>
      <w:r w:rsidRPr="00AD5274">
        <w:t xml:space="preserve">he assessments of progress in this report are not intended to </w:t>
      </w:r>
      <w:r w:rsidR="00F354B6">
        <w:t>compare</w:t>
      </w:r>
      <w:r w:rsidRPr="00AD5274">
        <w:t xml:space="preserve"> Victoria </w:t>
      </w:r>
      <w:r w:rsidR="00F354B6">
        <w:t>with</w:t>
      </w:r>
      <w:r w:rsidRPr="00AD5274">
        <w:t xml:space="preserve"> other national or international jurisdictions. Instead, the</w:t>
      </w:r>
      <w:r w:rsidR="00F354B6">
        <w:t>y assess</w:t>
      </w:r>
      <w:r w:rsidRPr="00AD5274">
        <w:t xml:space="preserve"> Victoria’s performance </w:t>
      </w:r>
      <w:r w:rsidR="00F354B6">
        <w:t>against th</w:t>
      </w:r>
      <w:r w:rsidR="00E3009D">
        <w:t>ose benchmarks.</w:t>
      </w:r>
      <w:r w:rsidRPr="00AD5274">
        <w:t xml:space="preserve"> The Commission</w:t>
      </w:r>
      <w:r w:rsidR="000831E5">
        <w:t>er</w:t>
      </w:r>
      <w:r w:rsidRPr="00AD5274">
        <w:t xml:space="preserve"> does not expect progress to </w:t>
      </w:r>
      <w:r w:rsidR="00E3009D">
        <w:t>occur at the same pace across every</w:t>
      </w:r>
      <w:r w:rsidRPr="00AD5274">
        <w:t xml:space="preserve"> measure</w:t>
      </w:r>
      <w:r w:rsidR="00E3009D">
        <w:t>.</w:t>
      </w:r>
      <w:r w:rsidRPr="00AD5274">
        <w:t xml:space="preserve"> Some measures relate to deeply engrained structural inequalities which will take time and sustained effort to rectify.</w:t>
      </w:r>
      <w:r w:rsidR="009E0F9B">
        <w:t xml:space="preserve"> </w:t>
      </w:r>
      <w:r w:rsidR="009E0F9B" w:rsidRPr="009E0F9B">
        <w:t>Nevertheless, the Commission</w:t>
      </w:r>
      <w:r w:rsidR="009E0F9B">
        <w:t>er</w:t>
      </w:r>
      <w:r w:rsidR="009E0F9B" w:rsidRPr="009E0F9B">
        <w:t xml:space="preserve"> expects organisations to demonstrate reasonable and material progress over time</w:t>
      </w:r>
      <w:r w:rsidR="00FB116C">
        <w:t>.</w:t>
      </w:r>
    </w:p>
    <w:p w14:paraId="26C10235" w14:textId="766CAA2F" w:rsidR="009A0985" w:rsidRPr="005F688D" w:rsidRDefault="006F6ED1" w:rsidP="004444B7">
      <w:pPr>
        <w:pStyle w:val="Heading2"/>
      </w:pPr>
      <w:bookmarkStart w:id="4" w:name="_Toc237259500"/>
      <w:r w:rsidRPr="005F688D">
        <w:rPr>
          <w:lang w:eastAsia="en-AU"/>
        </w:rPr>
        <w:t>What</w:t>
      </w:r>
      <w:r w:rsidR="002F55AB">
        <w:rPr>
          <w:lang w:eastAsia="en-AU"/>
        </w:rPr>
        <w:t>’</w:t>
      </w:r>
      <w:r w:rsidRPr="005F688D">
        <w:rPr>
          <w:lang w:eastAsia="en-AU"/>
        </w:rPr>
        <w:t>s chang</w:t>
      </w:r>
      <w:r w:rsidR="0091039D">
        <w:rPr>
          <w:lang w:eastAsia="en-AU"/>
        </w:rPr>
        <w:t>ed</w:t>
      </w:r>
      <w:bookmarkEnd w:id="4"/>
    </w:p>
    <w:p w14:paraId="67332AEE" w14:textId="464EA842" w:rsidR="006F6ED1" w:rsidRPr="005F688D" w:rsidRDefault="006F6ED1" w:rsidP="004444B7">
      <w:pPr>
        <w:pStyle w:val="BodyText"/>
        <w:rPr>
          <w:lang w:eastAsia="en-AU"/>
        </w:rPr>
      </w:pPr>
      <w:r w:rsidRPr="005F688D">
        <w:rPr>
          <w:lang w:eastAsia="en-AU"/>
        </w:rPr>
        <w:t xml:space="preserve">More women </w:t>
      </w:r>
      <w:r w:rsidR="0091039D">
        <w:rPr>
          <w:lang w:eastAsia="en-AU"/>
        </w:rPr>
        <w:t>were</w:t>
      </w:r>
      <w:r w:rsidRPr="005F688D">
        <w:rPr>
          <w:lang w:eastAsia="en-AU"/>
        </w:rPr>
        <w:t xml:space="preserve"> working in senior leadership</w:t>
      </w:r>
      <w:r w:rsidR="0091039D">
        <w:rPr>
          <w:lang w:eastAsia="en-AU"/>
        </w:rPr>
        <w:t xml:space="preserve"> in 2025</w:t>
      </w:r>
      <w:r w:rsidRPr="005F688D">
        <w:rPr>
          <w:lang w:eastAsia="en-AU"/>
        </w:rPr>
        <w:t>. Women</w:t>
      </w:r>
      <w:r w:rsidR="002F55AB">
        <w:rPr>
          <w:lang w:eastAsia="en-AU"/>
        </w:rPr>
        <w:t>’</w:t>
      </w:r>
      <w:r w:rsidRPr="005F688D">
        <w:rPr>
          <w:lang w:eastAsia="en-AU"/>
        </w:rPr>
        <w:t xml:space="preserve">s share of senior leader roles </w:t>
      </w:r>
      <w:r w:rsidR="0091039D">
        <w:rPr>
          <w:lang w:eastAsia="en-AU"/>
        </w:rPr>
        <w:t>increased</w:t>
      </w:r>
      <w:r w:rsidRPr="005F688D">
        <w:rPr>
          <w:lang w:eastAsia="en-AU"/>
        </w:rPr>
        <w:t xml:space="preserve"> across the sector between 202</w:t>
      </w:r>
      <w:r w:rsidR="00866DC4">
        <w:rPr>
          <w:lang w:eastAsia="en-AU"/>
        </w:rPr>
        <w:t>1</w:t>
      </w:r>
      <w:r w:rsidRPr="005F688D">
        <w:rPr>
          <w:lang w:eastAsia="en-AU"/>
        </w:rPr>
        <w:t xml:space="preserve"> and 2025, bringing </w:t>
      </w:r>
      <w:r w:rsidR="00431502">
        <w:rPr>
          <w:lang w:eastAsia="en-AU"/>
        </w:rPr>
        <w:t xml:space="preserve">gender composition in </w:t>
      </w:r>
      <w:r w:rsidRPr="005F688D">
        <w:rPr>
          <w:lang w:eastAsia="en-AU"/>
        </w:rPr>
        <w:t xml:space="preserve">leadership closer to the overall make-up of the public sector workforce. Four of 11 industries reached proportional representation of women in leadership, up from </w:t>
      </w:r>
      <w:r w:rsidR="00B93A6B">
        <w:rPr>
          <w:lang w:eastAsia="en-AU"/>
        </w:rPr>
        <w:t>2</w:t>
      </w:r>
      <w:r w:rsidR="00B93A6B" w:rsidRPr="005F688D">
        <w:rPr>
          <w:lang w:eastAsia="en-AU"/>
        </w:rPr>
        <w:t xml:space="preserve"> </w:t>
      </w:r>
      <w:r w:rsidRPr="005F688D">
        <w:rPr>
          <w:lang w:eastAsia="en-AU"/>
        </w:rPr>
        <w:t>in 2023.</w:t>
      </w:r>
    </w:p>
    <w:p w14:paraId="7F982A6F" w14:textId="2E6FA085" w:rsidR="006F6ED1" w:rsidRPr="005F688D" w:rsidRDefault="006F6ED1" w:rsidP="0078531C">
      <w:pPr>
        <w:pStyle w:val="BodyText"/>
        <w:rPr>
          <w:lang w:eastAsia="en-AU"/>
        </w:rPr>
      </w:pPr>
      <w:r w:rsidRPr="005F688D">
        <w:rPr>
          <w:lang w:eastAsia="en-AU"/>
        </w:rPr>
        <w:t xml:space="preserve">Pay gaps </w:t>
      </w:r>
      <w:r w:rsidR="00D54D29">
        <w:rPr>
          <w:lang w:eastAsia="en-AU"/>
        </w:rPr>
        <w:t>narrowed</w:t>
      </w:r>
      <w:r w:rsidRPr="005F688D">
        <w:rPr>
          <w:lang w:eastAsia="en-AU"/>
        </w:rPr>
        <w:t xml:space="preserve"> within many organisations, including in </w:t>
      </w:r>
      <w:r w:rsidR="00344CD0">
        <w:rPr>
          <w:lang w:eastAsia="en-AU"/>
        </w:rPr>
        <w:t>traditionally</w:t>
      </w:r>
      <w:r w:rsidR="00344CD0" w:rsidRPr="005F688D">
        <w:rPr>
          <w:lang w:eastAsia="en-AU"/>
        </w:rPr>
        <w:t xml:space="preserve"> </w:t>
      </w:r>
      <w:r w:rsidRPr="005F688D">
        <w:rPr>
          <w:lang w:eastAsia="en-AU"/>
        </w:rPr>
        <w:t>men-concentrated industries and occupations</w:t>
      </w:r>
      <w:r w:rsidR="00B93A6B">
        <w:rPr>
          <w:lang w:eastAsia="en-AU"/>
        </w:rPr>
        <w:t>. These include</w:t>
      </w:r>
      <w:r w:rsidR="0086513A">
        <w:rPr>
          <w:lang w:eastAsia="en-AU"/>
        </w:rPr>
        <w:t>d</w:t>
      </w:r>
      <w:r w:rsidRPr="005F688D">
        <w:rPr>
          <w:lang w:eastAsia="en-AU"/>
        </w:rPr>
        <w:t xml:space="preserve"> police and emergency services, water and land management, labouring roles, machinery operators and drivers, and technicians and trades. This suggests some organisations are beginning to address the structural drivers of inequality, including occupational </w:t>
      </w:r>
      <w:r w:rsidR="004F0562">
        <w:rPr>
          <w:lang w:eastAsia="en-AU"/>
        </w:rPr>
        <w:t xml:space="preserve">gendered </w:t>
      </w:r>
      <w:r w:rsidRPr="005F688D">
        <w:rPr>
          <w:lang w:eastAsia="en-AU"/>
        </w:rPr>
        <w:t>segregation and access to higher-paid roles.</w:t>
      </w:r>
    </w:p>
    <w:p w14:paraId="0BA0EC9F" w14:textId="08689688" w:rsidR="006F6ED1" w:rsidRPr="005F688D" w:rsidRDefault="006F6ED1" w:rsidP="0078531C">
      <w:pPr>
        <w:pStyle w:val="BodyText"/>
        <w:rPr>
          <w:lang w:eastAsia="en-AU"/>
        </w:rPr>
      </w:pPr>
      <w:r w:rsidRPr="005F688D">
        <w:rPr>
          <w:lang w:eastAsia="en-AU"/>
        </w:rPr>
        <w:t xml:space="preserve">More men </w:t>
      </w:r>
      <w:r w:rsidR="00D54D29">
        <w:rPr>
          <w:lang w:eastAsia="en-AU"/>
        </w:rPr>
        <w:t>took</w:t>
      </w:r>
      <w:r w:rsidRPr="005F688D">
        <w:rPr>
          <w:lang w:eastAsia="en-AU"/>
        </w:rPr>
        <w:t xml:space="preserve"> up flexible work and parental leave in parts of the sector. Men</w:t>
      </w:r>
      <w:r w:rsidR="002F55AB">
        <w:rPr>
          <w:lang w:eastAsia="en-AU"/>
        </w:rPr>
        <w:t>’</w:t>
      </w:r>
      <w:r w:rsidRPr="005F688D">
        <w:rPr>
          <w:lang w:eastAsia="en-AU"/>
        </w:rPr>
        <w:t xml:space="preserve">s uptake of flexible work </w:t>
      </w:r>
      <w:r w:rsidR="00D54D29">
        <w:rPr>
          <w:lang w:eastAsia="en-AU"/>
        </w:rPr>
        <w:t>increased more</w:t>
      </w:r>
      <w:r w:rsidRPr="005F688D">
        <w:rPr>
          <w:lang w:eastAsia="en-AU"/>
        </w:rPr>
        <w:t xml:space="preserve"> than women</w:t>
      </w:r>
      <w:r w:rsidR="002F55AB">
        <w:rPr>
          <w:lang w:eastAsia="en-AU"/>
        </w:rPr>
        <w:t>’</w:t>
      </w:r>
      <w:r w:rsidRPr="005F688D">
        <w:rPr>
          <w:lang w:eastAsia="en-AU"/>
        </w:rPr>
        <w:t>s, narrowing the gap. Men</w:t>
      </w:r>
      <w:r w:rsidR="002F55AB">
        <w:rPr>
          <w:lang w:eastAsia="en-AU"/>
        </w:rPr>
        <w:t>’</w:t>
      </w:r>
      <w:r w:rsidRPr="005F688D">
        <w:rPr>
          <w:lang w:eastAsia="en-AU"/>
        </w:rPr>
        <w:t>s parental leave increased in 7 of 11 industries, with the largest gains in community and cultural services, water and land management, and universities.</w:t>
      </w:r>
    </w:p>
    <w:p w14:paraId="7C4F4344" w14:textId="76075FD5" w:rsidR="006F6ED1" w:rsidRPr="005F688D" w:rsidRDefault="006F6ED1" w:rsidP="0078531C">
      <w:pPr>
        <w:pStyle w:val="BodyText"/>
        <w:rPr>
          <w:lang w:eastAsia="en-AU"/>
        </w:rPr>
      </w:pPr>
      <w:r w:rsidRPr="005F688D">
        <w:rPr>
          <w:lang w:eastAsia="en-AU"/>
        </w:rPr>
        <w:lastRenderedPageBreak/>
        <w:t xml:space="preserve">More women </w:t>
      </w:r>
      <w:r w:rsidR="0091039D">
        <w:rPr>
          <w:lang w:eastAsia="en-AU"/>
        </w:rPr>
        <w:t>were</w:t>
      </w:r>
      <w:r w:rsidRPr="005F688D">
        <w:rPr>
          <w:lang w:eastAsia="en-AU"/>
        </w:rPr>
        <w:t xml:space="preserve"> working in traditionally men-concentrated occupations and industries </w:t>
      </w:r>
      <w:r w:rsidR="0091039D">
        <w:rPr>
          <w:lang w:eastAsia="en-AU"/>
        </w:rPr>
        <w:t>in 2025</w:t>
      </w:r>
      <w:r w:rsidRPr="005F688D">
        <w:rPr>
          <w:lang w:eastAsia="en-AU"/>
        </w:rPr>
        <w:t xml:space="preserve"> – including as labourers, machinery operators and drivers, and technicians and trades workers, and across transport, finance and insurance. Transport moved from </w:t>
      </w:r>
      <w:r w:rsidR="009931D6">
        <w:rPr>
          <w:lang w:eastAsia="en-AU"/>
        </w:rPr>
        <w:t>‘</w:t>
      </w:r>
      <w:r w:rsidRPr="005F688D">
        <w:rPr>
          <w:lang w:eastAsia="en-AU"/>
        </w:rPr>
        <w:t>highly</w:t>
      </w:r>
      <w:r w:rsidR="009931D6">
        <w:rPr>
          <w:lang w:eastAsia="en-AU"/>
        </w:rPr>
        <w:t>’</w:t>
      </w:r>
      <w:r w:rsidRPr="005F688D">
        <w:rPr>
          <w:lang w:eastAsia="en-AU"/>
        </w:rPr>
        <w:t xml:space="preserve"> to moderately</w:t>
      </w:r>
      <w:r w:rsidR="009931D6">
        <w:rPr>
          <w:lang w:eastAsia="en-AU"/>
        </w:rPr>
        <w:t>’</w:t>
      </w:r>
      <w:r w:rsidRPr="005F688D">
        <w:rPr>
          <w:lang w:eastAsia="en-AU"/>
        </w:rPr>
        <w:t xml:space="preserve"> men-concentrated, reflecting gradual but real workforce diversification.</w:t>
      </w:r>
    </w:p>
    <w:p w14:paraId="07D491CD" w14:textId="68408A4C" w:rsidR="006F6ED1" w:rsidRPr="005F688D" w:rsidRDefault="006F6ED1" w:rsidP="0078531C">
      <w:pPr>
        <w:pStyle w:val="BodyText"/>
        <w:rPr>
          <w:lang w:eastAsia="en-AU"/>
        </w:rPr>
      </w:pPr>
      <w:r w:rsidRPr="005F688D">
        <w:rPr>
          <w:lang w:eastAsia="en-AU"/>
        </w:rPr>
        <w:t xml:space="preserve">Governing bodies remained gender balanced across the sector – the </w:t>
      </w:r>
      <w:r w:rsidR="00C172B3">
        <w:rPr>
          <w:lang w:eastAsia="en-AU"/>
        </w:rPr>
        <w:t>result</w:t>
      </w:r>
      <w:r w:rsidR="00C172B3" w:rsidRPr="005F688D">
        <w:rPr>
          <w:lang w:eastAsia="en-AU"/>
        </w:rPr>
        <w:t xml:space="preserve"> </w:t>
      </w:r>
      <w:r w:rsidRPr="005F688D">
        <w:rPr>
          <w:lang w:eastAsia="en-AU"/>
        </w:rPr>
        <w:t>of more than a decade of sustained effort and clear targets.</w:t>
      </w:r>
    </w:p>
    <w:p w14:paraId="00EA0FF6" w14:textId="77777777" w:rsidR="006F6ED1" w:rsidRPr="005F688D" w:rsidRDefault="006F6ED1" w:rsidP="00FC3BEF">
      <w:pPr>
        <w:pStyle w:val="Heading2"/>
        <w:rPr>
          <w:lang w:eastAsia="en-AU"/>
        </w:rPr>
      </w:pPr>
      <w:bookmarkStart w:id="5" w:name="_Toc237259501"/>
      <w:r w:rsidRPr="005F688D">
        <w:rPr>
          <w:lang w:eastAsia="en-AU"/>
        </w:rPr>
        <w:t>Where more attention is needed</w:t>
      </w:r>
      <w:bookmarkEnd w:id="5"/>
    </w:p>
    <w:p w14:paraId="5D5A816D" w14:textId="5A584345" w:rsidR="00B27145" w:rsidRDefault="006F6ED1" w:rsidP="0078531C">
      <w:pPr>
        <w:pStyle w:val="BodyText"/>
        <w:rPr>
          <w:lang w:eastAsia="en-AU"/>
        </w:rPr>
      </w:pPr>
      <w:r w:rsidRPr="005F688D">
        <w:rPr>
          <w:lang w:eastAsia="en-AU"/>
        </w:rPr>
        <w:t>The sector-wide gender pay gap has not narrowed since 2021</w:t>
      </w:r>
      <w:r w:rsidR="000019CD" w:rsidRPr="000019CD">
        <w:rPr>
          <w:lang w:eastAsia="en-AU"/>
        </w:rPr>
        <w:t xml:space="preserve">, but the headline figure masks real movement beneath it. Organisations that reported in </w:t>
      </w:r>
      <w:r w:rsidR="00922D79">
        <w:rPr>
          <w:lang w:eastAsia="en-AU"/>
        </w:rPr>
        <w:t xml:space="preserve">both </w:t>
      </w:r>
      <w:r w:rsidR="00891080">
        <w:rPr>
          <w:lang w:eastAsia="en-AU"/>
        </w:rPr>
        <w:t>2021 and 2025</w:t>
      </w:r>
      <w:r w:rsidR="000019CD" w:rsidRPr="000019CD">
        <w:rPr>
          <w:lang w:eastAsia="en-AU"/>
        </w:rPr>
        <w:t xml:space="preserve"> improved on average, and </w:t>
      </w:r>
      <w:r w:rsidR="003D0DD8">
        <w:rPr>
          <w:lang w:eastAsia="en-AU"/>
        </w:rPr>
        <w:t xml:space="preserve">gender pay </w:t>
      </w:r>
      <w:r w:rsidR="000019CD" w:rsidRPr="000019CD">
        <w:rPr>
          <w:lang w:eastAsia="en-AU"/>
        </w:rPr>
        <w:t xml:space="preserve">gaps narrowed across many industries. The </w:t>
      </w:r>
      <w:r w:rsidR="00311DB4">
        <w:rPr>
          <w:lang w:eastAsia="en-AU"/>
        </w:rPr>
        <w:t xml:space="preserve">2025 </w:t>
      </w:r>
      <w:r w:rsidR="00EB7D16">
        <w:rPr>
          <w:lang w:eastAsia="en-AU"/>
        </w:rPr>
        <w:t>sector</w:t>
      </w:r>
      <w:r w:rsidR="00311DB4">
        <w:rPr>
          <w:lang w:eastAsia="en-AU"/>
        </w:rPr>
        <w:t>-level pay gap</w:t>
      </w:r>
      <w:r w:rsidR="000019CD" w:rsidRPr="000019CD">
        <w:rPr>
          <w:lang w:eastAsia="en-AU"/>
        </w:rPr>
        <w:t xml:space="preserve"> reflects broader reporting coverage and where women and men sit </w:t>
      </w:r>
      <w:r w:rsidR="00EB0D1B" w:rsidRPr="000019CD">
        <w:rPr>
          <w:lang w:eastAsia="en-AU"/>
        </w:rPr>
        <w:t xml:space="preserve">across </w:t>
      </w:r>
      <w:r w:rsidR="00EB0D1B" w:rsidRPr="00A93F23">
        <w:t>different industries and pay bands</w:t>
      </w:r>
      <w:r w:rsidR="000019CD" w:rsidRPr="000019CD">
        <w:rPr>
          <w:lang w:eastAsia="en-AU"/>
        </w:rPr>
        <w:t>, rather than a decline in pay equity.</w:t>
      </w:r>
      <w:r w:rsidRPr="005F688D">
        <w:rPr>
          <w:lang w:eastAsia="en-AU"/>
        </w:rPr>
        <w:t xml:space="preserve"> </w:t>
      </w:r>
    </w:p>
    <w:p w14:paraId="2E730378" w14:textId="326B66FB" w:rsidR="006F6ED1" w:rsidRPr="005F688D" w:rsidRDefault="006F6ED1" w:rsidP="0078531C">
      <w:pPr>
        <w:pStyle w:val="BodyText"/>
        <w:rPr>
          <w:lang w:eastAsia="en-AU"/>
        </w:rPr>
      </w:pPr>
      <w:r w:rsidRPr="005F688D">
        <w:rPr>
          <w:lang w:eastAsia="en-AU"/>
        </w:rPr>
        <w:t>Every industry still ha</w:t>
      </w:r>
      <w:r w:rsidR="00742890">
        <w:rPr>
          <w:lang w:eastAsia="en-AU"/>
        </w:rPr>
        <w:t>d</w:t>
      </w:r>
      <w:r w:rsidRPr="005F688D">
        <w:rPr>
          <w:lang w:eastAsia="en-AU"/>
        </w:rPr>
        <w:t xml:space="preserve"> a pay gap in favour of men. </w:t>
      </w:r>
      <w:r w:rsidR="004616ED">
        <w:rPr>
          <w:lang w:eastAsia="en-AU"/>
        </w:rPr>
        <w:t>Gender p</w:t>
      </w:r>
      <w:r w:rsidR="00CC20DC">
        <w:rPr>
          <w:lang w:eastAsia="en-AU"/>
        </w:rPr>
        <w:t>ay g</w:t>
      </w:r>
      <w:r w:rsidR="00CC20DC" w:rsidRPr="005F688D">
        <w:rPr>
          <w:lang w:eastAsia="en-AU"/>
        </w:rPr>
        <w:t>aps</w:t>
      </w:r>
      <w:r w:rsidRPr="005F688D">
        <w:rPr>
          <w:lang w:eastAsia="en-AU"/>
        </w:rPr>
        <w:t xml:space="preserve"> </w:t>
      </w:r>
      <w:r w:rsidR="0091039D">
        <w:rPr>
          <w:lang w:eastAsia="en-AU"/>
        </w:rPr>
        <w:t>were</w:t>
      </w:r>
      <w:r w:rsidRPr="005F688D">
        <w:rPr>
          <w:lang w:eastAsia="en-AU"/>
        </w:rPr>
        <w:t xml:space="preserve"> wide</w:t>
      </w:r>
      <w:r w:rsidR="00BA1F72">
        <w:rPr>
          <w:lang w:eastAsia="en-AU"/>
        </w:rPr>
        <w:t>r</w:t>
      </w:r>
      <w:r w:rsidRPr="005F688D">
        <w:rPr>
          <w:lang w:eastAsia="en-AU"/>
        </w:rPr>
        <w:t xml:space="preserve"> in </w:t>
      </w:r>
      <w:r w:rsidR="00BC44A6">
        <w:rPr>
          <w:lang w:eastAsia="en-AU"/>
        </w:rPr>
        <w:t>the</w:t>
      </w:r>
      <w:r w:rsidRPr="005F688D">
        <w:rPr>
          <w:lang w:eastAsia="en-AU"/>
        </w:rPr>
        <w:t xml:space="preserve"> women-concentrated </w:t>
      </w:r>
      <w:r w:rsidR="00BC44A6">
        <w:rPr>
          <w:lang w:eastAsia="en-AU"/>
        </w:rPr>
        <w:t>health care industry</w:t>
      </w:r>
      <w:r w:rsidR="001202EC">
        <w:rPr>
          <w:lang w:eastAsia="en-AU"/>
        </w:rPr>
        <w:t xml:space="preserve">, </w:t>
      </w:r>
      <w:r w:rsidR="004E6245">
        <w:rPr>
          <w:lang w:eastAsia="en-AU"/>
        </w:rPr>
        <w:t xml:space="preserve">and </w:t>
      </w:r>
      <w:r w:rsidR="001202EC">
        <w:rPr>
          <w:lang w:eastAsia="en-AU"/>
        </w:rPr>
        <w:t>in</w:t>
      </w:r>
      <w:r w:rsidR="004E6245">
        <w:rPr>
          <w:lang w:eastAsia="en-AU"/>
        </w:rPr>
        <w:t xml:space="preserve"> </w:t>
      </w:r>
      <w:r w:rsidRPr="005F688D">
        <w:rPr>
          <w:lang w:eastAsia="en-AU"/>
        </w:rPr>
        <w:t>occupations such as community and personal service</w:t>
      </w:r>
      <w:r w:rsidR="00CC044F">
        <w:rPr>
          <w:lang w:eastAsia="en-AU"/>
        </w:rPr>
        <w:t>,</w:t>
      </w:r>
      <w:r w:rsidRPr="005F688D">
        <w:rPr>
          <w:lang w:eastAsia="en-AU"/>
        </w:rPr>
        <w:t xml:space="preserve"> and clerical and administrative work</w:t>
      </w:r>
      <w:r w:rsidR="001202EC">
        <w:rPr>
          <w:lang w:eastAsia="en-AU"/>
        </w:rPr>
        <w:t xml:space="preserve">. </w:t>
      </w:r>
      <w:r w:rsidR="00CC0EEB">
        <w:rPr>
          <w:lang w:eastAsia="en-AU"/>
        </w:rPr>
        <w:t>Indicative p</w:t>
      </w:r>
      <w:r w:rsidR="00F617D7" w:rsidRPr="001C4E96">
        <w:rPr>
          <w:lang w:eastAsia="en-AU"/>
        </w:rPr>
        <w:t>ay gaps</w:t>
      </w:r>
      <w:r w:rsidR="001202EC" w:rsidRPr="001C4E96">
        <w:rPr>
          <w:lang w:eastAsia="en-AU"/>
        </w:rPr>
        <w:t xml:space="preserve"> </w:t>
      </w:r>
      <w:r w:rsidR="0091039D">
        <w:rPr>
          <w:lang w:eastAsia="en-AU"/>
        </w:rPr>
        <w:t>were</w:t>
      </w:r>
      <w:r w:rsidRPr="001C4E96">
        <w:rPr>
          <w:lang w:eastAsia="en-AU"/>
        </w:rPr>
        <w:t xml:space="preserve"> widest of all </w:t>
      </w:r>
      <w:r w:rsidR="007B668C" w:rsidRPr="004444B7">
        <w:rPr>
          <w:lang w:eastAsia="en-AU"/>
        </w:rPr>
        <w:t>between First Nations women and non-Indigenous men</w:t>
      </w:r>
      <w:r w:rsidRPr="005F688D">
        <w:rPr>
          <w:lang w:eastAsia="en-AU"/>
        </w:rPr>
        <w:t>.</w:t>
      </w:r>
    </w:p>
    <w:p w14:paraId="3DDE5541" w14:textId="534D074B" w:rsidR="007536AF" w:rsidRPr="005F688D" w:rsidRDefault="00F23B5D" w:rsidP="004444B7">
      <w:r>
        <w:t>T</w:t>
      </w:r>
      <w:r w:rsidR="007536AF">
        <w:t>he</w:t>
      </w:r>
      <w:r w:rsidR="007536AF" w:rsidRPr="00292105">
        <w:t xml:space="preserve"> senior leadership</w:t>
      </w:r>
      <w:r w:rsidR="007536AF">
        <w:t xml:space="preserve"> pay gap</w:t>
      </w:r>
      <w:r>
        <w:t xml:space="preserve"> is also concerning</w:t>
      </w:r>
      <w:r w:rsidR="007536AF">
        <w:t xml:space="preserve">. </w:t>
      </w:r>
      <w:r w:rsidR="00D1789C">
        <w:t>While</w:t>
      </w:r>
      <w:r w:rsidR="007536AF">
        <w:t xml:space="preserve"> w</w:t>
      </w:r>
      <w:r w:rsidR="007536AF" w:rsidRPr="00292105">
        <w:t>omen</w:t>
      </w:r>
      <w:r>
        <w:t>’</w:t>
      </w:r>
      <w:r w:rsidR="007536AF" w:rsidRPr="00292105">
        <w:t>s representation</w:t>
      </w:r>
      <w:r w:rsidR="007536AF">
        <w:t xml:space="preserve"> in senior leadership</w:t>
      </w:r>
      <w:r w:rsidR="007536AF" w:rsidRPr="00292105">
        <w:t xml:space="preserve"> grew</w:t>
      </w:r>
      <w:r w:rsidR="00184970">
        <w:t xml:space="preserve"> between 2023 and 2025</w:t>
      </w:r>
      <w:r w:rsidR="007536AF">
        <w:t>,</w:t>
      </w:r>
      <w:r w:rsidR="007536AF" w:rsidRPr="00292105">
        <w:t xml:space="preserve"> the senior leader pay gap widened</w:t>
      </w:r>
      <w:r w:rsidR="007536AF">
        <w:t>. A range of factors influenced this shift, including women executives being clustered in lower-paying roles and industries.</w:t>
      </w:r>
    </w:p>
    <w:p w14:paraId="0D58E7CB" w14:textId="7F5D90A4" w:rsidR="006F6ED1" w:rsidRPr="005F688D" w:rsidRDefault="006F6ED1" w:rsidP="0078531C">
      <w:pPr>
        <w:pStyle w:val="BodyText"/>
        <w:rPr>
          <w:lang w:eastAsia="en-AU"/>
        </w:rPr>
      </w:pPr>
      <w:r w:rsidRPr="005F688D">
        <w:rPr>
          <w:lang w:eastAsia="en-AU"/>
        </w:rPr>
        <w:t>Sexual harassment persist</w:t>
      </w:r>
      <w:r w:rsidR="00AA7733">
        <w:rPr>
          <w:lang w:eastAsia="en-AU"/>
        </w:rPr>
        <w:t>ed</w:t>
      </w:r>
      <w:r w:rsidRPr="005F688D">
        <w:rPr>
          <w:lang w:eastAsia="en-AU"/>
        </w:rPr>
        <w:t xml:space="preserve"> and </w:t>
      </w:r>
      <w:r w:rsidR="00152414">
        <w:rPr>
          <w:lang w:eastAsia="en-AU"/>
        </w:rPr>
        <w:t>rose between 2021 and 2025</w:t>
      </w:r>
      <w:r w:rsidRPr="005F688D">
        <w:rPr>
          <w:lang w:eastAsia="en-AU"/>
        </w:rPr>
        <w:t xml:space="preserve"> for some groups. Across the sector, experience rates have barely moved since 2021</w:t>
      </w:r>
      <w:r w:rsidR="00AD0603">
        <w:rPr>
          <w:lang w:eastAsia="en-AU"/>
        </w:rPr>
        <w:t>. They sit</w:t>
      </w:r>
      <w:r w:rsidRPr="005F688D">
        <w:rPr>
          <w:lang w:eastAsia="en-AU"/>
        </w:rPr>
        <w:t xml:space="preserve"> around 6.4% for women and 3.5% for men. They </w:t>
      </w:r>
      <w:r w:rsidR="0091039D">
        <w:rPr>
          <w:lang w:eastAsia="en-AU"/>
        </w:rPr>
        <w:t>we</w:t>
      </w:r>
      <w:r w:rsidR="0091039D" w:rsidRPr="005F688D">
        <w:rPr>
          <w:lang w:eastAsia="en-AU"/>
        </w:rPr>
        <w:t>re</w:t>
      </w:r>
      <w:r w:rsidRPr="005F688D">
        <w:rPr>
          <w:lang w:eastAsia="en-AU"/>
        </w:rPr>
        <w:t xml:space="preserve"> highest, and </w:t>
      </w:r>
      <w:r w:rsidR="0091039D">
        <w:rPr>
          <w:lang w:eastAsia="en-AU"/>
        </w:rPr>
        <w:t>increased more</w:t>
      </w:r>
      <w:r w:rsidRPr="005F688D">
        <w:rPr>
          <w:lang w:eastAsia="en-AU"/>
        </w:rPr>
        <w:t xml:space="preserve">, for non-binary and gender-diverse people, whose experience rate climbed </w:t>
      </w:r>
      <w:r w:rsidR="00941173">
        <w:rPr>
          <w:lang w:eastAsia="en-AU"/>
        </w:rPr>
        <w:t>from 12.7% in 2021</w:t>
      </w:r>
      <w:r w:rsidRPr="005F688D">
        <w:rPr>
          <w:lang w:eastAsia="en-AU"/>
        </w:rPr>
        <w:t xml:space="preserve"> to 16.9% in 2025</w:t>
      </w:r>
      <w:r w:rsidR="00941173">
        <w:rPr>
          <w:lang w:eastAsia="en-AU"/>
        </w:rPr>
        <w:t>. Experience rates also</w:t>
      </w:r>
      <w:r w:rsidRPr="005F688D">
        <w:rPr>
          <w:lang w:eastAsia="en-AU"/>
        </w:rPr>
        <w:t xml:space="preserve"> remain</w:t>
      </w:r>
      <w:r w:rsidR="00684B5F">
        <w:rPr>
          <w:lang w:eastAsia="en-AU"/>
        </w:rPr>
        <w:t>ed</w:t>
      </w:r>
      <w:r w:rsidRPr="005F688D">
        <w:rPr>
          <w:lang w:eastAsia="en-AU"/>
        </w:rPr>
        <w:t xml:space="preserve"> high for First Nations women, young women and women with disability.</w:t>
      </w:r>
      <w:r w:rsidR="00B77EF6">
        <w:rPr>
          <w:lang w:eastAsia="en-AU"/>
        </w:rPr>
        <w:t xml:space="preserve"> This </w:t>
      </w:r>
      <w:r w:rsidR="00F70D56">
        <w:rPr>
          <w:lang w:eastAsia="en-AU"/>
        </w:rPr>
        <w:t xml:space="preserve">shows why it </w:t>
      </w:r>
      <w:r w:rsidR="00772B6E">
        <w:rPr>
          <w:lang w:eastAsia="en-AU"/>
        </w:rPr>
        <w:t>is</w:t>
      </w:r>
      <w:r w:rsidR="008C2073">
        <w:rPr>
          <w:lang w:eastAsia="en-AU"/>
        </w:rPr>
        <w:t xml:space="preserve"> so</w:t>
      </w:r>
      <w:r w:rsidR="00772B6E">
        <w:rPr>
          <w:lang w:eastAsia="en-AU"/>
        </w:rPr>
        <w:t xml:space="preserve"> </w:t>
      </w:r>
      <w:r w:rsidR="00B77EF6">
        <w:rPr>
          <w:lang w:eastAsia="en-AU"/>
        </w:rPr>
        <w:t>importan</w:t>
      </w:r>
      <w:r w:rsidR="00772B6E">
        <w:rPr>
          <w:lang w:eastAsia="en-AU"/>
        </w:rPr>
        <w:t>t to</w:t>
      </w:r>
      <w:r w:rsidR="00B77EF6">
        <w:rPr>
          <w:lang w:eastAsia="en-AU"/>
        </w:rPr>
        <w:t xml:space="preserve"> consider</w:t>
      </w:r>
      <w:r w:rsidR="00890B19">
        <w:rPr>
          <w:lang w:eastAsia="en-AU"/>
        </w:rPr>
        <w:t xml:space="preserve"> how intersecting forms of inequality </w:t>
      </w:r>
      <w:r w:rsidR="003A210E">
        <w:rPr>
          <w:lang w:eastAsia="en-AU"/>
        </w:rPr>
        <w:t xml:space="preserve">can </w:t>
      </w:r>
      <w:r w:rsidR="00F81FB2">
        <w:rPr>
          <w:lang w:eastAsia="en-AU"/>
        </w:rPr>
        <w:t>place</w:t>
      </w:r>
      <w:r w:rsidR="003A210E">
        <w:rPr>
          <w:lang w:eastAsia="en-AU"/>
        </w:rPr>
        <w:t xml:space="preserve"> some groups at greater risk.</w:t>
      </w:r>
      <w:r w:rsidRPr="005F688D">
        <w:rPr>
          <w:lang w:eastAsia="en-AU"/>
        </w:rPr>
        <w:t xml:space="preserve"> </w:t>
      </w:r>
      <w:r w:rsidR="007F610B">
        <w:rPr>
          <w:lang w:eastAsia="en-AU"/>
        </w:rPr>
        <w:t>The high rate of sexual harassment across the sector</w:t>
      </w:r>
      <w:r w:rsidRPr="005F688D">
        <w:rPr>
          <w:lang w:eastAsia="en-AU"/>
        </w:rPr>
        <w:t xml:space="preserve"> is a work health and safety issue, and organisations have a positive duty under law to prevent</w:t>
      </w:r>
      <w:r w:rsidR="00AE3BA7">
        <w:rPr>
          <w:lang w:eastAsia="en-AU"/>
        </w:rPr>
        <w:t xml:space="preserve">, report and respond to </w:t>
      </w:r>
      <w:r w:rsidRPr="005F688D">
        <w:rPr>
          <w:lang w:eastAsia="en-AU"/>
        </w:rPr>
        <w:t>it.</w:t>
      </w:r>
    </w:p>
    <w:p w14:paraId="37A252D3" w14:textId="4427D034" w:rsidR="006F6ED1" w:rsidRPr="005F688D" w:rsidRDefault="006F6ED1" w:rsidP="0078531C">
      <w:pPr>
        <w:pStyle w:val="BodyText"/>
        <w:rPr>
          <w:lang w:eastAsia="en-AU"/>
        </w:rPr>
      </w:pPr>
      <w:r w:rsidRPr="005F688D">
        <w:rPr>
          <w:lang w:eastAsia="en-AU"/>
        </w:rPr>
        <w:t>The division of care remains deeply unequal. Despite gains in several industries, the average length of parental leave taken by men fell at the sector level, while women</w:t>
      </w:r>
      <w:r w:rsidR="002F55AB">
        <w:rPr>
          <w:lang w:eastAsia="en-AU"/>
        </w:rPr>
        <w:t>’</w:t>
      </w:r>
      <w:r w:rsidRPr="005F688D">
        <w:rPr>
          <w:lang w:eastAsia="en-AU"/>
        </w:rPr>
        <w:t xml:space="preserve">s rose – widening the gap. For every </w:t>
      </w:r>
      <w:r w:rsidR="004D0A17">
        <w:rPr>
          <w:lang w:eastAsia="en-AU"/>
        </w:rPr>
        <w:t xml:space="preserve">5 </w:t>
      </w:r>
      <w:r w:rsidRPr="005F688D">
        <w:rPr>
          <w:lang w:eastAsia="en-AU"/>
        </w:rPr>
        <w:t>week</w:t>
      </w:r>
      <w:r w:rsidR="004D0A17">
        <w:rPr>
          <w:lang w:eastAsia="en-AU"/>
        </w:rPr>
        <w:t>s</w:t>
      </w:r>
      <w:r w:rsidRPr="005F688D">
        <w:rPr>
          <w:lang w:eastAsia="en-AU"/>
        </w:rPr>
        <w:t xml:space="preserve"> of parental leave women took in 2025, men took around </w:t>
      </w:r>
      <w:r w:rsidR="004D0A17">
        <w:rPr>
          <w:lang w:eastAsia="en-AU"/>
        </w:rPr>
        <w:t>one week</w:t>
      </w:r>
      <w:r w:rsidRPr="005F688D">
        <w:rPr>
          <w:lang w:eastAsia="en-AU"/>
        </w:rPr>
        <w:t xml:space="preserve">. </w:t>
      </w:r>
      <w:r w:rsidR="00E661F2" w:rsidRPr="00CD36C5">
        <w:t>Supporting</w:t>
      </w:r>
      <w:r w:rsidR="00E661F2" w:rsidRPr="00C27278">
        <w:t xml:space="preserve"> more men to work flexibly</w:t>
      </w:r>
      <w:r w:rsidR="00575636">
        <w:t>,</w:t>
      </w:r>
      <w:r w:rsidR="00E661F2" w:rsidRPr="00C27278">
        <w:t xml:space="preserve"> and take leave</w:t>
      </w:r>
      <w:r w:rsidR="00575636">
        <w:t>,</w:t>
      </w:r>
      <w:r w:rsidR="00E661F2" w:rsidRPr="00CD36C5">
        <w:t xml:space="preserve"> advances</w:t>
      </w:r>
      <w:r w:rsidR="00E661F2" w:rsidRPr="00C27278">
        <w:t xml:space="preserve"> gender equality by helping to </w:t>
      </w:r>
      <w:r w:rsidR="00E661F2" w:rsidRPr="00CD36C5">
        <w:t xml:space="preserve">share </w:t>
      </w:r>
      <w:r w:rsidR="00E661F2" w:rsidRPr="00C27278">
        <w:t xml:space="preserve">unpaid </w:t>
      </w:r>
      <w:r w:rsidR="00E661F2" w:rsidRPr="00CD36C5">
        <w:t xml:space="preserve">care more evenly. </w:t>
      </w:r>
      <w:r w:rsidRPr="005F688D">
        <w:rPr>
          <w:lang w:eastAsia="en-AU"/>
        </w:rPr>
        <w:t>This is why men</w:t>
      </w:r>
      <w:r w:rsidR="002F55AB">
        <w:rPr>
          <w:lang w:eastAsia="en-AU"/>
        </w:rPr>
        <w:t>’</w:t>
      </w:r>
      <w:r w:rsidRPr="005F688D">
        <w:rPr>
          <w:lang w:eastAsia="en-AU"/>
        </w:rPr>
        <w:t>s uptake of parental leave is becoming a regulatory priority.</w:t>
      </w:r>
    </w:p>
    <w:p w14:paraId="695031EE" w14:textId="22994E76" w:rsidR="006F6ED1" w:rsidRPr="005F688D" w:rsidRDefault="006F6ED1" w:rsidP="0078531C">
      <w:pPr>
        <w:pStyle w:val="BodyText"/>
        <w:rPr>
          <w:lang w:eastAsia="en-AU"/>
        </w:rPr>
      </w:pPr>
      <w:r w:rsidRPr="005F688D">
        <w:rPr>
          <w:lang w:eastAsia="en-AU"/>
        </w:rPr>
        <w:t xml:space="preserve">Gender-diverse employees face the </w:t>
      </w:r>
      <w:r w:rsidR="00337366">
        <w:rPr>
          <w:lang w:eastAsia="en-AU"/>
        </w:rPr>
        <w:t>biggest</w:t>
      </w:r>
      <w:r w:rsidRPr="005F688D">
        <w:rPr>
          <w:lang w:eastAsia="en-AU"/>
        </w:rPr>
        <w:t xml:space="preserve"> barriers. More than half of gender-diverse survey respondents reported barriers to career advancement – more than twice the rate of men – and the picture worsened, </w:t>
      </w:r>
      <w:r w:rsidR="00837C88">
        <w:rPr>
          <w:lang w:eastAsia="en-AU"/>
        </w:rPr>
        <w:t>rather than</w:t>
      </w:r>
      <w:r w:rsidR="00837C88" w:rsidRPr="005F688D">
        <w:rPr>
          <w:lang w:eastAsia="en-AU"/>
        </w:rPr>
        <w:t xml:space="preserve"> </w:t>
      </w:r>
      <w:r w:rsidRPr="005F688D">
        <w:rPr>
          <w:lang w:eastAsia="en-AU"/>
        </w:rPr>
        <w:t>improved, since 2021. These employees also report</w:t>
      </w:r>
      <w:r w:rsidR="0006209A">
        <w:rPr>
          <w:lang w:eastAsia="en-AU"/>
        </w:rPr>
        <w:t>ed</w:t>
      </w:r>
      <w:r w:rsidRPr="005F688D">
        <w:rPr>
          <w:lang w:eastAsia="en-AU"/>
        </w:rPr>
        <w:t xml:space="preserve"> </w:t>
      </w:r>
      <w:r w:rsidR="002226DC">
        <w:rPr>
          <w:lang w:eastAsia="en-AU"/>
        </w:rPr>
        <w:t>lower</w:t>
      </w:r>
      <w:r w:rsidRPr="005F688D">
        <w:rPr>
          <w:lang w:eastAsia="en-AU"/>
        </w:rPr>
        <w:t xml:space="preserve"> satisfaction with career advancement </w:t>
      </w:r>
      <w:r w:rsidR="002226DC">
        <w:rPr>
          <w:lang w:eastAsia="en-AU"/>
        </w:rPr>
        <w:t xml:space="preserve">than any other group </w:t>
      </w:r>
      <w:r w:rsidRPr="005F688D">
        <w:rPr>
          <w:lang w:eastAsia="en-AU"/>
        </w:rPr>
        <w:t xml:space="preserve">and the </w:t>
      </w:r>
      <w:r w:rsidR="00501EAB">
        <w:rPr>
          <w:lang w:eastAsia="en-AU"/>
        </w:rPr>
        <w:t>least</w:t>
      </w:r>
      <w:r w:rsidR="00501EAB" w:rsidRPr="005F688D">
        <w:rPr>
          <w:lang w:eastAsia="en-AU"/>
        </w:rPr>
        <w:t xml:space="preserve"> </w:t>
      </w:r>
      <w:r w:rsidRPr="005F688D">
        <w:rPr>
          <w:lang w:eastAsia="en-AU"/>
        </w:rPr>
        <w:t xml:space="preserve">confidence that recruitment </w:t>
      </w:r>
      <w:r w:rsidR="00501EAB">
        <w:rPr>
          <w:lang w:eastAsia="en-AU"/>
        </w:rPr>
        <w:t xml:space="preserve">processes </w:t>
      </w:r>
      <w:r w:rsidR="00F365A5">
        <w:rPr>
          <w:lang w:eastAsia="en-AU"/>
        </w:rPr>
        <w:t>were</w:t>
      </w:r>
      <w:r w:rsidR="00501EAB">
        <w:rPr>
          <w:lang w:eastAsia="en-AU"/>
        </w:rPr>
        <w:t xml:space="preserve"> </w:t>
      </w:r>
      <w:r w:rsidRPr="005F688D">
        <w:rPr>
          <w:lang w:eastAsia="en-AU"/>
        </w:rPr>
        <w:t>fair.</w:t>
      </w:r>
    </w:p>
    <w:p w14:paraId="77DAA369" w14:textId="28800DEF" w:rsidR="006F6ED1" w:rsidRPr="005F688D" w:rsidRDefault="008C0095" w:rsidP="00645544">
      <w:pPr>
        <w:pStyle w:val="Heading2"/>
        <w:rPr>
          <w:lang w:eastAsia="en-AU"/>
        </w:rPr>
      </w:pPr>
      <w:bookmarkStart w:id="6" w:name="_Toc237259502"/>
      <w:r>
        <w:rPr>
          <w:lang w:eastAsia="en-AU"/>
        </w:rPr>
        <w:t>Where better data is needed</w:t>
      </w:r>
      <w:bookmarkEnd w:id="6"/>
    </w:p>
    <w:p w14:paraId="185EA593" w14:textId="4EB4FD84" w:rsidR="00C87F68" w:rsidRPr="00C87F68" w:rsidRDefault="00C87F68" w:rsidP="0078531C">
      <w:pPr>
        <w:pStyle w:val="BodyText"/>
        <w:rPr>
          <w:lang w:eastAsia="en-AU"/>
        </w:rPr>
      </w:pPr>
      <w:r w:rsidRPr="00C87F68">
        <w:rPr>
          <w:lang w:eastAsia="en-AU"/>
        </w:rPr>
        <w:t xml:space="preserve">This report rests on the strongest public sector </w:t>
      </w:r>
      <w:r w:rsidR="006E7404">
        <w:rPr>
          <w:lang w:eastAsia="en-AU"/>
        </w:rPr>
        <w:t xml:space="preserve">gender equality </w:t>
      </w:r>
      <w:r w:rsidRPr="00C87F68">
        <w:rPr>
          <w:lang w:eastAsia="en-AU"/>
        </w:rPr>
        <w:t>workforce dataset in Australia. Its limits matter as much as its findings, and two stand out.</w:t>
      </w:r>
    </w:p>
    <w:p w14:paraId="0202C762" w14:textId="35963CCF" w:rsidR="00C87F68" w:rsidRPr="00C87F68" w:rsidRDefault="00C87F68" w:rsidP="0078531C">
      <w:pPr>
        <w:pStyle w:val="BodyText"/>
        <w:rPr>
          <w:lang w:eastAsia="en-AU"/>
        </w:rPr>
      </w:pPr>
      <w:r w:rsidRPr="00C87F68">
        <w:rPr>
          <w:lang w:eastAsia="en-AU"/>
        </w:rPr>
        <w:lastRenderedPageBreak/>
        <w:t xml:space="preserve">The first is on sexual harassment. Across the sector, far fewer incidents </w:t>
      </w:r>
      <w:r w:rsidR="00AC3C1F">
        <w:rPr>
          <w:lang w:eastAsia="en-AU"/>
        </w:rPr>
        <w:t>we</w:t>
      </w:r>
      <w:r w:rsidRPr="00C87F68">
        <w:rPr>
          <w:lang w:eastAsia="en-AU"/>
        </w:rPr>
        <w:t>re formally recorded in workforce reporting than employees describe</w:t>
      </w:r>
      <w:r w:rsidR="00AC3C1F">
        <w:rPr>
          <w:lang w:eastAsia="en-AU"/>
        </w:rPr>
        <w:t>d</w:t>
      </w:r>
      <w:r w:rsidRPr="00C87F68">
        <w:rPr>
          <w:lang w:eastAsia="en-AU"/>
        </w:rPr>
        <w:t xml:space="preserve"> experiencing</w:t>
      </w:r>
      <w:r w:rsidR="00C72A60">
        <w:rPr>
          <w:lang w:eastAsia="en-AU"/>
        </w:rPr>
        <w:t xml:space="preserve"> and reporting</w:t>
      </w:r>
      <w:r w:rsidRPr="00C87F68">
        <w:rPr>
          <w:lang w:eastAsia="en-AU"/>
        </w:rPr>
        <w:t xml:space="preserve"> in anonymous surveys. </w:t>
      </w:r>
      <w:r w:rsidR="00772AC0">
        <w:rPr>
          <w:lang w:eastAsia="en-AU"/>
        </w:rPr>
        <w:t>This</w:t>
      </w:r>
      <w:r w:rsidRPr="00C87F68">
        <w:rPr>
          <w:lang w:eastAsia="en-AU"/>
        </w:rPr>
        <w:t xml:space="preserve"> tells us something important</w:t>
      </w:r>
      <w:r w:rsidR="00EF04C8">
        <w:rPr>
          <w:lang w:eastAsia="en-AU"/>
        </w:rPr>
        <w:t>. I</w:t>
      </w:r>
      <w:r w:rsidRPr="00C87F68">
        <w:rPr>
          <w:lang w:eastAsia="en-AU"/>
        </w:rPr>
        <w:t>n many workplaces, sexual harassment is happening but staying invisible to the systems meant to address it. Disclosures made to a manager are not always documented, escalated or captured in reporting</w:t>
      </w:r>
      <w:r w:rsidR="007E3B8D">
        <w:rPr>
          <w:lang w:eastAsia="en-AU"/>
        </w:rPr>
        <w:t xml:space="preserve">. This means that </w:t>
      </w:r>
      <w:r w:rsidRPr="00C87F68">
        <w:rPr>
          <w:lang w:eastAsia="en-AU"/>
        </w:rPr>
        <w:t>senior leaders can be working from an incomplete picture</w:t>
      </w:r>
      <w:r w:rsidR="007E3B8D">
        <w:rPr>
          <w:lang w:eastAsia="en-AU"/>
        </w:rPr>
        <w:t>,</w:t>
      </w:r>
      <w:r w:rsidRPr="00C87F68" w:rsidDel="007E3B8D">
        <w:rPr>
          <w:lang w:eastAsia="en-AU"/>
        </w:rPr>
        <w:t xml:space="preserve"> </w:t>
      </w:r>
      <w:r w:rsidRPr="00C87F68">
        <w:rPr>
          <w:lang w:eastAsia="en-AU"/>
        </w:rPr>
        <w:t>and people who come forward may not get the support or follow-up they deserve.</w:t>
      </w:r>
    </w:p>
    <w:p w14:paraId="3F198A65" w14:textId="38AF2B7B" w:rsidR="00942170" w:rsidRDefault="002610AE" w:rsidP="0078531C">
      <w:pPr>
        <w:pStyle w:val="BodyText"/>
        <w:rPr>
          <w:lang w:eastAsia="en-AU"/>
        </w:rPr>
      </w:pPr>
      <w:r w:rsidRPr="002610AE">
        <w:rPr>
          <w:lang w:eastAsia="en-AU"/>
        </w:rPr>
        <w:t xml:space="preserve">Closing this gap is a </w:t>
      </w:r>
      <w:r w:rsidR="000E6926">
        <w:rPr>
          <w:lang w:eastAsia="en-AU"/>
        </w:rPr>
        <w:t>duty holder</w:t>
      </w:r>
      <w:r w:rsidRPr="002610AE">
        <w:rPr>
          <w:lang w:eastAsia="en-AU"/>
        </w:rPr>
        <w:t xml:space="preserve"> responsibility</w:t>
      </w:r>
      <w:r w:rsidR="00FF12BD">
        <w:rPr>
          <w:lang w:eastAsia="en-AU"/>
        </w:rPr>
        <w:t>.</w:t>
      </w:r>
      <w:r w:rsidR="00D12E76">
        <w:rPr>
          <w:lang w:eastAsia="en-AU"/>
        </w:rPr>
        <w:t xml:space="preserve"> </w:t>
      </w:r>
      <w:r w:rsidR="009E6946" w:rsidRPr="000E6926">
        <w:rPr>
          <w:lang w:eastAsia="en-AU"/>
        </w:rPr>
        <w:t>Organisations have an</w:t>
      </w:r>
      <w:r w:rsidRPr="000E6926">
        <w:rPr>
          <w:lang w:eastAsia="en-AU"/>
        </w:rPr>
        <w:t xml:space="preserve"> obligation to design, </w:t>
      </w:r>
      <w:r w:rsidRPr="005E3A84">
        <w:rPr>
          <w:lang w:eastAsia="en-AU"/>
        </w:rPr>
        <w:t>maintain and actively monitor safe workplaces and reporting processes</w:t>
      </w:r>
      <w:r w:rsidR="00A83651" w:rsidRPr="005E3A84">
        <w:rPr>
          <w:lang w:eastAsia="en-AU"/>
        </w:rPr>
        <w:t>.</w:t>
      </w:r>
      <w:r w:rsidR="00A83651">
        <w:rPr>
          <w:lang w:eastAsia="en-AU"/>
        </w:rPr>
        <w:t xml:space="preserve"> </w:t>
      </w:r>
      <w:r w:rsidR="009E34CF">
        <w:rPr>
          <w:lang w:eastAsia="en-AU"/>
        </w:rPr>
        <w:t>They cannot</w:t>
      </w:r>
      <w:r w:rsidR="001D2387">
        <w:rPr>
          <w:lang w:eastAsia="en-AU"/>
        </w:rPr>
        <w:t xml:space="preserve"> </w:t>
      </w:r>
      <w:r w:rsidRPr="002610AE">
        <w:rPr>
          <w:lang w:eastAsia="en-AU"/>
        </w:rPr>
        <w:t>rely on individuals to speak up or change their behaviour.</w:t>
      </w:r>
    </w:p>
    <w:p w14:paraId="3FA798F3" w14:textId="756CC65B" w:rsidR="00C87F68" w:rsidRPr="00C87F68" w:rsidRDefault="00C87F68" w:rsidP="0078531C">
      <w:pPr>
        <w:pStyle w:val="BodyText"/>
        <w:rPr>
          <w:lang w:eastAsia="en-AU"/>
        </w:rPr>
      </w:pPr>
      <w:r w:rsidRPr="00C87F68">
        <w:rPr>
          <w:lang w:eastAsia="en-AU"/>
        </w:rPr>
        <w:t>Organisations can read their anonymous survey data and their formal reporting data together</w:t>
      </w:r>
      <w:r w:rsidR="00DE0E98">
        <w:rPr>
          <w:lang w:eastAsia="en-AU"/>
        </w:rPr>
        <w:t>.</w:t>
      </w:r>
      <w:r w:rsidRPr="00C87F68">
        <w:rPr>
          <w:lang w:eastAsia="en-AU"/>
        </w:rPr>
        <w:t xml:space="preserve"> </w:t>
      </w:r>
      <w:r w:rsidR="00A64E66">
        <w:rPr>
          <w:lang w:eastAsia="en-AU"/>
        </w:rPr>
        <w:t>Employee experience</w:t>
      </w:r>
      <w:r w:rsidRPr="00C87F68">
        <w:rPr>
          <w:lang w:eastAsia="en-AU"/>
        </w:rPr>
        <w:t xml:space="preserve"> </w:t>
      </w:r>
      <w:r w:rsidR="00A64E66">
        <w:rPr>
          <w:lang w:eastAsia="en-AU"/>
        </w:rPr>
        <w:t>s</w:t>
      </w:r>
      <w:r w:rsidRPr="00C87F68">
        <w:rPr>
          <w:lang w:eastAsia="en-AU"/>
        </w:rPr>
        <w:t xml:space="preserve">urveys show how common </w:t>
      </w:r>
      <w:r w:rsidR="00A64E66">
        <w:rPr>
          <w:lang w:eastAsia="en-AU"/>
        </w:rPr>
        <w:t>sexual</w:t>
      </w:r>
      <w:r w:rsidRPr="00C87F68">
        <w:rPr>
          <w:lang w:eastAsia="en-AU"/>
        </w:rPr>
        <w:t xml:space="preserve"> harassment is</w:t>
      </w:r>
      <w:r w:rsidR="00274BEF">
        <w:rPr>
          <w:lang w:eastAsia="en-AU"/>
        </w:rPr>
        <w:t xml:space="preserve"> and how many people say they have reported </w:t>
      </w:r>
      <w:r w:rsidR="00632BF9">
        <w:rPr>
          <w:lang w:eastAsia="en-AU"/>
        </w:rPr>
        <w:t>it</w:t>
      </w:r>
      <w:r w:rsidR="00187870">
        <w:rPr>
          <w:lang w:eastAsia="en-AU"/>
        </w:rPr>
        <w:t>. F</w:t>
      </w:r>
      <w:r w:rsidR="00632BF9">
        <w:rPr>
          <w:lang w:eastAsia="en-AU"/>
        </w:rPr>
        <w:t xml:space="preserve">ormal workforce </w:t>
      </w:r>
      <w:r w:rsidRPr="00C87F68">
        <w:rPr>
          <w:lang w:eastAsia="en-AU"/>
        </w:rPr>
        <w:t>reporting data shows whether response systems are working</w:t>
      </w:r>
      <w:r w:rsidR="00187870">
        <w:rPr>
          <w:lang w:eastAsia="en-AU"/>
        </w:rPr>
        <w:t>. A</w:t>
      </w:r>
      <w:r w:rsidRPr="00C87F68">
        <w:rPr>
          <w:lang w:eastAsia="en-AU"/>
        </w:rPr>
        <w:t xml:space="preserve"> large gap between the two is itself a signal worth acting on. The Commissioner expects duty holders to treat this with the same rigour they apply to any other significant work health and safety risk.</w:t>
      </w:r>
    </w:p>
    <w:p w14:paraId="2074BE1A" w14:textId="4A8B4EC5" w:rsidR="00093E8D" w:rsidRPr="00093E8D" w:rsidRDefault="00C87F68" w:rsidP="0078531C">
      <w:pPr>
        <w:pStyle w:val="BodyText"/>
        <w:rPr>
          <w:lang w:eastAsia="en-AU"/>
        </w:rPr>
      </w:pPr>
      <w:r w:rsidRPr="00C87F68">
        <w:rPr>
          <w:lang w:eastAsia="en-AU"/>
        </w:rPr>
        <w:t xml:space="preserve">The second limit </w:t>
      </w:r>
      <w:r w:rsidR="00634C88">
        <w:rPr>
          <w:lang w:eastAsia="en-AU"/>
        </w:rPr>
        <w:t>relates to</w:t>
      </w:r>
      <w:r w:rsidRPr="00C87F68">
        <w:rPr>
          <w:lang w:eastAsia="en-AU"/>
        </w:rPr>
        <w:t xml:space="preserve"> </w:t>
      </w:r>
      <w:r w:rsidR="00BD1F78">
        <w:rPr>
          <w:lang w:eastAsia="en-AU"/>
        </w:rPr>
        <w:t>demographic</w:t>
      </w:r>
      <w:r w:rsidR="00BD1F78" w:rsidRPr="00C87F68">
        <w:rPr>
          <w:lang w:eastAsia="en-AU"/>
        </w:rPr>
        <w:t xml:space="preserve"> </w:t>
      </w:r>
      <w:r w:rsidRPr="00C87F68">
        <w:rPr>
          <w:lang w:eastAsia="en-AU"/>
        </w:rPr>
        <w:t>data</w:t>
      </w:r>
      <w:r w:rsidR="00B30BA5">
        <w:rPr>
          <w:lang w:eastAsia="en-AU"/>
        </w:rPr>
        <w:t xml:space="preserve"> that is used to understand intersecting inequalities</w:t>
      </w:r>
      <w:r w:rsidRPr="00C87F68">
        <w:rPr>
          <w:lang w:eastAsia="en-AU"/>
        </w:rPr>
        <w:t xml:space="preserve">. Only a small number of duty holders </w:t>
      </w:r>
      <w:r w:rsidR="00634C88">
        <w:rPr>
          <w:lang w:eastAsia="en-AU"/>
        </w:rPr>
        <w:t>report</w:t>
      </w:r>
      <w:r w:rsidR="00634C88" w:rsidRPr="00C87F68">
        <w:rPr>
          <w:lang w:eastAsia="en-AU"/>
        </w:rPr>
        <w:t xml:space="preserve"> </w:t>
      </w:r>
      <w:r w:rsidRPr="00C87F68">
        <w:rPr>
          <w:lang w:eastAsia="en-AU"/>
        </w:rPr>
        <w:t>reliable demographic data</w:t>
      </w:r>
      <w:r w:rsidR="00BA59CB">
        <w:rPr>
          <w:lang w:eastAsia="en-AU"/>
        </w:rPr>
        <w:t xml:space="preserve"> beyond gender and age</w:t>
      </w:r>
      <w:r w:rsidR="00317590">
        <w:rPr>
          <w:lang w:eastAsia="en-AU"/>
        </w:rPr>
        <w:t>.</w:t>
      </w:r>
      <w:r w:rsidRPr="00C87F68">
        <w:rPr>
          <w:lang w:eastAsia="en-AU"/>
        </w:rPr>
        <w:t xml:space="preserve"> </w:t>
      </w:r>
      <w:r w:rsidR="00317590">
        <w:rPr>
          <w:lang w:eastAsia="en-AU"/>
        </w:rPr>
        <w:t>M</w:t>
      </w:r>
      <w:r w:rsidRPr="00C87F68">
        <w:rPr>
          <w:lang w:eastAsia="en-AU"/>
        </w:rPr>
        <w:t>uch of this report</w:t>
      </w:r>
      <w:r w:rsidR="002F55AB">
        <w:rPr>
          <w:lang w:eastAsia="en-AU"/>
        </w:rPr>
        <w:t>’</w:t>
      </w:r>
      <w:r w:rsidRPr="00C87F68">
        <w:rPr>
          <w:lang w:eastAsia="en-AU"/>
        </w:rPr>
        <w:t xml:space="preserve">s intersectional analysis </w:t>
      </w:r>
      <w:r w:rsidR="00317590">
        <w:rPr>
          <w:lang w:eastAsia="en-AU"/>
        </w:rPr>
        <w:t>relies</w:t>
      </w:r>
      <w:r w:rsidRPr="00C87F68">
        <w:rPr>
          <w:lang w:eastAsia="en-AU"/>
        </w:rPr>
        <w:t xml:space="preserve"> on anonymous survey responses and is confined to gender pay gaps and sexual harassment. Even so, the patterns are clear</w:t>
      </w:r>
      <w:r w:rsidR="00254A83">
        <w:rPr>
          <w:lang w:eastAsia="en-AU"/>
        </w:rPr>
        <w:t>.</w:t>
      </w:r>
      <w:r w:rsidRPr="00C87F68">
        <w:rPr>
          <w:lang w:eastAsia="en-AU"/>
        </w:rPr>
        <w:t xml:space="preserve"> First Nations women, culturally and racially marginalised </w:t>
      </w:r>
      <w:r w:rsidR="006B1042">
        <w:rPr>
          <w:lang w:eastAsia="en-AU"/>
        </w:rPr>
        <w:t xml:space="preserve">(CARM) </w:t>
      </w:r>
      <w:r w:rsidRPr="00C87F68">
        <w:rPr>
          <w:lang w:eastAsia="en-AU"/>
        </w:rPr>
        <w:t xml:space="preserve">women, women with disability, and </w:t>
      </w:r>
      <w:r w:rsidR="00156BF3">
        <w:rPr>
          <w:lang w:eastAsia="en-AU"/>
        </w:rPr>
        <w:t xml:space="preserve">queer and </w:t>
      </w:r>
      <w:r w:rsidRPr="00C87F68">
        <w:rPr>
          <w:lang w:eastAsia="en-AU"/>
        </w:rPr>
        <w:t xml:space="preserve">gender-diverse people </w:t>
      </w:r>
      <w:r w:rsidR="00254A83">
        <w:rPr>
          <w:lang w:eastAsia="en-AU"/>
        </w:rPr>
        <w:t>experience</w:t>
      </w:r>
      <w:r w:rsidR="00254A83" w:rsidRPr="00C87F68">
        <w:rPr>
          <w:lang w:eastAsia="en-AU"/>
        </w:rPr>
        <w:t xml:space="preserve"> </w:t>
      </w:r>
      <w:r w:rsidRPr="00C87F68">
        <w:rPr>
          <w:lang w:eastAsia="en-AU"/>
        </w:rPr>
        <w:t xml:space="preserve">compounded disadvantage. Better demographic data collection across the sector </w:t>
      </w:r>
      <w:r w:rsidR="00B011A1">
        <w:rPr>
          <w:lang w:eastAsia="en-AU"/>
        </w:rPr>
        <w:t xml:space="preserve">is needed to </w:t>
      </w:r>
      <w:r w:rsidR="00396481">
        <w:rPr>
          <w:lang w:eastAsia="en-AU"/>
        </w:rPr>
        <w:t xml:space="preserve">ensure </w:t>
      </w:r>
      <w:r w:rsidR="00C54374">
        <w:rPr>
          <w:lang w:eastAsia="en-AU"/>
        </w:rPr>
        <w:t xml:space="preserve">these </w:t>
      </w:r>
      <w:r w:rsidRPr="00C87F68">
        <w:rPr>
          <w:lang w:eastAsia="en-AU"/>
        </w:rPr>
        <w:t xml:space="preserve">experiences </w:t>
      </w:r>
      <w:r w:rsidR="00C54374">
        <w:rPr>
          <w:lang w:eastAsia="en-AU"/>
        </w:rPr>
        <w:t>are visible</w:t>
      </w:r>
      <w:r w:rsidRPr="00C87F68">
        <w:rPr>
          <w:lang w:eastAsia="en-AU"/>
        </w:rPr>
        <w:t xml:space="preserve"> </w:t>
      </w:r>
      <w:r w:rsidR="00C54374">
        <w:rPr>
          <w:lang w:eastAsia="en-AU"/>
        </w:rPr>
        <w:t>–</w:t>
      </w:r>
      <w:r w:rsidRPr="00C87F68">
        <w:rPr>
          <w:lang w:eastAsia="en-AU"/>
        </w:rPr>
        <w:t xml:space="preserve"> and </w:t>
      </w:r>
      <w:r w:rsidR="00C54374">
        <w:rPr>
          <w:lang w:eastAsia="en-AU"/>
        </w:rPr>
        <w:t xml:space="preserve">that </w:t>
      </w:r>
      <w:r w:rsidR="006E2EFE">
        <w:rPr>
          <w:lang w:eastAsia="en-AU"/>
        </w:rPr>
        <w:t xml:space="preserve">organisations can use </w:t>
      </w:r>
      <w:r w:rsidR="00C54374">
        <w:rPr>
          <w:lang w:eastAsia="en-AU"/>
        </w:rPr>
        <w:t xml:space="preserve">the data </w:t>
      </w:r>
      <w:r w:rsidR="006E2EFE">
        <w:rPr>
          <w:lang w:eastAsia="en-AU"/>
        </w:rPr>
        <w:t xml:space="preserve">to take </w:t>
      </w:r>
      <w:r w:rsidR="00C54374">
        <w:rPr>
          <w:lang w:eastAsia="en-AU"/>
        </w:rPr>
        <w:t>action</w:t>
      </w:r>
      <w:r w:rsidR="00013975">
        <w:rPr>
          <w:lang w:eastAsia="en-AU"/>
        </w:rPr>
        <w:t>.</w:t>
      </w:r>
      <w:r w:rsidR="00DF540A">
        <w:rPr>
          <w:lang w:eastAsia="en-AU"/>
        </w:rPr>
        <w:t xml:space="preserve"> </w:t>
      </w:r>
      <w:r w:rsidR="00013975">
        <w:rPr>
          <w:lang w:eastAsia="en-AU"/>
        </w:rPr>
        <w:t>This</w:t>
      </w:r>
      <w:r w:rsidRPr="00C87F68">
        <w:rPr>
          <w:lang w:eastAsia="en-AU"/>
        </w:rPr>
        <w:t xml:space="preserve"> is one of the clearest opportunities to strengthen the evidence base in the next </w:t>
      </w:r>
      <w:r w:rsidR="00013975">
        <w:rPr>
          <w:lang w:eastAsia="en-AU"/>
        </w:rPr>
        <w:t xml:space="preserve">reporting </w:t>
      </w:r>
      <w:r w:rsidRPr="00C87F68">
        <w:rPr>
          <w:lang w:eastAsia="en-AU"/>
        </w:rPr>
        <w:t>cycle.</w:t>
      </w:r>
      <w:r w:rsidR="009E3F49">
        <w:rPr>
          <w:lang w:eastAsia="en-AU"/>
        </w:rPr>
        <w:t xml:space="preserve"> </w:t>
      </w:r>
    </w:p>
    <w:p w14:paraId="120F5AA2" w14:textId="77777777" w:rsidR="00B073D7" w:rsidRPr="005F688D" w:rsidRDefault="00B073D7" w:rsidP="00645544">
      <w:pPr>
        <w:pStyle w:val="Heading2"/>
        <w:rPr>
          <w:lang w:eastAsia="en-AU"/>
        </w:rPr>
      </w:pPr>
      <w:bookmarkStart w:id="7" w:name="_Toc237259503"/>
      <w:r w:rsidRPr="005F688D">
        <w:rPr>
          <w:lang w:eastAsia="en-AU"/>
        </w:rPr>
        <w:t>What this means for duty holders</w:t>
      </w:r>
      <w:bookmarkEnd w:id="7"/>
    </w:p>
    <w:p w14:paraId="6904B076" w14:textId="29C9A924" w:rsidR="008300A8" w:rsidRPr="00E66E58" w:rsidRDefault="001A63A8" w:rsidP="0078531C">
      <w:pPr>
        <w:pStyle w:val="BodyText"/>
        <w:rPr>
          <w:lang w:eastAsia="en-AU"/>
        </w:rPr>
      </w:pPr>
      <w:r w:rsidRPr="005F688D">
        <w:rPr>
          <w:lang w:eastAsia="en-AU"/>
        </w:rPr>
        <w:t>The</w:t>
      </w:r>
      <w:r w:rsidR="0036535D">
        <w:rPr>
          <w:lang w:eastAsia="en-AU"/>
        </w:rPr>
        <w:t>se</w:t>
      </w:r>
      <w:r w:rsidRPr="005F688D">
        <w:rPr>
          <w:lang w:eastAsia="en-AU"/>
        </w:rPr>
        <w:t xml:space="preserve"> findings reinforce that meaningful progress requires more than policy commitments alone.</w:t>
      </w:r>
      <w:r>
        <w:rPr>
          <w:lang w:eastAsia="en-AU"/>
        </w:rPr>
        <w:t xml:space="preserve"> </w:t>
      </w:r>
      <w:r w:rsidR="008300A8" w:rsidRPr="00E66E58">
        <w:rPr>
          <w:lang w:eastAsia="en-AU"/>
        </w:rPr>
        <w:t>Continued measurement, transparency</w:t>
      </w:r>
      <w:r w:rsidR="00307BBD">
        <w:rPr>
          <w:lang w:eastAsia="en-AU"/>
        </w:rPr>
        <w:t>, action</w:t>
      </w:r>
      <w:r w:rsidR="00F8245C">
        <w:rPr>
          <w:lang w:eastAsia="en-AU"/>
        </w:rPr>
        <w:t>,</w:t>
      </w:r>
      <w:r w:rsidR="008300A8" w:rsidRPr="00E66E58">
        <w:rPr>
          <w:lang w:eastAsia="en-AU"/>
        </w:rPr>
        <w:t xml:space="preserve"> and accountability will be essential to sustain momentum and deliver meaningful long-term change.</w:t>
      </w:r>
    </w:p>
    <w:p w14:paraId="1EA25E80" w14:textId="12B1EE36" w:rsidR="00B073D7" w:rsidRPr="005F688D" w:rsidRDefault="00B073D7" w:rsidP="0078531C">
      <w:pPr>
        <w:pStyle w:val="BodyText"/>
        <w:rPr>
          <w:lang w:eastAsia="en-AU"/>
        </w:rPr>
      </w:pPr>
      <w:r w:rsidRPr="005F688D">
        <w:rPr>
          <w:lang w:eastAsia="en-AU"/>
        </w:rPr>
        <w:t>Duty holders under the Gender Equality Act must continue to use workforce data to understand where barriers persist and target action where inequalities are most pronounced.</w:t>
      </w:r>
      <w:r w:rsidR="006F0B9D" w:rsidRPr="006F0B9D">
        <w:rPr>
          <w:rFonts w:ascii="Segoe UI" w:hAnsi="Segoe UI" w:cs="Segoe UI"/>
          <w:sz w:val="18"/>
          <w:szCs w:val="18"/>
        </w:rPr>
        <w:t xml:space="preserve"> </w:t>
      </w:r>
      <w:r w:rsidR="006F0B9D" w:rsidRPr="006F0B9D">
        <w:rPr>
          <w:lang w:eastAsia="en-AU"/>
        </w:rPr>
        <w:t>They must also continue to close gaps in their data, especially in relation to demographic data beyond gender and age. This can help reveal intersecting inequalities.</w:t>
      </w:r>
    </w:p>
    <w:p w14:paraId="5610122A" w14:textId="22AB8D09" w:rsidR="00B073D7" w:rsidRPr="005F688D" w:rsidRDefault="00B073D7" w:rsidP="0078531C">
      <w:pPr>
        <w:pStyle w:val="BodyText"/>
        <w:rPr>
          <w:lang w:eastAsia="en-AU"/>
        </w:rPr>
      </w:pPr>
      <w:r w:rsidRPr="005F688D">
        <w:rPr>
          <w:lang w:eastAsia="en-AU"/>
        </w:rPr>
        <w:t>The Commissioner remain</w:t>
      </w:r>
      <w:r w:rsidR="002813CD">
        <w:rPr>
          <w:lang w:eastAsia="en-AU"/>
        </w:rPr>
        <w:t>s</w:t>
      </w:r>
      <w:r w:rsidRPr="005F688D">
        <w:rPr>
          <w:lang w:eastAsia="en-AU"/>
        </w:rPr>
        <w:t xml:space="preserve"> focused on the workplace inequalities that cause the greatest harm and where meaningful change is both necessary and achievable. This includes:</w:t>
      </w:r>
    </w:p>
    <w:p w14:paraId="4195C1E7" w14:textId="77777777" w:rsidR="00B073D7" w:rsidRPr="005F688D" w:rsidRDefault="00B073D7" w:rsidP="004444B7">
      <w:pPr>
        <w:pStyle w:val="Bullet1"/>
        <w:rPr>
          <w:lang w:eastAsia="en-AU"/>
        </w:rPr>
      </w:pPr>
      <w:r w:rsidRPr="005F688D">
        <w:rPr>
          <w:lang w:eastAsia="en-AU"/>
        </w:rPr>
        <w:t>workplace sexual harassment prevention and response</w:t>
      </w:r>
    </w:p>
    <w:p w14:paraId="293CA34B" w14:textId="22016DE3" w:rsidR="00B073D7" w:rsidRPr="005F688D" w:rsidRDefault="00901292" w:rsidP="004444B7">
      <w:pPr>
        <w:pStyle w:val="Bullet1"/>
        <w:rPr>
          <w:lang w:eastAsia="en-AU"/>
        </w:rPr>
      </w:pPr>
      <w:r>
        <w:rPr>
          <w:lang w:eastAsia="en-AU"/>
        </w:rPr>
        <w:t xml:space="preserve">closing </w:t>
      </w:r>
      <w:r w:rsidR="00B073D7" w:rsidRPr="005F688D">
        <w:rPr>
          <w:lang w:eastAsia="en-AU"/>
        </w:rPr>
        <w:t xml:space="preserve">gender pay gaps </w:t>
      </w:r>
    </w:p>
    <w:p w14:paraId="4852D1FC" w14:textId="51F39C06" w:rsidR="00B073D7" w:rsidRPr="005F688D" w:rsidRDefault="00901292" w:rsidP="004444B7">
      <w:pPr>
        <w:pStyle w:val="Bullet1"/>
        <w:rPr>
          <w:lang w:eastAsia="en-AU"/>
        </w:rPr>
      </w:pPr>
      <w:r>
        <w:rPr>
          <w:lang w:eastAsia="en-AU"/>
        </w:rPr>
        <w:t>closing parental leave gender gaps</w:t>
      </w:r>
    </w:p>
    <w:p w14:paraId="2C4E7ABA" w14:textId="206874D8" w:rsidR="00B073D7" w:rsidRPr="005F688D" w:rsidRDefault="00B073D7" w:rsidP="004444B7">
      <w:pPr>
        <w:pStyle w:val="Bullet1"/>
        <w:rPr>
          <w:lang w:eastAsia="en-AU"/>
        </w:rPr>
      </w:pPr>
      <w:r w:rsidRPr="005F688D">
        <w:rPr>
          <w:lang w:eastAsia="en-AU"/>
        </w:rPr>
        <w:t xml:space="preserve">meaningful use of gender impact assessments in </w:t>
      </w:r>
      <w:r w:rsidR="00901292">
        <w:rPr>
          <w:lang w:eastAsia="en-AU"/>
        </w:rPr>
        <w:t xml:space="preserve">public </w:t>
      </w:r>
      <w:r w:rsidRPr="005F688D">
        <w:rPr>
          <w:lang w:eastAsia="en-AU"/>
        </w:rPr>
        <w:t>policies, programs and services.</w:t>
      </w:r>
    </w:p>
    <w:p w14:paraId="5849B190" w14:textId="39401B3A" w:rsidR="008F4A63" w:rsidRPr="005F688D" w:rsidRDefault="009E6371" w:rsidP="008F4A63">
      <w:pPr>
        <w:pStyle w:val="Heading2"/>
        <w:rPr>
          <w:lang w:eastAsia="en-AU"/>
        </w:rPr>
      </w:pPr>
      <w:bookmarkStart w:id="8" w:name="_Toc237259504"/>
      <w:r w:rsidRPr="009E6371">
        <w:rPr>
          <w:lang w:eastAsia="en-AU"/>
        </w:rPr>
        <w:t>The next phase of</w:t>
      </w:r>
      <w:r w:rsidR="008F4A63" w:rsidRPr="005F688D">
        <w:rPr>
          <w:lang w:eastAsia="en-AU"/>
        </w:rPr>
        <w:t xml:space="preserve"> progress under the Gender Equality Act</w:t>
      </w:r>
      <w:bookmarkEnd w:id="8"/>
    </w:p>
    <w:p w14:paraId="5CEA27E6" w14:textId="155C9C12" w:rsidR="00066001" w:rsidRPr="00066001" w:rsidRDefault="00066001" w:rsidP="004444B7">
      <w:pPr>
        <w:pStyle w:val="BodyText"/>
        <w:rPr>
          <w:lang w:eastAsia="en-AU"/>
        </w:rPr>
      </w:pPr>
      <w:r w:rsidRPr="00066001">
        <w:rPr>
          <w:lang w:eastAsia="en-AU"/>
        </w:rPr>
        <w:t xml:space="preserve">Five years </w:t>
      </w:r>
      <w:r w:rsidR="00A94E74">
        <w:rPr>
          <w:lang w:eastAsia="en-AU"/>
        </w:rPr>
        <w:t>after the</w:t>
      </w:r>
      <w:r w:rsidR="00A04C2C">
        <w:rPr>
          <w:lang w:eastAsia="en-AU"/>
        </w:rPr>
        <w:t xml:space="preserve"> commencement</w:t>
      </w:r>
      <w:r w:rsidR="00A94E74">
        <w:rPr>
          <w:lang w:eastAsia="en-AU"/>
        </w:rPr>
        <w:t xml:space="preserve"> of the</w:t>
      </w:r>
      <w:r w:rsidRPr="00066001">
        <w:rPr>
          <w:lang w:eastAsia="en-AU"/>
        </w:rPr>
        <w:t xml:space="preserve"> Gender Equality Act</w:t>
      </w:r>
      <w:r w:rsidR="00A94E74">
        <w:rPr>
          <w:lang w:eastAsia="en-AU"/>
        </w:rPr>
        <w:t>, Victoria has</w:t>
      </w:r>
      <w:r w:rsidRPr="00066001">
        <w:rPr>
          <w:lang w:eastAsia="en-AU"/>
        </w:rPr>
        <w:t xml:space="preserve"> </w:t>
      </w:r>
      <w:r w:rsidR="00DB4DD4" w:rsidRPr="00DB4DD4">
        <w:rPr>
          <w:lang w:eastAsia="en-AU"/>
        </w:rPr>
        <w:t>established the most comprehensive evidence base</w:t>
      </w:r>
      <w:r w:rsidR="00DB4DD4">
        <w:rPr>
          <w:lang w:eastAsia="en-AU"/>
        </w:rPr>
        <w:t xml:space="preserve"> on public sector </w:t>
      </w:r>
      <w:r w:rsidR="00DB4DD4" w:rsidRPr="00DB4DD4">
        <w:rPr>
          <w:lang w:eastAsia="en-AU"/>
        </w:rPr>
        <w:t xml:space="preserve">workplace gender equality in the country. </w:t>
      </w:r>
      <w:r w:rsidR="00E12500" w:rsidRPr="00E12500">
        <w:rPr>
          <w:lang w:eastAsia="en-AU"/>
        </w:rPr>
        <w:t xml:space="preserve">The Act </w:t>
      </w:r>
      <w:r w:rsidR="00E12500" w:rsidRPr="00E12500">
        <w:rPr>
          <w:lang w:eastAsia="en-AU"/>
        </w:rPr>
        <w:lastRenderedPageBreak/>
        <w:t>has strengthened transparency and accountability across the public sector</w:t>
      </w:r>
      <w:r w:rsidR="0043119F">
        <w:rPr>
          <w:lang w:eastAsia="en-AU"/>
        </w:rPr>
        <w:t xml:space="preserve">. This </w:t>
      </w:r>
      <w:r w:rsidR="00E12500" w:rsidRPr="00E12500">
        <w:rPr>
          <w:lang w:eastAsia="en-AU"/>
        </w:rPr>
        <w:t>enabl</w:t>
      </w:r>
      <w:r w:rsidR="0043119F">
        <w:rPr>
          <w:lang w:eastAsia="en-AU"/>
        </w:rPr>
        <w:t>es</w:t>
      </w:r>
      <w:r w:rsidR="00E12500" w:rsidRPr="00E12500">
        <w:rPr>
          <w:lang w:eastAsia="en-AU"/>
        </w:rPr>
        <w:t xml:space="preserve"> progress to be measured consistently over time and provid</w:t>
      </w:r>
      <w:r w:rsidR="0043119F">
        <w:rPr>
          <w:lang w:eastAsia="en-AU"/>
        </w:rPr>
        <w:t>es</w:t>
      </w:r>
      <w:r w:rsidR="00E12500" w:rsidRPr="00E12500">
        <w:rPr>
          <w:lang w:eastAsia="en-AU"/>
        </w:rPr>
        <w:t xml:space="preserve"> organisations with clearer evidence about where effort is most needed.</w:t>
      </w:r>
    </w:p>
    <w:p w14:paraId="44BB11C9" w14:textId="465879D9" w:rsidR="009801A6" w:rsidRPr="009801A6" w:rsidRDefault="009801A6" w:rsidP="009801A6">
      <w:pPr>
        <w:pStyle w:val="BodyText"/>
        <w:rPr>
          <w:lang w:eastAsia="en-AU"/>
        </w:rPr>
      </w:pPr>
      <w:r w:rsidRPr="009801A6">
        <w:rPr>
          <w:lang w:eastAsia="en-AU"/>
        </w:rPr>
        <w:t>This report marks an important point in the Act</w:t>
      </w:r>
      <w:r w:rsidR="00E53DEF">
        <w:rPr>
          <w:lang w:eastAsia="en-AU"/>
        </w:rPr>
        <w:t>’</w:t>
      </w:r>
      <w:r w:rsidRPr="009801A6">
        <w:rPr>
          <w:lang w:eastAsia="en-AU"/>
        </w:rPr>
        <w:t xml:space="preserve">s implementation. The first </w:t>
      </w:r>
      <w:r w:rsidR="005A1C21">
        <w:rPr>
          <w:lang w:eastAsia="en-AU"/>
        </w:rPr>
        <w:t>5</w:t>
      </w:r>
      <w:r w:rsidRPr="009801A6">
        <w:rPr>
          <w:lang w:eastAsia="en-AU"/>
        </w:rPr>
        <w:t xml:space="preserve"> years established the foundations for change through measurement, reporting and accountability. The next phase should be characterised by organisations using this evidence to target effort where it will have the greatest impact and accelerate meaningful progress.</w:t>
      </w:r>
    </w:p>
    <w:p w14:paraId="57A614A0" w14:textId="2F940963" w:rsidR="009801A6" w:rsidRPr="009801A6" w:rsidRDefault="009801A6" w:rsidP="009801A6">
      <w:pPr>
        <w:pStyle w:val="BodyText"/>
        <w:rPr>
          <w:lang w:eastAsia="en-AU"/>
        </w:rPr>
      </w:pPr>
      <w:r w:rsidRPr="009801A6">
        <w:rPr>
          <w:lang w:eastAsia="en-AU"/>
        </w:rPr>
        <w:t>That progress is unlikely to occur evenly across every workplace gender equality indicator. Some inequalities can respond relatively quickly to organisational action</w:t>
      </w:r>
      <w:r w:rsidR="003031F1">
        <w:rPr>
          <w:lang w:eastAsia="en-AU"/>
        </w:rPr>
        <w:t>. O</w:t>
      </w:r>
      <w:r w:rsidRPr="009801A6">
        <w:rPr>
          <w:lang w:eastAsia="en-AU"/>
        </w:rPr>
        <w:t>thers reflect longstanding workforce structures and social norms that will require sustained leadership and commitment over many years. The pace of change may also be influenced by broader workforce and economic conditions, including fiscal constraints, technological transformation and public sector reform.</w:t>
      </w:r>
    </w:p>
    <w:p w14:paraId="1E09792D" w14:textId="34F1D29E" w:rsidR="008F4A63" w:rsidRDefault="009801A6" w:rsidP="004444B7">
      <w:pPr>
        <w:pStyle w:val="BodyText"/>
        <w:rPr>
          <w:lang w:eastAsia="en-AU"/>
        </w:rPr>
      </w:pPr>
      <w:r w:rsidRPr="009801A6">
        <w:rPr>
          <w:lang w:eastAsia="en-AU"/>
        </w:rPr>
        <w:t>These realities should not diminish ambition. Rather, they reinforce the importance of maintaining a long-term focus on evidence, accountability and continuous improvement. By doing so, Victoria</w:t>
      </w:r>
      <w:r w:rsidR="00A63AD1">
        <w:rPr>
          <w:lang w:eastAsia="en-AU"/>
        </w:rPr>
        <w:t>’</w:t>
      </w:r>
      <w:r w:rsidRPr="009801A6">
        <w:rPr>
          <w:lang w:eastAsia="en-AU"/>
        </w:rPr>
        <w:t>s public sector can continue to lead by example in building workplaces that are fair, safe and equitable for everyone.</w:t>
      </w:r>
    </w:p>
    <w:p w14:paraId="075B4D3B" w14:textId="74BC823E" w:rsidR="00BD37AF" w:rsidRDefault="00BD37AF" w:rsidP="00AF57F5">
      <w:pPr>
        <w:pStyle w:val="Heading1"/>
      </w:pPr>
      <w:bookmarkStart w:id="9" w:name="_Toc237259505"/>
      <w:r>
        <w:t>Gender equality</w:t>
      </w:r>
      <w:r w:rsidR="0017033C">
        <w:t xml:space="preserve"> in</w:t>
      </w:r>
      <w:r>
        <w:t xml:space="preserve"> the Victorian context</w:t>
      </w:r>
      <w:bookmarkEnd w:id="9"/>
    </w:p>
    <w:p w14:paraId="390341A1" w14:textId="2F868C6B" w:rsidR="00AF57F5" w:rsidRPr="009C57F5" w:rsidRDefault="00AF57F5" w:rsidP="005F688D">
      <w:pPr>
        <w:pStyle w:val="Heading2"/>
      </w:pPr>
      <w:bookmarkStart w:id="10" w:name="_Toc237259506"/>
      <w:r w:rsidRPr="009C57F5">
        <w:t xml:space="preserve">About </w:t>
      </w:r>
      <w:r w:rsidR="00786D10">
        <w:t>Victoria</w:t>
      </w:r>
      <w:r w:rsidR="002F55AB">
        <w:t>’</w:t>
      </w:r>
      <w:r w:rsidR="00786D10">
        <w:t>s</w:t>
      </w:r>
      <w:r w:rsidR="00786D10" w:rsidRPr="009C57F5">
        <w:t xml:space="preserve"> </w:t>
      </w:r>
      <w:r w:rsidRPr="009C57F5">
        <w:t>Commission for Gender Equality in the Public Sector</w:t>
      </w:r>
      <w:bookmarkEnd w:id="10"/>
    </w:p>
    <w:p w14:paraId="794EFC82" w14:textId="6562E375" w:rsidR="003D1AFC" w:rsidRPr="00842693" w:rsidRDefault="003D1AFC" w:rsidP="0078531C">
      <w:pPr>
        <w:pStyle w:val="BodyText"/>
        <w:rPr>
          <w:lang w:eastAsia="en-AU"/>
        </w:rPr>
      </w:pPr>
      <w:r w:rsidRPr="00842693">
        <w:rPr>
          <w:lang w:eastAsia="en-AU"/>
        </w:rPr>
        <w:t xml:space="preserve">The Public Sector Gender Equality Commissioner was established under the </w:t>
      </w:r>
      <w:r w:rsidRPr="004444B7">
        <w:rPr>
          <w:i/>
          <w:lang w:eastAsia="en-AU"/>
        </w:rPr>
        <w:t>Gender Equality Act 2020</w:t>
      </w:r>
      <w:r w:rsidRPr="00842693">
        <w:rPr>
          <w:lang w:eastAsia="en-AU"/>
        </w:rPr>
        <w:t>.</w:t>
      </w:r>
    </w:p>
    <w:p w14:paraId="6639F718" w14:textId="688B9D03" w:rsidR="003D1AFC" w:rsidRPr="00842693" w:rsidRDefault="003D1AFC" w:rsidP="0078531C">
      <w:pPr>
        <w:pStyle w:val="BodyText"/>
        <w:rPr>
          <w:lang w:eastAsia="en-AU"/>
        </w:rPr>
      </w:pPr>
      <w:r w:rsidRPr="00842693">
        <w:rPr>
          <w:lang w:eastAsia="en-AU"/>
        </w:rPr>
        <w:t>The Act was developed in response to recommendations of the 2016 Royal Commission into Family Violence, which identified gender inequality as a key driver of violence against women. The Act recognises that gender equality is also critical to workplace fairness, economic participation, organisational performance and the delivery of equitable policies, programs and services.</w:t>
      </w:r>
    </w:p>
    <w:p w14:paraId="58C934E6" w14:textId="20EC8DB0" w:rsidR="003D1AFC" w:rsidRPr="00842693" w:rsidRDefault="003D1AFC" w:rsidP="0078531C">
      <w:pPr>
        <w:pStyle w:val="BodyText"/>
        <w:rPr>
          <w:lang w:eastAsia="en-AU"/>
        </w:rPr>
      </w:pPr>
      <w:r w:rsidRPr="00842693">
        <w:rPr>
          <w:lang w:eastAsia="en-AU"/>
        </w:rPr>
        <w:t>The Act applies to around 300 Victorian public sector organisations</w:t>
      </w:r>
      <w:r w:rsidR="00B40E37">
        <w:rPr>
          <w:lang w:eastAsia="en-AU"/>
        </w:rPr>
        <w:t>. This includes</w:t>
      </w:r>
      <w:r w:rsidRPr="00842693">
        <w:rPr>
          <w:lang w:eastAsia="en-AU"/>
        </w:rPr>
        <w:t xml:space="preserve"> government departments, public health services, local councils, universities, TAFEs, water authorities, police and emergency services, courts and other public bodies.</w:t>
      </w:r>
    </w:p>
    <w:p w14:paraId="39FF4BF3" w14:textId="77777777" w:rsidR="003D1AFC" w:rsidRPr="00842693" w:rsidRDefault="003D1AFC" w:rsidP="0078531C">
      <w:pPr>
        <w:pStyle w:val="BodyText"/>
        <w:rPr>
          <w:lang w:eastAsia="en-AU"/>
        </w:rPr>
      </w:pPr>
      <w:r w:rsidRPr="00842693">
        <w:rPr>
          <w:lang w:eastAsia="en-AU"/>
        </w:rPr>
        <w:t>It establishes a comprehensive framework for advancing gender equality through:</w:t>
      </w:r>
    </w:p>
    <w:p w14:paraId="7CCE1688" w14:textId="222665E7" w:rsidR="00887618" w:rsidRPr="003D1AFC" w:rsidRDefault="00887618" w:rsidP="004444B7">
      <w:pPr>
        <w:pStyle w:val="Bullet1"/>
        <w:rPr>
          <w:lang w:eastAsia="en-AU"/>
        </w:rPr>
      </w:pPr>
      <w:r w:rsidRPr="003D1AFC">
        <w:rPr>
          <w:lang w:eastAsia="en-AU"/>
        </w:rPr>
        <w:t>gender equality action plans</w:t>
      </w:r>
      <w:r>
        <w:rPr>
          <w:lang w:eastAsia="en-AU"/>
        </w:rPr>
        <w:t xml:space="preserve"> </w:t>
      </w:r>
    </w:p>
    <w:p w14:paraId="12116E70" w14:textId="3788808A" w:rsidR="003D1AFC" w:rsidRPr="003D1AFC" w:rsidRDefault="003D1AFC" w:rsidP="004444B7">
      <w:pPr>
        <w:pStyle w:val="Bullet1"/>
        <w:rPr>
          <w:lang w:eastAsia="en-AU"/>
        </w:rPr>
      </w:pPr>
      <w:r>
        <w:rPr>
          <w:lang w:eastAsia="en-AU"/>
        </w:rPr>
        <w:t>bi</w:t>
      </w:r>
      <w:r w:rsidR="000D0564">
        <w:rPr>
          <w:lang w:eastAsia="en-AU"/>
        </w:rPr>
        <w:t xml:space="preserve">ennial </w:t>
      </w:r>
      <w:r w:rsidRPr="003D1AFC">
        <w:rPr>
          <w:lang w:eastAsia="en-AU"/>
        </w:rPr>
        <w:t>workplace gender audits</w:t>
      </w:r>
      <w:r w:rsidR="00887618">
        <w:rPr>
          <w:lang w:eastAsia="en-AU"/>
        </w:rPr>
        <w:t xml:space="preserve"> and progress reports</w:t>
      </w:r>
    </w:p>
    <w:p w14:paraId="78D97B9A" w14:textId="753B4E14" w:rsidR="003D1AFC" w:rsidRPr="003D1AFC" w:rsidRDefault="003D1AFC" w:rsidP="004444B7">
      <w:pPr>
        <w:pStyle w:val="Bullet1"/>
        <w:rPr>
          <w:lang w:eastAsia="en-AU"/>
        </w:rPr>
      </w:pPr>
      <w:r w:rsidRPr="003D1AFC">
        <w:rPr>
          <w:lang w:eastAsia="en-AU"/>
        </w:rPr>
        <w:t>gender impact assessments</w:t>
      </w:r>
      <w:r w:rsidR="000D0564">
        <w:rPr>
          <w:lang w:eastAsia="en-AU"/>
        </w:rPr>
        <w:t xml:space="preserve"> </w:t>
      </w:r>
      <w:r w:rsidR="0087539A">
        <w:rPr>
          <w:lang w:eastAsia="en-AU"/>
        </w:rPr>
        <w:t>on all public policies, programs and services</w:t>
      </w:r>
    </w:p>
    <w:p w14:paraId="4A67C339" w14:textId="77777777" w:rsidR="003D1AFC" w:rsidRPr="003D1AFC" w:rsidRDefault="003D1AFC" w:rsidP="004444B7">
      <w:pPr>
        <w:pStyle w:val="Bullet1"/>
        <w:rPr>
          <w:lang w:eastAsia="en-AU"/>
        </w:rPr>
      </w:pPr>
      <w:r w:rsidRPr="003D1AFC">
        <w:rPr>
          <w:lang w:eastAsia="en-AU"/>
        </w:rPr>
        <w:t>regular public reporting and accountability.</w:t>
      </w:r>
    </w:p>
    <w:p w14:paraId="09B93A5A" w14:textId="580F9F57" w:rsidR="003D1AFC" w:rsidRPr="003D1AFC" w:rsidRDefault="003D1AFC" w:rsidP="004444B7">
      <w:pPr>
        <w:pStyle w:val="Bodyafterbullets"/>
        <w:rPr>
          <w:lang w:eastAsia="en-AU"/>
        </w:rPr>
      </w:pPr>
      <w:r w:rsidRPr="003D1AFC">
        <w:rPr>
          <w:lang w:eastAsia="en-AU"/>
        </w:rPr>
        <w:t>Under the Act, duty holders are required to measure workplace gender equality, take action to address identified barriers, and demonstrate reasonable and material progress over time.</w:t>
      </w:r>
      <w:r w:rsidR="007A3D41">
        <w:rPr>
          <w:lang w:eastAsia="en-AU"/>
        </w:rPr>
        <w:t xml:space="preserve"> They </w:t>
      </w:r>
      <w:r w:rsidR="000D71B0">
        <w:rPr>
          <w:lang w:eastAsia="en-AU"/>
        </w:rPr>
        <w:t>must</w:t>
      </w:r>
      <w:r w:rsidR="007A3D41">
        <w:rPr>
          <w:lang w:eastAsia="en-AU"/>
        </w:rPr>
        <w:t xml:space="preserve"> also </w:t>
      </w:r>
      <w:r w:rsidR="009948F8">
        <w:rPr>
          <w:lang w:eastAsia="en-AU"/>
        </w:rPr>
        <w:t>consider</w:t>
      </w:r>
      <w:r w:rsidR="00F9602C">
        <w:rPr>
          <w:lang w:eastAsia="en-AU"/>
        </w:rPr>
        <w:t xml:space="preserve"> how gender inequality may </w:t>
      </w:r>
      <w:r w:rsidR="00DC2B68">
        <w:rPr>
          <w:lang w:eastAsia="en-AU"/>
        </w:rPr>
        <w:t xml:space="preserve">be compounded by other forms of </w:t>
      </w:r>
      <w:r w:rsidR="009948F8">
        <w:rPr>
          <w:lang w:eastAsia="en-AU"/>
        </w:rPr>
        <w:t>disadvantage and discrimination</w:t>
      </w:r>
      <w:r w:rsidR="00F40D39">
        <w:rPr>
          <w:lang w:eastAsia="en-AU"/>
        </w:rPr>
        <w:t>.</w:t>
      </w:r>
    </w:p>
    <w:p w14:paraId="22003D9A" w14:textId="6A60B115" w:rsidR="003D1AFC" w:rsidRPr="003D1AFC" w:rsidRDefault="003D1AFC" w:rsidP="0078531C">
      <w:pPr>
        <w:pStyle w:val="BodyText"/>
        <w:rPr>
          <w:lang w:eastAsia="en-AU"/>
        </w:rPr>
      </w:pPr>
      <w:r w:rsidRPr="003D1AFC">
        <w:rPr>
          <w:lang w:eastAsia="en-AU"/>
        </w:rPr>
        <w:t>The Commission for Gender Equality in the Public Sector supports the Commissioner to implement the Act through education, guidance, compliance oversight, research, reporting and stakeholder engagement.</w:t>
      </w:r>
    </w:p>
    <w:p w14:paraId="7E480B8B" w14:textId="1A7662B9" w:rsidR="003D1AFC" w:rsidRPr="003D1AFC" w:rsidRDefault="003D1AFC" w:rsidP="0078531C">
      <w:pPr>
        <w:pStyle w:val="BodyText"/>
        <w:rPr>
          <w:lang w:eastAsia="en-AU"/>
        </w:rPr>
      </w:pPr>
      <w:r w:rsidRPr="003D1AFC">
        <w:rPr>
          <w:lang w:eastAsia="en-AU"/>
        </w:rPr>
        <w:lastRenderedPageBreak/>
        <w:t xml:space="preserve">This report draws on </w:t>
      </w:r>
      <w:r w:rsidR="003B0A65">
        <w:rPr>
          <w:lang w:eastAsia="en-AU"/>
        </w:rPr>
        <w:t xml:space="preserve">data </w:t>
      </w:r>
      <w:r w:rsidRPr="003D1AFC">
        <w:rPr>
          <w:lang w:eastAsia="en-AU"/>
        </w:rPr>
        <w:t xml:space="preserve">collected </w:t>
      </w:r>
      <w:r w:rsidR="003B0A65">
        <w:rPr>
          <w:lang w:eastAsia="en-AU"/>
        </w:rPr>
        <w:t>under the Act</w:t>
      </w:r>
      <w:r w:rsidR="00ED60CB">
        <w:rPr>
          <w:lang w:eastAsia="en-AU"/>
        </w:rPr>
        <w:t xml:space="preserve"> and </w:t>
      </w:r>
      <w:r w:rsidRPr="003D1AFC">
        <w:rPr>
          <w:lang w:eastAsia="en-AU"/>
        </w:rPr>
        <w:t>forms part</w:t>
      </w:r>
      <w:r w:rsidR="005C10E0">
        <w:rPr>
          <w:lang w:eastAsia="en-AU"/>
        </w:rPr>
        <w:t xml:space="preserve"> of </w:t>
      </w:r>
      <w:r w:rsidRPr="003D1AFC">
        <w:rPr>
          <w:lang w:eastAsia="en-AU"/>
        </w:rPr>
        <w:t>Victoria</w:t>
      </w:r>
      <w:r w:rsidR="002F55AB">
        <w:rPr>
          <w:lang w:eastAsia="en-AU"/>
        </w:rPr>
        <w:t>’</w:t>
      </w:r>
      <w:r w:rsidRPr="003D1AFC">
        <w:rPr>
          <w:lang w:eastAsia="en-AU"/>
        </w:rPr>
        <w:t>s broader transparency and accountability framework for workplace gender equality.</w:t>
      </w:r>
    </w:p>
    <w:p w14:paraId="47E4A246" w14:textId="424DB93B" w:rsidR="00AF57F5" w:rsidRDefault="003D1AFC" w:rsidP="0078531C">
      <w:pPr>
        <w:pStyle w:val="BodyText"/>
        <w:rPr>
          <w:lang w:eastAsia="en-AU"/>
        </w:rPr>
      </w:pPr>
      <w:r w:rsidRPr="003D1AFC">
        <w:rPr>
          <w:lang w:eastAsia="en-AU"/>
        </w:rPr>
        <w:t>For more information about the Commission, the Act and previous</w:t>
      </w:r>
      <w:r w:rsidR="005C10E0">
        <w:rPr>
          <w:lang w:eastAsia="en-AU"/>
        </w:rPr>
        <w:t xml:space="preserve"> reporting</w:t>
      </w:r>
      <w:r w:rsidR="007821BD">
        <w:rPr>
          <w:lang w:eastAsia="en-AU"/>
        </w:rPr>
        <w:t xml:space="preserve">, see </w:t>
      </w:r>
      <w:r w:rsidR="00205FD6">
        <w:rPr>
          <w:lang w:eastAsia="en-AU"/>
        </w:rPr>
        <w:t xml:space="preserve">the </w:t>
      </w:r>
      <w:hyperlink r:id="rId22" w:history="1">
        <w:r w:rsidR="00205FD6" w:rsidRPr="00205FD6">
          <w:rPr>
            <w:rStyle w:val="Hyperlink"/>
            <w:rFonts w:cs="Times New Roman"/>
            <w:lang w:eastAsia="en-AU"/>
          </w:rPr>
          <w:t>Baseline report</w:t>
        </w:r>
      </w:hyperlink>
      <w:r w:rsidR="00205FD6">
        <w:rPr>
          <w:lang w:eastAsia="en-AU"/>
        </w:rPr>
        <w:t xml:space="preserve"> (2021). </w:t>
      </w:r>
    </w:p>
    <w:tbl>
      <w:tblPr>
        <w:tblStyle w:val="TableGrid"/>
        <w:tblW w:w="0" w:type="auto"/>
        <w:tblLook w:val="04A0" w:firstRow="1" w:lastRow="0" w:firstColumn="1" w:lastColumn="0" w:noHBand="0" w:noVBand="1"/>
      </w:tblPr>
      <w:tblGrid>
        <w:gridCol w:w="9288"/>
      </w:tblGrid>
      <w:tr w:rsidR="00AD4A90" w14:paraId="3EC8A50E" w14:textId="77777777" w:rsidTr="005F688D">
        <w:tc>
          <w:tcPr>
            <w:tcW w:w="9288" w:type="dxa"/>
            <w:tcBorders>
              <w:top w:val="nil"/>
              <w:left w:val="nil"/>
              <w:bottom w:val="nil"/>
              <w:right w:val="nil"/>
            </w:tcBorders>
            <w:shd w:val="clear" w:color="auto" w:fill="E3F3F9"/>
          </w:tcPr>
          <w:p w14:paraId="1446B943" w14:textId="1F5E78C1" w:rsidR="00DC7A82" w:rsidRDefault="00DB6A81" w:rsidP="005F688D">
            <w:pPr>
              <w:pStyle w:val="Heading2"/>
              <w:rPr>
                <w:lang w:eastAsia="en-AU"/>
              </w:rPr>
            </w:pPr>
            <w:bookmarkStart w:id="11" w:name="_Toc237259507"/>
            <w:r>
              <w:rPr>
                <w:lang w:eastAsia="en-AU"/>
              </w:rPr>
              <w:lastRenderedPageBreak/>
              <w:t xml:space="preserve">How </w:t>
            </w:r>
            <w:r w:rsidR="00DC7A82">
              <w:rPr>
                <w:lang w:eastAsia="en-AU"/>
              </w:rPr>
              <w:t xml:space="preserve">gender inequality </w:t>
            </w:r>
            <w:r>
              <w:rPr>
                <w:lang w:eastAsia="en-AU"/>
              </w:rPr>
              <w:t>shows up at work</w:t>
            </w:r>
            <w:bookmarkEnd w:id="11"/>
          </w:p>
          <w:p w14:paraId="1EACDD20" w14:textId="126DD7BF" w:rsidR="003E02D4" w:rsidRPr="003E02D4" w:rsidRDefault="003E02D4" w:rsidP="0078531C">
            <w:pPr>
              <w:pStyle w:val="BodyText"/>
              <w:rPr>
                <w:lang w:eastAsia="en-AU"/>
              </w:rPr>
            </w:pPr>
            <w:r w:rsidRPr="003E02D4">
              <w:rPr>
                <w:lang w:eastAsia="en-AU"/>
              </w:rPr>
              <w:t>Gender inequality in workplaces is rarely the result of a single policy, decision or behaviour. It emerges through a combination of workforce patterns, organisational practices, workplace cultures and broader social expectations about work, leadership and caring responsibilities.</w:t>
            </w:r>
          </w:p>
          <w:p w14:paraId="230B4964" w14:textId="04ECEDD8" w:rsidR="003E02D4" w:rsidRPr="003E02D4" w:rsidRDefault="003E02D4" w:rsidP="0078531C">
            <w:pPr>
              <w:pStyle w:val="BodyText"/>
              <w:rPr>
                <w:lang w:eastAsia="en-AU"/>
              </w:rPr>
            </w:pPr>
            <w:r w:rsidRPr="003E02D4">
              <w:rPr>
                <w:lang w:eastAsia="en-AU"/>
              </w:rPr>
              <w:t>Over recent decades, women</w:t>
            </w:r>
            <w:r w:rsidR="002F55AB">
              <w:rPr>
                <w:lang w:eastAsia="en-AU"/>
              </w:rPr>
              <w:t>’</w:t>
            </w:r>
            <w:r w:rsidRPr="003E02D4">
              <w:rPr>
                <w:lang w:eastAsia="en-AU"/>
              </w:rPr>
              <w:t xml:space="preserve">s participation in paid work has increased significantly. Yet </w:t>
            </w:r>
            <w:r w:rsidR="00066AD7">
              <w:rPr>
                <w:lang w:eastAsia="en-AU"/>
              </w:rPr>
              <w:t>systemic</w:t>
            </w:r>
            <w:r w:rsidR="00066AD7" w:rsidRPr="003E02D4">
              <w:rPr>
                <w:lang w:eastAsia="en-AU"/>
              </w:rPr>
              <w:t xml:space="preserve"> </w:t>
            </w:r>
            <w:r w:rsidRPr="003E02D4">
              <w:rPr>
                <w:lang w:eastAsia="en-AU"/>
              </w:rPr>
              <w:t>inequalities remain. Across Australia, women continue to be underrepresented in many senior leadership and decision-making roles, are more likely to work part time, and continue to undertake a greater share of unpaid caring responsibilities than men (ABS 2026; WGEA</w:t>
            </w:r>
            <w:r w:rsidR="00A74D7F">
              <w:rPr>
                <w:lang w:eastAsia="en-AU"/>
              </w:rPr>
              <w:t xml:space="preserve"> et al.</w:t>
            </w:r>
            <w:r w:rsidRPr="003E02D4">
              <w:rPr>
                <w:lang w:eastAsia="en-AU"/>
              </w:rPr>
              <w:t xml:space="preserve"> 2026).</w:t>
            </w:r>
            <w:r w:rsidR="00C025C6">
              <w:rPr>
                <w:lang w:eastAsia="en-AU"/>
              </w:rPr>
              <w:t xml:space="preserve"> </w:t>
            </w:r>
            <w:r w:rsidRPr="003E02D4">
              <w:rPr>
                <w:lang w:eastAsia="en-AU"/>
              </w:rPr>
              <w:t>Workplaces can both reflect and reinforce these broader patterns.</w:t>
            </w:r>
          </w:p>
          <w:p w14:paraId="030B58EC" w14:textId="2D9BD6D6" w:rsidR="003E02D4" w:rsidRPr="003E02D4" w:rsidRDefault="003E02D4" w:rsidP="0078531C">
            <w:pPr>
              <w:pStyle w:val="BodyText"/>
              <w:rPr>
                <w:lang w:eastAsia="en-AU"/>
              </w:rPr>
            </w:pPr>
            <w:r w:rsidRPr="003E02D4">
              <w:rPr>
                <w:lang w:eastAsia="en-AU"/>
              </w:rPr>
              <w:t xml:space="preserve">One way </w:t>
            </w:r>
            <w:r w:rsidR="004C5B6A">
              <w:rPr>
                <w:lang w:eastAsia="en-AU"/>
              </w:rPr>
              <w:t>workplace</w:t>
            </w:r>
            <w:r w:rsidRPr="003E02D4">
              <w:rPr>
                <w:lang w:eastAsia="en-AU"/>
              </w:rPr>
              <w:t xml:space="preserve"> gender inequality appears is through workforce composition. Women and men are often concentrated in different occupations, industries and levels of seniority. Women are more likely to work in caring, administrative and community service roles, while men remain overrepresented in many technical, operational and senior leadership positions. These patterns influence earnings, career progression and access to decision-making roles.</w:t>
            </w:r>
          </w:p>
          <w:p w14:paraId="655F162C" w14:textId="2B90D2E2" w:rsidR="003E02D4" w:rsidRPr="003E02D4" w:rsidRDefault="003E02D4" w:rsidP="0078531C">
            <w:pPr>
              <w:pStyle w:val="BodyText"/>
              <w:rPr>
                <w:lang w:eastAsia="en-AU"/>
              </w:rPr>
            </w:pPr>
            <w:r w:rsidRPr="003E02D4">
              <w:rPr>
                <w:lang w:eastAsia="en-AU"/>
              </w:rPr>
              <w:t>Gender inequality can also be shaped by workplace cultures and systems. Recruitment and promotion processes, access to flexible work, leadership pathways, workplace safety and the distribution of caring responsibilities can all influence employees</w:t>
            </w:r>
            <w:r w:rsidR="002F55AB">
              <w:rPr>
                <w:lang w:eastAsia="en-AU"/>
              </w:rPr>
              <w:t>’</w:t>
            </w:r>
            <w:r w:rsidRPr="003E02D4">
              <w:rPr>
                <w:lang w:eastAsia="en-AU"/>
              </w:rPr>
              <w:t xml:space="preserve"> experiences and opportunities at work.</w:t>
            </w:r>
          </w:p>
          <w:p w14:paraId="0BE277EC" w14:textId="71C05692" w:rsidR="003E02D4" w:rsidRPr="003E02D4" w:rsidRDefault="003E02D4" w:rsidP="0078531C">
            <w:pPr>
              <w:pStyle w:val="BodyText"/>
              <w:rPr>
                <w:lang w:eastAsia="en-AU"/>
              </w:rPr>
            </w:pPr>
            <w:r w:rsidRPr="003E02D4">
              <w:rPr>
                <w:lang w:eastAsia="en-AU"/>
              </w:rPr>
              <w:t>For many employees, these factors interact. For example, unequal caring responsibilities can affect access to career development opportunities, leadership roles and higher earnings. Occupational</w:t>
            </w:r>
            <w:r w:rsidR="0024506C">
              <w:rPr>
                <w:lang w:eastAsia="en-AU"/>
              </w:rPr>
              <w:t xml:space="preserve"> gendered</w:t>
            </w:r>
            <w:r w:rsidRPr="003E02D4">
              <w:rPr>
                <w:lang w:eastAsia="en-AU"/>
              </w:rPr>
              <w:t xml:space="preserve"> segregation can contribute to gender pay gaps. Experiences of sexual harassment or discrimination can affect workforce participation, wellbeing</w:t>
            </w:r>
            <w:r w:rsidR="00924545" w:rsidRPr="003E02D4">
              <w:rPr>
                <w:lang w:eastAsia="en-AU"/>
              </w:rPr>
              <w:t>,</w:t>
            </w:r>
            <w:r w:rsidRPr="003E02D4">
              <w:rPr>
                <w:lang w:eastAsia="en-AU"/>
              </w:rPr>
              <w:t xml:space="preserve"> and career progression.</w:t>
            </w:r>
          </w:p>
          <w:p w14:paraId="77B4F08E" w14:textId="7BB8AF4C" w:rsidR="00AD4A90" w:rsidRDefault="00AD4A90" w:rsidP="0078531C">
            <w:pPr>
              <w:pStyle w:val="BodyText"/>
              <w:rPr>
                <w:lang w:eastAsia="en-AU"/>
              </w:rPr>
            </w:pPr>
            <w:r w:rsidRPr="00153E61">
              <w:rPr>
                <w:lang w:eastAsia="en-AU"/>
              </w:rPr>
              <w:t xml:space="preserve">Sexual harassment and </w:t>
            </w:r>
            <w:r w:rsidR="0062100E" w:rsidRPr="0062100E">
              <w:rPr>
                <w:lang w:eastAsia="en-AU"/>
              </w:rPr>
              <w:t>gender-based</w:t>
            </w:r>
            <w:r w:rsidRPr="00153E61">
              <w:rPr>
                <w:lang w:eastAsia="en-AU"/>
              </w:rPr>
              <w:t xml:space="preserve"> discrimination </w:t>
            </w:r>
            <w:r>
              <w:rPr>
                <w:lang w:eastAsia="en-AU"/>
              </w:rPr>
              <w:t xml:space="preserve">at work </w:t>
            </w:r>
            <w:r w:rsidRPr="00153E61">
              <w:rPr>
                <w:lang w:eastAsia="en-AU"/>
              </w:rPr>
              <w:t xml:space="preserve">disproportionately </w:t>
            </w:r>
            <w:r w:rsidR="0062100E" w:rsidRPr="0062100E">
              <w:rPr>
                <w:lang w:eastAsia="en-AU"/>
              </w:rPr>
              <w:t>affect</w:t>
            </w:r>
            <w:r w:rsidRPr="00153E61">
              <w:rPr>
                <w:lang w:eastAsia="en-AU"/>
              </w:rPr>
              <w:t xml:space="preserve"> women and gender diverse people</w:t>
            </w:r>
            <w:r>
              <w:rPr>
                <w:lang w:eastAsia="en-AU"/>
              </w:rPr>
              <w:t xml:space="preserve"> (</w:t>
            </w:r>
            <w:r w:rsidRPr="0062100E">
              <w:rPr>
                <w:lang w:eastAsia="en-AU"/>
              </w:rPr>
              <w:t>AHRC 2025)</w:t>
            </w:r>
            <w:r w:rsidRPr="00153E61">
              <w:rPr>
                <w:lang w:eastAsia="en-AU"/>
              </w:rPr>
              <w:t xml:space="preserve">. </w:t>
            </w:r>
            <w:r w:rsidR="0062100E" w:rsidRPr="0062100E">
              <w:rPr>
                <w:lang w:eastAsia="en-AU"/>
              </w:rPr>
              <w:t>These experiences can have significant impacts on health, wellbeing, workforce participation and career progression</w:t>
            </w:r>
            <w:r w:rsidR="00E00A95">
              <w:rPr>
                <w:lang w:eastAsia="en-AU"/>
              </w:rPr>
              <w:t>. They</w:t>
            </w:r>
            <w:r w:rsidR="0062100E" w:rsidRPr="0062100E">
              <w:rPr>
                <w:lang w:eastAsia="en-AU"/>
              </w:rPr>
              <w:t xml:space="preserve"> also undermin</w:t>
            </w:r>
            <w:r w:rsidR="00E00A95">
              <w:rPr>
                <w:lang w:eastAsia="en-AU"/>
              </w:rPr>
              <w:t>e</w:t>
            </w:r>
            <w:r w:rsidR="0062100E" w:rsidRPr="0062100E">
              <w:rPr>
                <w:lang w:eastAsia="en-AU"/>
              </w:rPr>
              <w:t xml:space="preserve"> workplace culture and organisational performance (AHRC 2020; AHRC 2025).</w:t>
            </w:r>
          </w:p>
          <w:p w14:paraId="2CDD8CD9" w14:textId="202335BD" w:rsidR="0066545C" w:rsidRPr="0066545C" w:rsidRDefault="0066545C" w:rsidP="0078531C">
            <w:pPr>
              <w:pStyle w:val="BodyText"/>
              <w:rPr>
                <w:lang w:eastAsia="en-AU"/>
              </w:rPr>
            </w:pPr>
            <w:r w:rsidRPr="0066545C">
              <w:rPr>
                <w:lang w:eastAsia="en-AU"/>
              </w:rPr>
              <w:t xml:space="preserve">Importantly, workplace gender inequality is not experienced in the same way by all people. Gender </w:t>
            </w:r>
            <w:r w:rsidR="00E50E20">
              <w:rPr>
                <w:lang w:eastAsia="en-AU"/>
              </w:rPr>
              <w:t xml:space="preserve">inequality </w:t>
            </w:r>
            <w:r w:rsidRPr="0066545C">
              <w:rPr>
                <w:lang w:eastAsia="en-AU"/>
              </w:rPr>
              <w:t xml:space="preserve">can intersect with </w:t>
            </w:r>
            <w:r w:rsidR="00E50E20">
              <w:rPr>
                <w:lang w:eastAsia="en-AU"/>
              </w:rPr>
              <w:t xml:space="preserve">discrimination based on </w:t>
            </w:r>
            <w:r w:rsidRPr="0066545C">
              <w:rPr>
                <w:lang w:eastAsia="en-AU"/>
              </w:rPr>
              <w:t xml:space="preserve">other characteristics and experiences, including Aboriginality, age, </w:t>
            </w:r>
            <w:r w:rsidR="00015B21" w:rsidRPr="0066545C">
              <w:rPr>
                <w:lang w:eastAsia="en-AU"/>
              </w:rPr>
              <w:t xml:space="preserve">disability, </w:t>
            </w:r>
            <w:r w:rsidR="00015B21">
              <w:rPr>
                <w:lang w:eastAsia="en-AU"/>
              </w:rPr>
              <w:t xml:space="preserve">ethnicity, </w:t>
            </w:r>
            <w:r w:rsidR="001E52BA">
              <w:rPr>
                <w:lang w:eastAsia="en-AU"/>
              </w:rPr>
              <w:t>race</w:t>
            </w:r>
            <w:r w:rsidR="007B694C">
              <w:rPr>
                <w:lang w:eastAsia="en-AU"/>
              </w:rPr>
              <w:t xml:space="preserve"> and </w:t>
            </w:r>
            <w:r w:rsidRPr="0066545C">
              <w:rPr>
                <w:lang w:eastAsia="en-AU"/>
              </w:rPr>
              <w:t xml:space="preserve">sexuality. These </w:t>
            </w:r>
            <w:r w:rsidR="00096CD0">
              <w:rPr>
                <w:lang w:eastAsia="en-AU"/>
              </w:rPr>
              <w:t>intersecting inequalities</w:t>
            </w:r>
            <w:r w:rsidRPr="0066545C">
              <w:rPr>
                <w:lang w:eastAsia="en-AU"/>
              </w:rPr>
              <w:t xml:space="preserve"> can create unique barriers and disadvantages for some employees.</w:t>
            </w:r>
          </w:p>
          <w:p w14:paraId="2DE17EC2" w14:textId="0874500B" w:rsidR="00AD4A90" w:rsidRDefault="0066545C" w:rsidP="0078531C">
            <w:pPr>
              <w:pStyle w:val="BodyText"/>
              <w:rPr>
                <w:lang w:eastAsia="en-AU"/>
              </w:rPr>
            </w:pPr>
            <w:r w:rsidRPr="0066545C">
              <w:rPr>
                <w:lang w:eastAsia="en-AU"/>
              </w:rPr>
              <w:t xml:space="preserve">Understanding how gender inequality operates within workplaces is essential </w:t>
            </w:r>
            <w:r w:rsidR="00952322">
              <w:rPr>
                <w:lang w:eastAsia="en-AU"/>
              </w:rPr>
              <w:t>for</w:t>
            </w:r>
            <w:r w:rsidRPr="0066545C">
              <w:rPr>
                <w:lang w:eastAsia="en-AU"/>
              </w:rPr>
              <w:t xml:space="preserve"> addressing it. This is why the </w:t>
            </w:r>
            <w:r w:rsidRPr="0066545C">
              <w:t xml:space="preserve">Gender Equality Act </w:t>
            </w:r>
            <w:r w:rsidRPr="0066545C">
              <w:rPr>
                <w:lang w:eastAsia="en-AU"/>
              </w:rPr>
              <w:t>focuses on a range of interconnected workplace indicators. Together, these indicators help organisations identify where inequalities exist, understand how they are connected, and target action where it is likely to have the greatest impact.</w:t>
            </w:r>
          </w:p>
        </w:tc>
      </w:tr>
    </w:tbl>
    <w:p w14:paraId="1319EA3B" w14:textId="79C5AEE0" w:rsidR="00F74816" w:rsidRDefault="004935E0" w:rsidP="00867FEC">
      <w:pPr>
        <w:pStyle w:val="Heading2"/>
        <w:rPr>
          <w:lang w:eastAsia="en-AU"/>
        </w:rPr>
      </w:pPr>
      <w:bookmarkStart w:id="12" w:name="_Toc237259508"/>
      <w:r>
        <w:rPr>
          <w:lang w:eastAsia="en-AU"/>
        </w:rPr>
        <w:t>Measuring workplace gender inequality</w:t>
      </w:r>
      <w:bookmarkEnd w:id="12"/>
    </w:p>
    <w:p w14:paraId="09BD5D26" w14:textId="61EE59A9" w:rsidR="00765BFB" w:rsidRPr="00765BFB" w:rsidRDefault="00765BFB" w:rsidP="0078531C">
      <w:pPr>
        <w:pStyle w:val="BodyText"/>
        <w:rPr>
          <w:lang w:eastAsia="en-AU"/>
        </w:rPr>
      </w:pPr>
      <w:r w:rsidRPr="00765BFB">
        <w:rPr>
          <w:lang w:eastAsia="en-AU"/>
        </w:rPr>
        <w:t>Workplace gender inequality is complex. To understand where inequalities exist and how they can be addressed, the Gender Equality Act focuses on 7 workplace gender equality indicators:</w:t>
      </w:r>
    </w:p>
    <w:p w14:paraId="65C759B7" w14:textId="5C688314" w:rsidR="00EA358A" w:rsidRPr="004560CA" w:rsidRDefault="00A94B0E" w:rsidP="00EA358A">
      <w:pPr>
        <w:pStyle w:val="Bullet1"/>
        <w:rPr>
          <w:lang w:eastAsia="en-AU"/>
        </w:rPr>
      </w:pPr>
      <w:r>
        <w:rPr>
          <w:lang w:eastAsia="en-AU"/>
        </w:rPr>
        <w:t>g</w:t>
      </w:r>
      <w:r w:rsidR="00EA358A" w:rsidRPr="004560CA">
        <w:rPr>
          <w:lang w:eastAsia="en-AU"/>
        </w:rPr>
        <w:t>ender composition at all levels of the workforce</w:t>
      </w:r>
    </w:p>
    <w:p w14:paraId="2BC99D92" w14:textId="6F8EA57B" w:rsidR="00EA358A" w:rsidRPr="004560CA" w:rsidRDefault="00A94B0E" w:rsidP="00EA358A">
      <w:pPr>
        <w:pStyle w:val="Bullet1"/>
        <w:rPr>
          <w:lang w:eastAsia="en-AU"/>
        </w:rPr>
      </w:pPr>
      <w:r>
        <w:rPr>
          <w:lang w:eastAsia="en-AU"/>
        </w:rPr>
        <w:t>g</w:t>
      </w:r>
      <w:r w:rsidR="00EA358A" w:rsidRPr="004560CA">
        <w:rPr>
          <w:lang w:eastAsia="en-AU"/>
        </w:rPr>
        <w:t>ender composition of governing bodies</w:t>
      </w:r>
    </w:p>
    <w:p w14:paraId="70AEA694" w14:textId="227416F3" w:rsidR="00EA358A" w:rsidRPr="004560CA" w:rsidRDefault="00A94B0E" w:rsidP="00EA358A">
      <w:pPr>
        <w:pStyle w:val="Bullet1"/>
        <w:rPr>
          <w:lang w:eastAsia="en-AU"/>
        </w:rPr>
      </w:pPr>
      <w:r>
        <w:rPr>
          <w:lang w:eastAsia="en-AU"/>
        </w:rPr>
        <w:t>g</w:t>
      </w:r>
      <w:r w:rsidR="00EA358A" w:rsidRPr="004560CA">
        <w:rPr>
          <w:lang w:eastAsia="en-AU"/>
        </w:rPr>
        <w:t>ender pay gap</w:t>
      </w:r>
    </w:p>
    <w:p w14:paraId="773972F9" w14:textId="079098C4" w:rsidR="00EA358A" w:rsidRPr="004560CA" w:rsidRDefault="00A94B0E" w:rsidP="00EA358A">
      <w:pPr>
        <w:pStyle w:val="Bullet1"/>
        <w:rPr>
          <w:lang w:eastAsia="en-AU"/>
        </w:rPr>
      </w:pPr>
      <w:r>
        <w:rPr>
          <w:lang w:eastAsia="en-AU"/>
        </w:rPr>
        <w:lastRenderedPageBreak/>
        <w:t>s</w:t>
      </w:r>
      <w:r w:rsidR="00EA358A" w:rsidRPr="004560CA">
        <w:rPr>
          <w:lang w:eastAsia="en-AU"/>
        </w:rPr>
        <w:t>exual harassment in the workplace</w:t>
      </w:r>
    </w:p>
    <w:p w14:paraId="71FCBA5B" w14:textId="59B62741" w:rsidR="00EA358A" w:rsidRPr="004560CA" w:rsidRDefault="00A94B0E" w:rsidP="00EA358A">
      <w:pPr>
        <w:pStyle w:val="Bullet1"/>
        <w:rPr>
          <w:lang w:eastAsia="en-AU"/>
        </w:rPr>
      </w:pPr>
      <w:r>
        <w:rPr>
          <w:lang w:eastAsia="en-AU"/>
        </w:rPr>
        <w:t>r</w:t>
      </w:r>
      <w:r w:rsidR="00EA358A" w:rsidRPr="004560CA">
        <w:rPr>
          <w:lang w:eastAsia="en-AU"/>
        </w:rPr>
        <w:t>ecruitment and promotion practices</w:t>
      </w:r>
    </w:p>
    <w:p w14:paraId="078637AA" w14:textId="240BC5BD" w:rsidR="00EA358A" w:rsidRPr="004560CA" w:rsidRDefault="00A94B0E" w:rsidP="00EA358A">
      <w:pPr>
        <w:pStyle w:val="Bullet1"/>
        <w:rPr>
          <w:lang w:eastAsia="en-AU"/>
        </w:rPr>
      </w:pPr>
      <w:r>
        <w:rPr>
          <w:lang w:eastAsia="en-AU"/>
        </w:rPr>
        <w:t>l</w:t>
      </w:r>
      <w:r w:rsidR="00EA358A" w:rsidRPr="004560CA">
        <w:rPr>
          <w:lang w:eastAsia="en-AU"/>
        </w:rPr>
        <w:t>eave and flexibility</w:t>
      </w:r>
    </w:p>
    <w:p w14:paraId="49F20C31" w14:textId="7C034C2C" w:rsidR="00EA358A" w:rsidRPr="004560CA" w:rsidRDefault="00A94B0E" w:rsidP="00EA358A">
      <w:pPr>
        <w:pStyle w:val="Bullet1"/>
        <w:rPr>
          <w:lang w:eastAsia="en-AU"/>
        </w:rPr>
      </w:pPr>
      <w:r>
        <w:rPr>
          <w:lang w:eastAsia="en-AU"/>
        </w:rPr>
        <w:t>g</w:t>
      </w:r>
      <w:r w:rsidR="00EA358A" w:rsidRPr="004560CA">
        <w:rPr>
          <w:lang w:eastAsia="en-AU"/>
        </w:rPr>
        <w:t>endered segregation within the workplace.</w:t>
      </w:r>
    </w:p>
    <w:p w14:paraId="185A632B" w14:textId="6C622221" w:rsidR="00F1247C" w:rsidRPr="00F1247C" w:rsidRDefault="00F1247C" w:rsidP="00B259A4">
      <w:pPr>
        <w:pStyle w:val="Bodyafterbullets"/>
        <w:rPr>
          <w:lang w:eastAsia="en-AU"/>
        </w:rPr>
      </w:pPr>
      <w:r w:rsidRPr="00F1247C">
        <w:rPr>
          <w:lang w:eastAsia="en-AU"/>
        </w:rPr>
        <w:t>Duty holders are required to collect data and report on these indicators, identify barriers to gender equality, and take action to make reasonable and material progress over time.</w:t>
      </w:r>
      <w:r w:rsidR="0053386D">
        <w:rPr>
          <w:lang w:eastAsia="en-AU"/>
        </w:rPr>
        <w:t xml:space="preserve"> Where possible, the Act requires duty holders to collect data about additional </w:t>
      </w:r>
      <w:r w:rsidR="00800F1F">
        <w:rPr>
          <w:lang w:eastAsia="en-AU"/>
        </w:rPr>
        <w:t>attributes</w:t>
      </w:r>
      <w:r w:rsidR="001072B4">
        <w:rPr>
          <w:lang w:eastAsia="en-AU"/>
        </w:rPr>
        <w:t>, such as Aboriginality and disability</w:t>
      </w:r>
      <w:r w:rsidR="00D46581">
        <w:rPr>
          <w:lang w:eastAsia="en-AU"/>
        </w:rPr>
        <w:t xml:space="preserve">. This </w:t>
      </w:r>
      <w:r w:rsidR="009235AD">
        <w:rPr>
          <w:lang w:eastAsia="en-AU"/>
        </w:rPr>
        <w:t>helps</w:t>
      </w:r>
      <w:r w:rsidR="00D46581">
        <w:rPr>
          <w:lang w:eastAsia="en-AU"/>
        </w:rPr>
        <w:t xml:space="preserve"> </w:t>
      </w:r>
      <w:r w:rsidR="00F665D0">
        <w:rPr>
          <w:lang w:eastAsia="en-AU"/>
        </w:rPr>
        <w:t xml:space="preserve">duty holders identify </w:t>
      </w:r>
      <w:r w:rsidR="001072B4">
        <w:rPr>
          <w:lang w:eastAsia="en-AU"/>
        </w:rPr>
        <w:t>forms of intersectional gender inequality in their workplaces.</w:t>
      </w:r>
      <w:r w:rsidR="00934A97">
        <w:rPr>
          <w:lang w:eastAsia="en-AU"/>
        </w:rPr>
        <w:t xml:space="preserve"> Read more about intersectionality, and how the Commission used this data, in </w:t>
      </w:r>
      <w:hyperlink w:anchor="_Appendix_1:_Data" w:history="1">
        <w:r w:rsidR="00934A97" w:rsidRPr="0032000D">
          <w:rPr>
            <w:rStyle w:val="Hyperlink"/>
            <w:rFonts w:cs="Times New Roman"/>
            <w:lang w:eastAsia="en-AU"/>
          </w:rPr>
          <w:t>Appendix 1: Data and methods</w:t>
        </w:r>
      </w:hyperlink>
      <w:r w:rsidR="00934A97">
        <w:rPr>
          <w:lang w:eastAsia="en-AU"/>
        </w:rPr>
        <w:t>.</w:t>
      </w:r>
    </w:p>
    <w:p w14:paraId="5E9B211E" w14:textId="77777777" w:rsidR="00F1247C" w:rsidRPr="00F1247C" w:rsidRDefault="00F1247C" w:rsidP="0078531C">
      <w:pPr>
        <w:pStyle w:val="BodyText"/>
        <w:rPr>
          <w:lang w:eastAsia="en-AU"/>
        </w:rPr>
      </w:pPr>
      <w:r w:rsidRPr="00F1247C">
        <w:rPr>
          <w:lang w:eastAsia="en-AU"/>
        </w:rPr>
        <w:t>Each indicator captures a different dimension of workplace gender equality. However, the indicators are also closely connected. Changes in one area often influence outcomes in another.</w:t>
      </w:r>
    </w:p>
    <w:p w14:paraId="00525418" w14:textId="06FEBA82" w:rsidR="00F1247C" w:rsidRPr="00F1247C" w:rsidRDefault="00F1247C" w:rsidP="0078531C">
      <w:pPr>
        <w:pStyle w:val="BodyText"/>
        <w:rPr>
          <w:lang w:eastAsia="en-AU"/>
        </w:rPr>
      </w:pPr>
      <w:r w:rsidRPr="00F1247C">
        <w:rPr>
          <w:lang w:eastAsia="en-AU"/>
        </w:rPr>
        <w:t xml:space="preserve">For example, gender pay gaps are often shaped by workforce composition, recruitment and promotion pathways, </w:t>
      </w:r>
      <w:r w:rsidR="009E6371">
        <w:rPr>
          <w:lang w:eastAsia="en-AU"/>
        </w:rPr>
        <w:t xml:space="preserve">gendered </w:t>
      </w:r>
      <w:r w:rsidRPr="00F1247C">
        <w:rPr>
          <w:lang w:eastAsia="en-AU"/>
        </w:rPr>
        <w:t xml:space="preserve">occupational </w:t>
      </w:r>
      <w:r w:rsidR="009E6371">
        <w:rPr>
          <w:lang w:eastAsia="en-AU"/>
        </w:rPr>
        <w:t>and industrial</w:t>
      </w:r>
      <w:r w:rsidR="00DC064B">
        <w:rPr>
          <w:lang w:eastAsia="en-AU"/>
        </w:rPr>
        <w:t xml:space="preserve"> </w:t>
      </w:r>
      <w:r w:rsidRPr="00F1247C">
        <w:rPr>
          <w:lang w:eastAsia="en-AU"/>
        </w:rPr>
        <w:t>segregation, and access to flexible work. Similarly, unequal caring responsibilities can influence career progression and leadership representation. Experiences of sexual harassment can affect employee wellbeing, workforce participation and retention, particularly in industries where women and gender</w:t>
      </w:r>
      <w:r w:rsidR="00037EF4">
        <w:rPr>
          <w:lang w:eastAsia="en-AU"/>
        </w:rPr>
        <w:t>-</w:t>
      </w:r>
      <w:r w:rsidRPr="00F1247C">
        <w:rPr>
          <w:lang w:eastAsia="en-AU"/>
        </w:rPr>
        <w:t>diverse people are underrepresented.</w:t>
      </w:r>
    </w:p>
    <w:p w14:paraId="7170C82D" w14:textId="77777777" w:rsidR="00F1247C" w:rsidRPr="00F1247C" w:rsidRDefault="00F1247C" w:rsidP="0078531C">
      <w:pPr>
        <w:pStyle w:val="BodyText"/>
        <w:rPr>
          <w:lang w:eastAsia="en-AU"/>
        </w:rPr>
      </w:pPr>
      <w:r w:rsidRPr="00F1247C">
        <w:rPr>
          <w:lang w:eastAsia="en-AU"/>
        </w:rPr>
        <w:t>Considering the indicators together provides a more complete picture of workplace gender equality than any single measure alone.</w:t>
      </w:r>
    </w:p>
    <w:p w14:paraId="0EBC4DAE" w14:textId="0FF28263" w:rsidR="00F1247C" w:rsidRDefault="00F1247C" w:rsidP="0078531C">
      <w:pPr>
        <w:pStyle w:val="BodyText"/>
        <w:rPr>
          <w:lang w:eastAsia="en-AU"/>
        </w:rPr>
      </w:pPr>
      <w:r w:rsidRPr="00F1247C">
        <w:rPr>
          <w:lang w:eastAsia="en-AU"/>
        </w:rPr>
        <w:t>Throughout this report, the indicators are examined both individually and in combination. Together, they reveal where progress is occurring, where barriers remain, and where organisations, industries and policymakers need to focus future effort.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Look w:val="04A0" w:firstRow="1" w:lastRow="0" w:firstColumn="1" w:lastColumn="0" w:noHBand="0" w:noVBand="1"/>
      </w:tblPr>
      <w:tblGrid>
        <w:gridCol w:w="9288"/>
      </w:tblGrid>
      <w:tr w:rsidR="0045241D" w14:paraId="27642215" w14:textId="77777777" w:rsidTr="007C57B8">
        <w:tc>
          <w:tcPr>
            <w:tcW w:w="9288" w:type="dxa"/>
            <w:shd w:val="clear" w:color="auto" w:fill="E3F3F9"/>
          </w:tcPr>
          <w:p w14:paraId="16D6AA53" w14:textId="77777777" w:rsidR="0045241D" w:rsidRDefault="00FE0005" w:rsidP="00FE0005">
            <w:pPr>
              <w:pStyle w:val="Heading2"/>
              <w:rPr>
                <w:lang w:eastAsia="en-AU"/>
              </w:rPr>
            </w:pPr>
            <w:bookmarkStart w:id="13" w:name="_Toc237259509"/>
            <w:r>
              <w:rPr>
                <w:lang w:eastAsia="en-AU"/>
              </w:rPr>
              <w:lastRenderedPageBreak/>
              <w:t>Measuring gender inequality outside the binary</w:t>
            </w:r>
            <w:bookmarkEnd w:id="13"/>
          </w:p>
          <w:p w14:paraId="497AD024" w14:textId="18B3EDC4" w:rsidR="00B83422" w:rsidRDefault="00B83422" w:rsidP="00B83422">
            <w:r>
              <w:t>The Commission</w:t>
            </w:r>
            <w:r w:rsidRPr="00E830A3">
              <w:t xml:space="preserve"> collect</w:t>
            </w:r>
            <w:r>
              <w:t>s</w:t>
            </w:r>
            <w:r w:rsidRPr="00E830A3">
              <w:t xml:space="preserve"> data</w:t>
            </w:r>
            <w:r>
              <w:t xml:space="preserve"> about gender</w:t>
            </w:r>
            <w:r w:rsidR="003055E0">
              <w:t xml:space="preserve"> </w:t>
            </w:r>
            <w:r>
              <w:t>across 4 gender categories:</w:t>
            </w:r>
          </w:p>
          <w:p w14:paraId="078FDC42" w14:textId="77777777" w:rsidR="00B83422" w:rsidRPr="00B83422" w:rsidRDefault="00B83422" w:rsidP="00B83422">
            <w:pPr>
              <w:pStyle w:val="Bullet1"/>
            </w:pPr>
            <w:r w:rsidRPr="00B83422">
              <w:t>women</w:t>
            </w:r>
          </w:p>
          <w:p w14:paraId="35018806" w14:textId="77777777" w:rsidR="00B83422" w:rsidRPr="00B83422" w:rsidRDefault="00B83422" w:rsidP="00B83422">
            <w:pPr>
              <w:pStyle w:val="Bullet1"/>
            </w:pPr>
            <w:r w:rsidRPr="00B83422">
              <w:t>men</w:t>
            </w:r>
          </w:p>
          <w:p w14:paraId="16CC22ED" w14:textId="77777777" w:rsidR="00B83422" w:rsidRPr="00B83422" w:rsidRDefault="00B83422" w:rsidP="00B83422">
            <w:pPr>
              <w:pStyle w:val="Bullet1"/>
            </w:pPr>
            <w:r w:rsidRPr="00B83422">
              <w:t>people of self-described gender</w:t>
            </w:r>
          </w:p>
          <w:p w14:paraId="3064A249" w14:textId="77777777" w:rsidR="00B83422" w:rsidRPr="00B83422" w:rsidRDefault="00B83422" w:rsidP="00B83422">
            <w:pPr>
              <w:pStyle w:val="Bullet1"/>
            </w:pPr>
            <w:r w:rsidRPr="00B83422">
              <w:t>prefer not to say.</w:t>
            </w:r>
          </w:p>
          <w:p w14:paraId="1FB2893D" w14:textId="06981B1E" w:rsidR="00B83422" w:rsidRPr="00E830A3" w:rsidRDefault="00B83422" w:rsidP="00B83422">
            <w:pPr>
              <w:pStyle w:val="Bodyafterbullets"/>
            </w:pPr>
            <w:r>
              <w:t>The Commission advises duty holders</w:t>
            </w:r>
            <w:r w:rsidRPr="00E830A3">
              <w:t xml:space="preserve"> to collect gender data in line with employees</w:t>
            </w:r>
            <w:r w:rsidRPr="00E830A3" w:rsidDel="002F55AB">
              <w:t>’</w:t>
            </w:r>
            <w:r w:rsidRPr="00E830A3">
              <w:t xml:space="preserve"> and board members</w:t>
            </w:r>
            <w:r w:rsidRPr="00E830A3" w:rsidDel="002F55AB">
              <w:t>’</w:t>
            </w:r>
            <w:r w:rsidRPr="00E830A3">
              <w:t xml:space="preserve"> gender identities. </w:t>
            </w:r>
            <w:r w:rsidR="00190F76">
              <w:t>T</w:t>
            </w:r>
            <w:r w:rsidRPr="00E830A3">
              <w:t xml:space="preserve">he categories of </w:t>
            </w:r>
            <w:r w:rsidRPr="00E830A3" w:rsidDel="002F55AB">
              <w:t>‘</w:t>
            </w:r>
            <w:r w:rsidRPr="00E830A3">
              <w:t>women</w:t>
            </w:r>
            <w:r w:rsidR="002F55AB">
              <w:t>’</w:t>
            </w:r>
            <w:r w:rsidRPr="00E830A3">
              <w:t xml:space="preserve"> and </w:t>
            </w:r>
            <w:r w:rsidRPr="00E830A3" w:rsidDel="002F55AB">
              <w:t>‘</w:t>
            </w:r>
            <w:r w:rsidRPr="00E830A3">
              <w:t>men</w:t>
            </w:r>
            <w:r w:rsidR="002F55AB">
              <w:t>’</w:t>
            </w:r>
            <w:r w:rsidRPr="00E830A3">
              <w:t xml:space="preserve"> are inclusive of trans women and trans men. </w:t>
            </w:r>
            <w:r w:rsidR="009B6A3A">
              <w:t>However, s</w:t>
            </w:r>
            <w:r>
              <w:t>ome t</w:t>
            </w:r>
            <w:r w:rsidRPr="00E830A3">
              <w:t xml:space="preserve">rans people </w:t>
            </w:r>
            <w:r>
              <w:t>may</w:t>
            </w:r>
            <w:r w:rsidRPr="00E830A3">
              <w:t xml:space="preserve"> </w:t>
            </w:r>
            <w:r>
              <w:t>prefer to use different</w:t>
            </w:r>
            <w:r w:rsidRPr="00E830A3">
              <w:t xml:space="preserve"> </w:t>
            </w:r>
            <w:r>
              <w:t>terms</w:t>
            </w:r>
            <w:r w:rsidRPr="00E830A3">
              <w:t xml:space="preserve"> to describe the</w:t>
            </w:r>
            <w:r>
              <w:t>mselves</w:t>
            </w:r>
            <w:r w:rsidRPr="00E830A3">
              <w:t>.</w:t>
            </w:r>
          </w:p>
          <w:p w14:paraId="1F479DE9" w14:textId="229AE899" w:rsidR="00B83422" w:rsidRDefault="00B83422" w:rsidP="00B83422">
            <w:r w:rsidRPr="00E830A3">
              <w:t>The</w:t>
            </w:r>
            <w:r>
              <w:t xml:space="preserve"> Commission uses the</w:t>
            </w:r>
            <w:r w:rsidRPr="00E830A3">
              <w:t xml:space="preserve"> category of </w:t>
            </w:r>
            <w:r w:rsidR="00F43DBC">
              <w:t>‘</w:t>
            </w:r>
            <w:r w:rsidRPr="00E830A3">
              <w:t xml:space="preserve">people </w:t>
            </w:r>
            <w:r w:rsidR="005B68CB">
              <w:t>of</w:t>
            </w:r>
            <w:r w:rsidR="005B68CB" w:rsidRPr="00E830A3">
              <w:t xml:space="preserve"> </w:t>
            </w:r>
            <w:r w:rsidRPr="00E830A3">
              <w:t>self-describe</w:t>
            </w:r>
            <w:r w:rsidR="005B68CB">
              <w:t>d</w:t>
            </w:r>
            <w:r w:rsidRPr="00E830A3">
              <w:t xml:space="preserve"> gender</w:t>
            </w:r>
            <w:r w:rsidR="00F43DBC">
              <w:t>’</w:t>
            </w:r>
            <w:r w:rsidRPr="00E830A3">
              <w:t xml:space="preserve"> to ensure that employees and board members who </w:t>
            </w:r>
            <w:r>
              <w:t>do not identify as women or men</w:t>
            </w:r>
            <w:r w:rsidRPr="00E830A3">
              <w:t xml:space="preserve"> are </w:t>
            </w:r>
            <w:r w:rsidRPr="00E830A3" w:rsidDel="00DA0790">
              <w:t>included</w:t>
            </w:r>
            <w:r w:rsidR="00DA0790">
              <w:t xml:space="preserve"> but</w:t>
            </w:r>
            <w:r w:rsidRPr="00E830A3">
              <w:t xml:space="preserve"> are also able to use their preferred terminology. </w:t>
            </w:r>
            <w:r>
              <w:t>The Commission encourages duty holders</w:t>
            </w:r>
            <w:r w:rsidRPr="00E830A3">
              <w:t xml:space="preserve"> to </w:t>
            </w:r>
            <w:r>
              <w:t>ensure</w:t>
            </w:r>
            <w:r w:rsidRPr="00E830A3">
              <w:t xml:space="preserve"> employees and board members </w:t>
            </w:r>
            <w:r>
              <w:t>can</w:t>
            </w:r>
            <w:r w:rsidRPr="00E830A3">
              <w:t xml:space="preserve"> use their preferred language to describe their gender, whether that is non-binary, genderqueer, agender, gender fluid or another term. </w:t>
            </w:r>
            <w:r>
              <w:t>D</w:t>
            </w:r>
            <w:r w:rsidRPr="00E830A3">
              <w:t>uty holder</w:t>
            </w:r>
            <w:r>
              <w:t>s should</w:t>
            </w:r>
            <w:r w:rsidRPr="00E830A3">
              <w:t xml:space="preserve"> record this preferred language in their internal systems to accurately reflect individuals</w:t>
            </w:r>
            <w:r w:rsidRPr="00E830A3" w:rsidDel="002F55AB">
              <w:t>’</w:t>
            </w:r>
            <w:r w:rsidRPr="00E830A3">
              <w:t xml:space="preserve"> gender identities and respect their preferred language.</w:t>
            </w:r>
          </w:p>
          <w:p w14:paraId="1981C8B1" w14:textId="4108A035" w:rsidR="00B83422" w:rsidRDefault="00B83422" w:rsidP="00B83422">
            <w:r>
              <w:t>When it comes to reporting, duty holders must</w:t>
            </w:r>
            <w:r w:rsidRPr="00E830A3">
              <w:t xml:space="preserve"> </w:t>
            </w:r>
            <w:r w:rsidR="00B63AF4">
              <w:t>use</w:t>
            </w:r>
            <w:r w:rsidRPr="00E830A3">
              <w:t xml:space="preserve"> one category of </w:t>
            </w:r>
            <w:r w:rsidR="00F43DBC">
              <w:t>‘</w:t>
            </w:r>
            <w:r w:rsidRPr="00E830A3">
              <w:t>self-described gender</w:t>
            </w:r>
            <w:r w:rsidR="00F43DBC">
              <w:t>’</w:t>
            </w:r>
            <w:r w:rsidRPr="00E830A3">
              <w:t xml:space="preserve"> so that both the organisation and the Commissioner can meaningful</w:t>
            </w:r>
            <w:r w:rsidR="00590384">
              <w:t>ly</w:t>
            </w:r>
            <w:r w:rsidRPr="00E830A3">
              <w:t xml:space="preserve"> analys</w:t>
            </w:r>
            <w:r w:rsidR="00590384">
              <w:t>e</w:t>
            </w:r>
            <w:r w:rsidRPr="00E830A3">
              <w:t xml:space="preserve"> that data. This approach is designed to maximise the impact of th</w:t>
            </w:r>
            <w:r w:rsidR="00BE677C">
              <w:t>e</w:t>
            </w:r>
            <w:r w:rsidRPr="00E830A3">
              <w:t xml:space="preserve"> data, while still allowing individual people to use their preferred language to express their gender.</w:t>
            </w:r>
          </w:p>
          <w:p w14:paraId="22FCE7FF" w14:textId="0A0189DA" w:rsidR="00B83422" w:rsidRDefault="00B83422" w:rsidP="00B83422">
            <w:r>
              <w:t xml:space="preserve">The People matter survey uses the terms </w:t>
            </w:r>
            <w:r w:rsidR="00F43DBC">
              <w:t>‘</w:t>
            </w:r>
            <w:r>
              <w:t>non-binary</w:t>
            </w:r>
            <w:r w:rsidR="00F43DBC">
              <w:t>’</w:t>
            </w:r>
            <w:r>
              <w:t xml:space="preserve"> and </w:t>
            </w:r>
            <w:r w:rsidR="00F43DBC">
              <w:t>‘</w:t>
            </w:r>
            <w:r>
              <w:t>gender diverse</w:t>
            </w:r>
            <w:r w:rsidR="00F43DBC">
              <w:t>’</w:t>
            </w:r>
            <w:r>
              <w:t xml:space="preserve"> to capture information about people who identify outside the gender binary.</w:t>
            </w:r>
          </w:p>
          <w:p w14:paraId="524B21FF" w14:textId="6837C512" w:rsidR="00FE0005" w:rsidRDefault="00B83422" w:rsidP="00B83422">
            <w:pPr>
              <w:rPr>
                <w:rFonts w:cs="Arial"/>
                <w:szCs w:val="21"/>
                <w:lang w:eastAsia="en-AU"/>
              </w:rPr>
            </w:pPr>
            <w:r>
              <w:t xml:space="preserve">This report uses all 3 terms (people of self-described gender, non-binary and gender diverse) to discuss the experiences of people who identify outside the gender binary. Read more about data limitations for this group in </w:t>
            </w:r>
            <w:hyperlink w:anchor="_Appendix_1:_Data" w:history="1">
              <w:r w:rsidRPr="00BE7AF5">
                <w:rPr>
                  <w:rStyle w:val="Hyperlink"/>
                  <w:rFonts w:cs="Times New Roman"/>
                </w:rPr>
                <w:t>Appendix 1: Data and methods</w:t>
              </w:r>
            </w:hyperlink>
            <w:r>
              <w:t>.</w:t>
            </w:r>
          </w:p>
        </w:tc>
      </w:tr>
    </w:tbl>
    <w:p w14:paraId="1EDFEEB5" w14:textId="2C63EBBF" w:rsidR="00867FEC" w:rsidRDefault="004935E0" w:rsidP="00867FEC">
      <w:pPr>
        <w:pStyle w:val="Heading2"/>
        <w:rPr>
          <w:lang w:eastAsia="en-AU"/>
        </w:rPr>
      </w:pPr>
      <w:bookmarkStart w:id="14" w:name="_Toc237259510"/>
      <w:r>
        <w:rPr>
          <w:lang w:eastAsia="en-AU"/>
        </w:rPr>
        <w:t>T</w:t>
      </w:r>
      <w:r w:rsidR="0017033C">
        <w:rPr>
          <w:lang w:eastAsia="en-AU"/>
        </w:rPr>
        <w:t>he</w:t>
      </w:r>
      <w:r w:rsidR="00867FEC">
        <w:rPr>
          <w:lang w:eastAsia="en-AU"/>
        </w:rPr>
        <w:t xml:space="preserve"> Victorian </w:t>
      </w:r>
      <w:r w:rsidR="0017033C">
        <w:rPr>
          <w:lang w:eastAsia="en-AU"/>
        </w:rPr>
        <w:t>p</w:t>
      </w:r>
      <w:r w:rsidR="00867FEC">
        <w:rPr>
          <w:lang w:eastAsia="en-AU"/>
        </w:rPr>
        <w:t xml:space="preserve">ublic </w:t>
      </w:r>
      <w:r w:rsidR="0017033C">
        <w:rPr>
          <w:lang w:eastAsia="en-AU"/>
        </w:rPr>
        <w:t>s</w:t>
      </w:r>
      <w:r w:rsidR="00867FEC">
        <w:rPr>
          <w:lang w:eastAsia="en-AU"/>
        </w:rPr>
        <w:t>ector</w:t>
      </w:r>
      <w:r>
        <w:rPr>
          <w:lang w:eastAsia="en-AU"/>
        </w:rPr>
        <w:t xml:space="preserve"> context</w:t>
      </w:r>
      <w:bookmarkEnd w:id="14"/>
    </w:p>
    <w:p w14:paraId="5A4C4191" w14:textId="03660E92" w:rsidR="0069483C" w:rsidRPr="0069483C" w:rsidRDefault="0069483C" w:rsidP="004444B7">
      <w:pPr>
        <w:pStyle w:val="BodyText"/>
        <w:rPr>
          <w:lang w:eastAsia="en-AU"/>
        </w:rPr>
      </w:pPr>
      <w:r w:rsidRPr="0069483C">
        <w:rPr>
          <w:lang w:eastAsia="en-AU"/>
        </w:rPr>
        <w:t>The Victorian public sector is one of the state</w:t>
      </w:r>
      <w:r w:rsidR="002F55AB">
        <w:rPr>
          <w:lang w:eastAsia="en-AU"/>
        </w:rPr>
        <w:t>’</w:t>
      </w:r>
      <w:r w:rsidRPr="0069483C">
        <w:rPr>
          <w:lang w:eastAsia="en-AU"/>
        </w:rPr>
        <w:t>s largest employers, with public sector workers making up around 12% of Victoria</w:t>
      </w:r>
      <w:r w:rsidR="002F55AB">
        <w:rPr>
          <w:lang w:eastAsia="en-AU"/>
        </w:rPr>
        <w:t>’</w:t>
      </w:r>
      <w:r w:rsidRPr="0069483C">
        <w:rPr>
          <w:lang w:eastAsia="en-AU"/>
        </w:rPr>
        <w:t>s labour force. It delivers essential services that affect the lives of Victorians every day</w:t>
      </w:r>
      <w:r w:rsidR="000B02EC">
        <w:rPr>
          <w:lang w:eastAsia="en-AU"/>
        </w:rPr>
        <w:t>. This</w:t>
      </w:r>
      <w:r w:rsidRPr="0069483C">
        <w:rPr>
          <w:lang w:eastAsia="en-AU"/>
        </w:rPr>
        <w:t xml:space="preserve"> includ</w:t>
      </w:r>
      <w:r w:rsidR="000B02EC">
        <w:rPr>
          <w:lang w:eastAsia="en-AU"/>
        </w:rPr>
        <w:t>es</w:t>
      </w:r>
      <w:r w:rsidRPr="0069483C">
        <w:rPr>
          <w:lang w:eastAsia="en-AU"/>
        </w:rPr>
        <w:t xml:space="preserve"> health</w:t>
      </w:r>
      <w:r w:rsidR="00A6337A">
        <w:rPr>
          <w:lang w:eastAsia="en-AU"/>
        </w:rPr>
        <w:t xml:space="preserve"> </w:t>
      </w:r>
      <w:r w:rsidRPr="0069483C">
        <w:rPr>
          <w:lang w:eastAsia="en-AU"/>
        </w:rPr>
        <w:t xml:space="preserve">care, education, emergency services, local government, transport, justice and community </w:t>
      </w:r>
      <w:r w:rsidR="00456DA2">
        <w:rPr>
          <w:lang w:eastAsia="en-AU"/>
        </w:rPr>
        <w:t xml:space="preserve">and cultural </w:t>
      </w:r>
      <w:r w:rsidRPr="0069483C">
        <w:rPr>
          <w:lang w:eastAsia="en-AU"/>
        </w:rPr>
        <w:t>services.</w:t>
      </w:r>
    </w:p>
    <w:p w14:paraId="3A7C41A0" w14:textId="77777777" w:rsidR="0069483C" w:rsidRPr="0069483C" w:rsidRDefault="0069483C" w:rsidP="004444B7">
      <w:pPr>
        <w:pStyle w:val="BodyText"/>
        <w:rPr>
          <w:lang w:eastAsia="en-AU"/>
        </w:rPr>
      </w:pPr>
      <w:r w:rsidRPr="0069483C">
        <w:rPr>
          <w:lang w:eastAsia="en-AU"/>
        </w:rPr>
        <w:t>Because of its size, reach and influence, the public sector has an important role to play in advancing workplace gender equality. Progress within the public sector can improve outcomes for hundreds of thousands of employees directly, while also demonstrating approaches that may be adopted more broadly across the Victorian workforce.</w:t>
      </w:r>
    </w:p>
    <w:p w14:paraId="4BEE6AD2" w14:textId="5D802F5E" w:rsidR="0069483C" w:rsidRPr="0069483C" w:rsidRDefault="0069483C" w:rsidP="004444B7">
      <w:pPr>
        <w:pStyle w:val="BodyText"/>
        <w:rPr>
          <w:lang w:eastAsia="en-AU"/>
        </w:rPr>
      </w:pPr>
      <w:r w:rsidRPr="0069483C">
        <w:rPr>
          <w:lang w:eastAsia="en-AU"/>
        </w:rPr>
        <w:t>The Victorian public sector is not a single workforce. It encompasses around 300 organisations operating across diverse industries, labour markets and operating environments. These organisations vary significantly in size, workforce composition, occupational profiles and service delivery responsibilities. As a result, the barriers and opportunities associated with workplace gender equality differ across industries and organisations.</w:t>
      </w:r>
    </w:p>
    <w:p w14:paraId="1484D003" w14:textId="5E48CC26" w:rsidR="0069483C" w:rsidRPr="0069483C" w:rsidRDefault="0069483C" w:rsidP="004444B7">
      <w:pPr>
        <w:pStyle w:val="BodyText"/>
        <w:rPr>
          <w:lang w:eastAsia="en-AU"/>
        </w:rPr>
      </w:pPr>
      <w:r w:rsidRPr="0069483C">
        <w:rPr>
          <w:lang w:eastAsia="en-AU"/>
        </w:rPr>
        <w:lastRenderedPageBreak/>
        <w:t xml:space="preserve">Some industries have long histories of </w:t>
      </w:r>
      <w:r w:rsidR="00C22E5E">
        <w:rPr>
          <w:lang w:eastAsia="en-AU"/>
        </w:rPr>
        <w:t>gendered</w:t>
      </w:r>
      <w:r w:rsidR="00C22E5E" w:rsidRPr="0069483C">
        <w:rPr>
          <w:lang w:eastAsia="en-AU"/>
        </w:rPr>
        <w:t xml:space="preserve"> </w:t>
      </w:r>
      <w:r w:rsidRPr="0069483C">
        <w:rPr>
          <w:lang w:eastAsia="en-AU"/>
        </w:rPr>
        <w:t>occupational segregation, with women and men concentrated in different roles and levels of seniority. Other</w:t>
      </w:r>
      <w:r w:rsidR="00F82E30">
        <w:rPr>
          <w:lang w:eastAsia="en-AU"/>
        </w:rPr>
        <w:t xml:space="preserve"> industrie</w:t>
      </w:r>
      <w:r w:rsidRPr="0069483C">
        <w:rPr>
          <w:lang w:eastAsia="en-AU"/>
        </w:rPr>
        <w:t>s face workforce shortages, highly specialised labour markets, regional recruitment challenges or operational demands that shape how work is organised. These differences influence both the nature of workplace gender inequality and the strategies most likely to address it.</w:t>
      </w:r>
    </w:p>
    <w:p w14:paraId="462CAEC6" w14:textId="5C11C6FA" w:rsidR="0069483C" w:rsidRPr="0069483C" w:rsidRDefault="0069483C" w:rsidP="004444B7">
      <w:pPr>
        <w:pStyle w:val="BodyText"/>
        <w:rPr>
          <w:lang w:eastAsia="en-AU"/>
        </w:rPr>
      </w:pPr>
      <w:r w:rsidRPr="0069483C">
        <w:rPr>
          <w:lang w:eastAsia="en-AU"/>
        </w:rPr>
        <w:t xml:space="preserve">Workplace gender equality outcomes are shaped by a range of interconnected factors, including workforce composition, </w:t>
      </w:r>
      <w:r w:rsidR="00DC064B">
        <w:rPr>
          <w:lang w:eastAsia="en-AU"/>
        </w:rPr>
        <w:t xml:space="preserve">gendered </w:t>
      </w:r>
      <w:r w:rsidRPr="0069483C">
        <w:rPr>
          <w:lang w:eastAsia="en-AU"/>
        </w:rPr>
        <w:t>occupational</w:t>
      </w:r>
      <w:r w:rsidR="00DC064B">
        <w:rPr>
          <w:lang w:eastAsia="en-AU"/>
        </w:rPr>
        <w:t xml:space="preserve"> </w:t>
      </w:r>
      <w:r w:rsidRPr="0069483C">
        <w:rPr>
          <w:lang w:eastAsia="en-AU"/>
        </w:rPr>
        <w:t>segregation, leadership representation, workplace culture, recruitment and promotion practices, caring responsibilities, industrial arrangements and broader labour market conditions.</w:t>
      </w:r>
    </w:p>
    <w:p w14:paraId="3B39B7CC" w14:textId="7F0CE1AA" w:rsidR="0069483C" w:rsidRPr="0069483C" w:rsidRDefault="0069483C">
      <w:pPr>
        <w:pStyle w:val="BodyText"/>
        <w:rPr>
          <w:lang w:eastAsia="en-AU"/>
        </w:rPr>
      </w:pPr>
      <w:r w:rsidRPr="0069483C">
        <w:rPr>
          <w:lang w:eastAsia="en-AU"/>
        </w:rPr>
        <w:t xml:space="preserve">Industrial agreements are an important </w:t>
      </w:r>
      <w:r w:rsidR="00AF5AD4" w:rsidRPr="00AF5AD4">
        <w:rPr>
          <w:lang w:eastAsia="en-AU"/>
        </w:rPr>
        <w:t>mechanism for advancing workplace gender equality</w:t>
      </w:r>
      <w:r w:rsidRPr="0069483C">
        <w:rPr>
          <w:lang w:eastAsia="en-AU"/>
        </w:rPr>
        <w:t>. They can accelerate progress by embedding measures such as paid parental leave, flexible work arrangements, reproductive health leave and other provisions that support</w:t>
      </w:r>
      <w:r w:rsidR="00290146">
        <w:rPr>
          <w:lang w:eastAsia="en-AU"/>
        </w:rPr>
        <w:t xml:space="preserve"> </w:t>
      </w:r>
      <w:r w:rsidRPr="0069483C">
        <w:rPr>
          <w:lang w:eastAsia="en-AU"/>
        </w:rPr>
        <w:t xml:space="preserve">equitable workforce participation and career progression. </w:t>
      </w:r>
      <w:r w:rsidR="00734F74">
        <w:rPr>
          <w:lang w:eastAsia="en-AU"/>
        </w:rPr>
        <w:t>However</w:t>
      </w:r>
      <w:r w:rsidRPr="0069483C">
        <w:rPr>
          <w:lang w:eastAsia="en-AU"/>
        </w:rPr>
        <w:t xml:space="preserve">, some industrial </w:t>
      </w:r>
      <w:r w:rsidR="00336942">
        <w:rPr>
          <w:lang w:eastAsia="en-AU"/>
        </w:rPr>
        <w:t>agreements</w:t>
      </w:r>
      <w:r w:rsidRPr="0069483C" w:rsidDel="00336942">
        <w:rPr>
          <w:lang w:eastAsia="en-AU"/>
        </w:rPr>
        <w:t xml:space="preserve"> </w:t>
      </w:r>
      <w:r w:rsidRPr="0069483C">
        <w:rPr>
          <w:lang w:eastAsia="en-AU"/>
        </w:rPr>
        <w:t xml:space="preserve">can </w:t>
      </w:r>
      <w:r w:rsidR="00734F74">
        <w:rPr>
          <w:lang w:eastAsia="en-AU"/>
        </w:rPr>
        <w:t>also</w:t>
      </w:r>
      <w:r w:rsidRPr="0069483C">
        <w:rPr>
          <w:lang w:eastAsia="en-AU"/>
        </w:rPr>
        <w:t xml:space="preserve"> constrain progress</w:t>
      </w:r>
      <w:r w:rsidR="00226328">
        <w:rPr>
          <w:lang w:eastAsia="en-AU"/>
        </w:rPr>
        <w:t xml:space="preserve">. </w:t>
      </w:r>
      <w:r w:rsidR="001833C9">
        <w:rPr>
          <w:lang w:eastAsia="en-AU"/>
        </w:rPr>
        <w:t>In some workplaces</w:t>
      </w:r>
      <w:r w:rsidR="003E14CC">
        <w:rPr>
          <w:lang w:eastAsia="en-AU"/>
        </w:rPr>
        <w:t>,</w:t>
      </w:r>
      <w:r w:rsidRPr="0069483C">
        <w:rPr>
          <w:lang w:eastAsia="en-AU"/>
        </w:rPr>
        <w:t xml:space="preserve"> they </w:t>
      </w:r>
      <w:r w:rsidR="003E14CC">
        <w:rPr>
          <w:lang w:eastAsia="en-AU"/>
        </w:rPr>
        <w:t>reduce</w:t>
      </w:r>
      <w:r w:rsidR="00C32CCE">
        <w:rPr>
          <w:lang w:eastAsia="en-AU"/>
        </w:rPr>
        <w:t xml:space="preserve"> </w:t>
      </w:r>
      <w:r w:rsidR="00C102C6">
        <w:rPr>
          <w:lang w:eastAsia="en-AU"/>
        </w:rPr>
        <w:t>organisational</w:t>
      </w:r>
      <w:r w:rsidRPr="0069483C">
        <w:rPr>
          <w:lang w:eastAsia="en-AU"/>
        </w:rPr>
        <w:t xml:space="preserve"> flexibility, </w:t>
      </w:r>
      <w:r w:rsidR="00C102C6">
        <w:rPr>
          <w:lang w:eastAsia="en-AU"/>
        </w:rPr>
        <w:t>limit</w:t>
      </w:r>
      <w:r w:rsidR="00C102C6" w:rsidRPr="0069483C">
        <w:rPr>
          <w:lang w:eastAsia="en-AU"/>
        </w:rPr>
        <w:t xml:space="preserve"> </w:t>
      </w:r>
      <w:r w:rsidRPr="0069483C">
        <w:rPr>
          <w:lang w:eastAsia="en-AU"/>
        </w:rPr>
        <w:t xml:space="preserve">transparency, make </w:t>
      </w:r>
      <w:r w:rsidR="004B73E9">
        <w:rPr>
          <w:lang w:eastAsia="en-AU"/>
        </w:rPr>
        <w:t xml:space="preserve">it harder to collect </w:t>
      </w:r>
      <w:r w:rsidR="00C102C6">
        <w:rPr>
          <w:lang w:eastAsia="en-AU"/>
        </w:rPr>
        <w:t xml:space="preserve">and use </w:t>
      </w:r>
      <w:r w:rsidRPr="0069483C">
        <w:rPr>
          <w:lang w:eastAsia="en-AU"/>
        </w:rPr>
        <w:t xml:space="preserve">workforce data, or </w:t>
      </w:r>
      <w:r w:rsidR="00091E2A">
        <w:rPr>
          <w:lang w:eastAsia="en-AU"/>
        </w:rPr>
        <w:t xml:space="preserve">restrict the practical options </w:t>
      </w:r>
      <w:r w:rsidR="00806DE8">
        <w:rPr>
          <w:lang w:eastAsia="en-AU"/>
        </w:rPr>
        <w:t>available</w:t>
      </w:r>
      <w:r w:rsidRPr="0069483C">
        <w:rPr>
          <w:lang w:eastAsia="en-AU"/>
        </w:rPr>
        <w:t xml:space="preserve"> to </w:t>
      </w:r>
      <w:r w:rsidR="00806DE8">
        <w:rPr>
          <w:lang w:eastAsia="en-AU"/>
        </w:rPr>
        <w:t>address</w:t>
      </w:r>
      <w:r w:rsidRPr="0069483C">
        <w:rPr>
          <w:lang w:eastAsia="en-AU"/>
        </w:rPr>
        <w:t xml:space="preserve"> structural drivers</w:t>
      </w:r>
      <w:r w:rsidR="0091444F">
        <w:rPr>
          <w:lang w:eastAsia="en-AU"/>
        </w:rPr>
        <w:t xml:space="preserve"> of </w:t>
      </w:r>
      <w:r w:rsidRPr="0069483C">
        <w:rPr>
          <w:lang w:eastAsia="en-AU"/>
        </w:rPr>
        <w:t xml:space="preserve">inequality, </w:t>
      </w:r>
      <w:r w:rsidR="009D6CC0">
        <w:rPr>
          <w:lang w:eastAsia="en-AU"/>
        </w:rPr>
        <w:t xml:space="preserve">such as </w:t>
      </w:r>
      <w:r w:rsidRPr="0069483C">
        <w:rPr>
          <w:lang w:eastAsia="en-AU"/>
        </w:rPr>
        <w:t>workplace sexual harassment and gender pay gaps.</w:t>
      </w:r>
    </w:p>
    <w:p w14:paraId="617767BC" w14:textId="3A8E0452" w:rsidR="0002647C" w:rsidRPr="0069483C" w:rsidRDefault="0002647C" w:rsidP="004444B7">
      <w:pPr>
        <w:pStyle w:val="BodyText"/>
        <w:rPr>
          <w:lang w:eastAsia="en-AU"/>
        </w:rPr>
      </w:pPr>
      <w:r>
        <w:rPr>
          <w:lang w:eastAsia="en-AU"/>
        </w:rPr>
        <w:t xml:space="preserve">This report </w:t>
      </w:r>
      <w:r w:rsidR="006D66D5">
        <w:rPr>
          <w:lang w:eastAsia="en-AU"/>
        </w:rPr>
        <w:t xml:space="preserve">uses the term ‘public sector’ to describe </w:t>
      </w:r>
      <w:r w:rsidR="003000D4">
        <w:rPr>
          <w:lang w:eastAsia="en-AU"/>
        </w:rPr>
        <w:t xml:space="preserve">all duty holders under the </w:t>
      </w:r>
      <w:r w:rsidR="003000D4" w:rsidRPr="00AB1817">
        <w:rPr>
          <w:lang w:eastAsia="en-AU"/>
        </w:rPr>
        <w:t>Gender Equality Act</w:t>
      </w:r>
      <w:r w:rsidR="003000D4">
        <w:rPr>
          <w:lang w:eastAsia="en-AU"/>
        </w:rPr>
        <w:t>.</w:t>
      </w:r>
      <w:r w:rsidR="00123238">
        <w:rPr>
          <w:lang w:eastAsia="en-AU"/>
        </w:rPr>
        <w:t xml:space="preserve"> </w:t>
      </w:r>
      <w:r w:rsidR="00155CCB">
        <w:rPr>
          <w:lang w:eastAsia="en-AU"/>
        </w:rPr>
        <w:t xml:space="preserve">However, the </w:t>
      </w:r>
      <w:r w:rsidR="0086619A">
        <w:rPr>
          <w:lang w:eastAsia="en-AU"/>
        </w:rPr>
        <w:t xml:space="preserve">Public Sector Gender Equality Commissioner is not the only public sector regulator in Victoria. </w:t>
      </w:r>
      <w:r w:rsidR="00FA5A87">
        <w:rPr>
          <w:lang w:eastAsia="en-AU"/>
        </w:rPr>
        <w:t xml:space="preserve">The Victorian Public Sector Commission (VPSC) </w:t>
      </w:r>
      <w:r w:rsidR="00A96B91">
        <w:rPr>
          <w:lang w:eastAsia="en-AU"/>
        </w:rPr>
        <w:t xml:space="preserve">is the key body that supports </w:t>
      </w:r>
      <w:r w:rsidR="00DA15E5">
        <w:rPr>
          <w:lang w:eastAsia="en-AU"/>
        </w:rPr>
        <w:t xml:space="preserve">and monitors </w:t>
      </w:r>
      <w:r w:rsidR="008B345A">
        <w:rPr>
          <w:lang w:eastAsia="en-AU"/>
        </w:rPr>
        <w:t xml:space="preserve">public sector performance in </w:t>
      </w:r>
      <w:r w:rsidR="00DA15E5">
        <w:rPr>
          <w:lang w:eastAsia="en-AU"/>
        </w:rPr>
        <w:t>Victoria.</w:t>
      </w:r>
      <w:r w:rsidR="00BD28C2">
        <w:rPr>
          <w:lang w:eastAsia="en-AU"/>
        </w:rPr>
        <w:t xml:space="preserve"> </w:t>
      </w:r>
      <w:r w:rsidR="00DA15E5">
        <w:rPr>
          <w:lang w:eastAsia="en-AU"/>
        </w:rPr>
        <w:t>T</w:t>
      </w:r>
      <w:r w:rsidR="00155CCB">
        <w:rPr>
          <w:lang w:eastAsia="en-AU"/>
        </w:rPr>
        <w:t xml:space="preserve">he </w:t>
      </w:r>
      <w:r w:rsidR="00720E86">
        <w:rPr>
          <w:lang w:eastAsia="en-AU"/>
        </w:rPr>
        <w:t>group</w:t>
      </w:r>
      <w:r w:rsidR="00155CCB">
        <w:rPr>
          <w:lang w:eastAsia="en-AU"/>
        </w:rPr>
        <w:t xml:space="preserve"> of organisations </w:t>
      </w:r>
      <w:r w:rsidR="003A3EEF">
        <w:rPr>
          <w:lang w:eastAsia="en-AU"/>
        </w:rPr>
        <w:t xml:space="preserve">that report to </w:t>
      </w:r>
      <w:r w:rsidR="00AB2D12">
        <w:rPr>
          <w:lang w:eastAsia="en-AU"/>
        </w:rPr>
        <w:t>VPSC</w:t>
      </w:r>
      <w:r w:rsidR="00DA15E5">
        <w:rPr>
          <w:lang w:eastAsia="en-AU"/>
        </w:rPr>
        <w:t xml:space="preserve"> is different to </w:t>
      </w:r>
      <w:r w:rsidR="0063116E">
        <w:rPr>
          <w:lang w:eastAsia="en-AU"/>
        </w:rPr>
        <w:t xml:space="preserve">the group of </w:t>
      </w:r>
      <w:r w:rsidR="00265F33">
        <w:rPr>
          <w:lang w:eastAsia="en-AU"/>
        </w:rPr>
        <w:t xml:space="preserve">duty holders under the </w:t>
      </w:r>
      <w:r w:rsidR="003A3EEF" w:rsidRPr="00AB1817">
        <w:rPr>
          <w:lang w:eastAsia="en-AU"/>
        </w:rPr>
        <w:t>Gender Equality Act</w:t>
      </w:r>
      <w:r w:rsidR="003A3EEF">
        <w:rPr>
          <w:lang w:eastAsia="en-AU"/>
        </w:rPr>
        <w:t xml:space="preserve">. The </w:t>
      </w:r>
      <w:r w:rsidR="003A3EEF" w:rsidRPr="00AB1817">
        <w:rPr>
          <w:lang w:eastAsia="en-AU"/>
        </w:rPr>
        <w:t>Act</w:t>
      </w:r>
      <w:r w:rsidR="003A3EEF">
        <w:rPr>
          <w:lang w:eastAsia="en-AU"/>
        </w:rPr>
        <w:t xml:space="preserve"> covers</w:t>
      </w:r>
      <w:r w:rsidR="00123238" w:rsidRPr="00C27278">
        <w:rPr>
          <w:lang w:eastAsia="en-AU"/>
        </w:rPr>
        <w:t xml:space="preserve"> local government organisations, universities</w:t>
      </w:r>
      <w:r w:rsidR="003A3EEF">
        <w:rPr>
          <w:lang w:eastAsia="en-AU"/>
        </w:rPr>
        <w:t xml:space="preserve"> and</w:t>
      </w:r>
      <w:r w:rsidR="00123238" w:rsidRPr="00C27278">
        <w:rPr>
          <w:lang w:eastAsia="en-AU"/>
        </w:rPr>
        <w:t xml:space="preserve"> library corporations</w:t>
      </w:r>
      <w:r w:rsidR="00AB2D12">
        <w:rPr>
          <w:lang w:eastAsia="en-AU"/>
        </w:rPr>
        <w:t xml:space="preserve">, which are not </w:t>
      </w:r>
      <w:r w:rsidR="002A0635">
        <w:rPr>
          <w:lang w:eastAsia="en-AU"/>
        </w:rPr>
        <w:t>under the remit of VPSC</w:t>
      </w:r>
      <w:r w:rsidR="00123238" w:rsidRPr="00C27278">
        <w:rPr>
          <w:lang w:eastAsia="en-AU"/>
        </w:rPr>
        <w:t>.</w:t>
      </w:r>
      <w:r w:rsidR="002A0635">
        <w:rPr>
          <w:lang w:eastAsia="en-AU"/>
        </w:rPr>
        <w:t xml:space="preserve"> VPSC collects data from</w:t>
      </w:r>
      <w:r w:rsidR="00123238" w:rsidRPr="00C27278">
        <w:rPr>
          <w:lang w:eastAsia="en-AU"/>
        </w:rPr>
        <w:t xml:space="preserve"> public sector organisations with fewer than 50 employees that are not duty holders under the </w:t>
      </w:r>
      <w:r w:rsidR="00350139" w:rsidRPr="00AB1817">
        <w:rPr>
          <w:lang w:eastAsia="en-AU"/>
        </w:rPr>
        <w:t xml:space="preserve">Gender Equality </w:t>
      </w:r>
      <w:r w:rsidR="00123238" w:rsidRPr="00C27278" w:rsidDel="00350139">
        <w:rPr>
          <w:lang w:eastAsia="en-AU"/>
        </w:rPr>
        <w:t>Act</w:t>
      </w:r>
      <w:r w:rsidR="00123238" w:rsidRPr="00C27278">
        <w:rPr>
          <w:lang w:eastAsia="en-AU"/>
        </w:rPr>
        <w:t xml:space="preserve">. These differences can lead to </w:t>
      </w:r>
      <w:r w:rsidR="00350139">
        <w:rPr>
          <w:lang w:eastAsia="en-AU"/>
        </w:rPr>
        <w:t>differences</w:t>
      </w:r>
      <w:r w:rsidR="00123238" w:rsidRPr="00C27278">
        <w:rPr>
          <w:lang w:eastAsia="en-AU"/>
        </w:rPr>
        <w:t xml:space="preserve"> between analys</w:t>
      </w:r>
      <w:r w:rsidR="004B1F36">
        <w:rPr>
          <w:lang w:eastAsia="en-AU"/>
        </w:rPr>
        <w:t>e</w:t>
      </w:r>
      <w:r w:rsidR="00123238" w:rsidRPr="00C27278">
        <w:rPr>
          <w:lang w:eastAsia="en-AU"/>
        </w:rPr>
        <w:t xml:space="preserve">s from VPSC and the </w:t>
      </w:r>
      <w:r w:rsidR="00350139">
        <w:rPr>
          <w:lang w:eastAsia="en-AU"/>
        </w:rPr>
        <w:t xml:space="preserve">Public Sector Gender Equality </w:t>
      </w:r>
      <w:r w:rsidR="00123238" w:rsidRPr="00C27278">
        <w:rPr>
          <w:lang w:eastAsia="en-AU"/>
        </w:rPr>
        <w:t>Commission</w:t>
      </w:r>
      <w:r w:rsidR="00350139">
        <w:rPr>
          <w:lang w:eastAsia="en-AU"/>
        </w:rPr>
        <w:t>er</w:t>
      </w:r>
      <w:r w:rsidR="00123238" w:rsidRPr="00C27278">
        <w:rPr>
          <w:lang w:eastAsia="en-AU"/>
        </w:rPr>
        <w:t>.</w:t>
      </w:r>
    </w:p>
    <w:p w14:paraId="4FF2F315" w14:textId="699233B3" w:rsidR="00DC6896" w:rsidRDefault="0097525D" w:rsidP="0069483C">
      <w:pPr>
        <w:pStyle w:val="Heading1"/>
      </w:pPr>
      <w:bookmarkStart w:id="15" w:name="_Toc237259511"/>
      <w:r>
        <w:t xml:space="preserve">About </w:t>
      </w:r>
      <w:r w:rsidR="00DC6896">
        <w:t>this report</w:t>
      </w:r>
      <w:bookmarkEnd w:id="15"/>
      <w:r w:rsidR="00DC6896">
        <w:t xml:space="preserve"> </w:t>
      </w:r>
    </w:p>
    <w:p w14:paraId="38C8C822" w14:textId="70D78FDA" w:rsidR="000424F3" w:rsidRPr="000424F3" w:rsidRDefault="000424F3" w:rsidP="0078531C">
      <w:pPr>
        <w:pStyle w:val="BodyText"/>
        <w:rPr>
          <w:lang w:eastAsia="en-AU"/>
        </w:rPr>
      </w:pPr>
      <w:r w:rsidRPr="000424F3">
        <w:rPr>
          <w:lang w:eastAsia="en-AU"/>
        </w:rPr>
        <w:t>This report provides the most comprehensive picture to date of workplace gender equality across Victoria</w:t>
      </w:r>
      <w:r w:rsidR="002F55AB">
        <w:rPr>
          <w:lang w:eastAsia="en-AU"/>
        </w:rPr>
        <w:t>’</w:t>
      </w:r>
      <w:r w:rsidRPr="000424F3">
        <w:rPr>
          <w:lang w:eastAsia="en-AU"/>
        </w:rPr>
        <w:t>s public sector.</w:t>
      </w:r>
    </w:p>
    <w:p w14:paraId="09B296D3" w14:textId="0EB8D965" w:rsidR="000424F3" w:rsidRPr="000424F3" w:rsidRDefault="006329F1" w:rsidP="0078531C">
      <w:pPr>
        <w:pStyle w:val="BodyText"/>
        <w:rPr>
          <w:lang w:eastAsia="en-AU"/>
        </w:rPr>
      </w:pPr>
      <w:r>
        <w:rPr>
          <w:lang w:eastAsia="en-AU"/>
        </w:rPr>
        <w:t>I</w:t>
      </w:r>
      <w:r w:rsidRPr="000424F3">
        <w:rPr>
          <w:lang w:eastAsia="en-AU"/>
        </w:rPr>
        <w:t xml:space="preserve">t </w:t>
      </w:r>
      <w:r>
        <w:rPr>
          <w:lang w:eastAsia="en-AU"/>
        </w:rPr>
        <w:t>assesses</w:t>
      </w:r>
      <w:r w:rsidRPr="000424F3">
        <w:rPr>
          <w:lang w:eastAsia="en-AU"/>
        </w:rPr>
        <w:t xml:space="preserve"> progress at the </w:t>
      </w:r>
      <w:r>
        <w:rPr>
          <w:lang w:eastAsia="en-AU"/>
        </w:rPr>
        <w:t>end</w:t>
      </w:r>
      <w:r w:rsidRPr="000424F3">
        <w:rPr>
          <w:lang w:eastAsia="en-AU"/>
        </w:rPr>
        <w:t xml:space="preserve"> of duty holders</w:t>
      </w:r>
      <w:r>
        <w:rPr>
          <w:lang w:eastAsia="en-AU"/>
        </w:rPr>
        <w:t>’</w:t>
      </w:r>
      <w:r w:rsidRPr="000424F3">
        <w:rPr>
          <w:lang w:eastAsia="en-AU"/>
        </w:rPr>
        <w:t xml:space="preserve"> first </w:t>
      </w:r>
      <w:r w:rsidR="006E5BF0">
        <w:rPr>
          <w:lang w:eastAsia="en-AU"/>
        </w:rPr>
        <w:t>4</w:t>
      </w:r>
      <w:r w:rsidRPr="000424F3">
        <w:rPr>
          <w:lang w:eastAsia="en-AU"/>
        </w:rPr>
        <w:t>-year gender equality action plans under the Gender Equality Act</w:t>
      </w:r>
      <w:r>
        <w:rPr>
          <w:lang w:eastAsia="en-AU"/>
        </w:rPr>
        <w:t xml:space="preserve">. It </w:t>
      </w:r>
      <w:r w:rsidR="00F029D4">
        <w:rPr>
          <w:lang w:eastAsia="en-AU"/>
        </w:rPr>
        <w:t>draws</w:t>
      </w:r>
      <w:r w:rsidR="000424F3" w:rsidRPr="000424F3">
        <w:rPr>
          <w:lang w:eastAsia="en-AU"/>
        </w:rPr>
        <w:t xml:space="preserve"> on audit data submitted in 2021, 2023 and 2025 by around 300 public sector organisations</w:t>
      </w:r>
      <w:r w:rsidR="00130BE4">
        <w:rPr>
          <w:lang w:eastAsia="en-AU"/>
        </w:rPr>
        <w:t>.</w:t>
      </w:r>
      <w:r w:rsidR="000424F3" w:rsidRPr="000424F3">
        <w:rPr>
          <w:lang w:eastAsia="en-AU"/>
        </w:rPr>
        <w:t xml:space="preserve"> The dataset includes government departments, </w:t>
      </w:r>
      <w:r w:rsidR="00350139">
        <w:rPr>
          <w:lang w:eastAsia="en-AU"/>
        </w:rPr>
        <w:t xml:space="preserve">local </w:t>
      </w:r>
      <w:r w:rsidR="000424F3" w:rsidRPr="000424F3">
        <w:rPr>
          <w:lang w:eastAsia="en-AU"/>
        </w:rPr>
        <w:t xml:space="preserve">councils, public health services, universities, TAFEs, water authorities, police and emergency services, courts and other public bodies, representing around </w:t>
      </w:r>
      <w:r w:rsidR="00C1271D">
        <w:rPr>
          <w:lang w:eastAsia="en-AU"/>
        </w:rPr>
        <w:t>500</w:t>
      </w:r>
      <w:r w:rsidR="000424F3" w:rsidRPr="000424F3">
        <w:rPr>
          <w:lang w:eastAsia="en-AU"/>
        </w:rPr>
        <w:t>,000 employees across Victoria.</w:t>
      </w:r>
    </w:p>
    <w:p w14:paraId="2350C14B" w14:textId="54AADF16" w:rsidR="000424F3" w:rsidRPr="000424F3" w:rsidRDefault="000424F3" w:rsidP="0078531C">
      <w:pPr>
        <w:pStyle w:val="BodyText"/>
        <w:rPr>
          <w:lang w:eastAsia="en-AU"/>
        </w:rPr>
      </w:pPr>
      <w:r w:rsidRPr="000424F3">
        <w:rPr>
          <w:lang w:eastAsia="en-AU"/>
        </w:rPr>
        <w:t>This is the largest and most comprehensive public sector workforce gender equality dataset in Australia.</w:t>
      </w:r>
    </w:p>
    <w:p w14:paraId="67664CEE" w14:textId="5C846107" w:rsidR="000D5B13" w:rsidRPr="000424F3" w:rsidRDefault="000424F3" w:rsidP="0078531C">
      <w:pPr>
        <w:pStyle w:val="BodyText"/>
        <w:rPr>
          <w:lang w:eastAsia="en-AU"/>
        </w:rPr>
      </w:pPr>
      <w:r w:rsidRPr="000424F3">
        <w:rPr>
          <w:lang w:eastAsia="en-AU"/>
        </w:rPr>
        <w:t>The report examines progress across the Act</w:t>
      </w:r>
      <w:r w:rsidR="002F55AB">
        <w:rPr>
          <w:lang w:eastAsia="en-AU"/>
        </w:rPr>
        <w:t>’</w:t>
      </w:r>
      <w:r w:rsidRPr="000424F3">
        <w:rPr>
          <w:lang w:eastAsia="en-AU"/>
        </w:rPr>
        <w:t>s 7 workplace gender equality indicators at sector, industry</w:t>
      </w:r>
      <w:r w:rsidR="000A710B" w:rsidRPr="000424F3">
        <w:rPr>
          <w:lang w:eastAsia="en-AU"/>
        </w:rPr>
        <w:t>,</w:t>
      </w:r>
      <w:r w:rsidRPr="000424F3">
        <w:rPr>
          <w:lang w:eastAsia="en-AU"/>
        </w:rPr>
        <w:t xml:space="preserve"> and </w:t>
      </w:r>
      <w:r w:rsidR="0063637B">
        <w:rPr>
          <w:lang w:eastAsia="en-AU"/>
        </w:rPr>
        <w:t>occupational</w:t>
      </w:r>
      <w:r w:rsidRPr="000424F3">
        <w:rPr>
          <w:lang w:eastAsia="en-AU"/>
        </w:rPr>
        <w:t xml:space="preserve"> levels. It identifies where measurable progress </w:t>
      </w:r>
      <w:r w:rsidR="0080123E">
        <w:rPr>
          <w:lang w:eastAsia="en-AU"/>
        </w:rPr>
        <w:t>has</w:t>
      </w:r>
      <w:r w:rsidR="0080123E" w:rsidRPr="000424F3">
        <w:rPr>
          <w:lang w:eastAsia="en-AU"/>
        </w:rPr>
        <w:t xml:space="preserve"> </w:t>
      </w:r>
      <w:r w:rsidRPr="000424F3">
        <w:rPr>
          <w:lang w:eastAsia="en-AU"/>
        </w:rPr>
        <w:t>occurr</w:t>
      </w:r>
      <w:r w:rsidR="003C4B76">
        <w:rPr>
          <w:lang w:eastAsia="en-AU"/>
        </w:rPr>
        <w:t>ed</w:t>
      </w:r>
      <w:r w:rsidRPr="000424F3">
        <w:rPr>
          <w:lang w:eastAsia="en-AU"/>
        </w:rPr>
        <w:t xml:space="preserve">, where inequalities persist, and where further action </w:t>
      </w:r>
      <w:r w:rsidR="003770EF">
        <w:rPr>
          <w:lang w:eastAsia="en-AU"/>
        </w:rPr>
        <w:t>is</w:t>
      </w:r>
      <w:r w:rsidRPr="000424F3">
        <w:rPr>
          <w:lang w:eastAsia="en-AU"/>
        </w:rPr>
        <w:t xml:space="preserve"> required.</w:t>
      </w:r>
      <w:r w:rsidR="00FF3D11">
        <w:rPr>
          <w:lang w:eastAsia="en-AU"/>
        </w:rPr>
        <w:t xml:space="preserve"> Where possible, it includes data </w:t>
      </w:r>
      <w:r w:rsidR="00B51944">
        <w:rPr>
          <w:lang w:eastAsia="en-AU"/>
        </w:rPr>
        <w:t xml:space="preserve">about people of self-described gender, as well as </w:t>
      </w:r>
      <w:r w:rsidR="00091489">
        <w:rPr>
          <w:lang w:eastAsia="en-AU"/>
        </w:rPr>
        <w:t xml:space="preserve">groups facing intersectional gender inequality. See </w:t>
      </w:r>
      <w:hyperlink w:anchor="_Appendix_1:_Data" w:history="1">
        <w:r w:rsidR="00091489" w:rsidRPr="00CB47CF">
          <w:rPr>
            <w:rStyle w:val="Hyperlink"/>
            <w:rFonts w:cs="Times New Roman"/>
            <w:lang w:eastAsia="en-AU"/>
          </w:rPr>
          <w:t xml:space="preserve">Appendix </w:t>
        </w:r>
        <w:r w:rsidR="007449CA" w:rsidRPr="00CB47CF">
          <w:rPr>
            <w:rStyle w:val="Hyperlink"/>
            <w:rFonts w:cs="Times New Roman"/>
            <w:lang w:eastAsia="en-AU"/>
          </w:rPr>
          <w:t>1: Data and methods</w:t>
        </w:r>
      </w:hyperlink>
      <w:r w:rsidR="00091489">
        <w:rPr>
          <w:lang w:eastAsia="en-AU"/>
        </w:rPr>
        <w:t xml:space="preserve"> for further information</w:t>
      </w:r>
      <w:r w:rsidR="006A176E">
        <w:rPr>
          <w:lang w:eastAsia="en-AU"/>
        </w:rPr>
        <w:t xml:space="preserve"> about how the Commission </w:t>
      </w:r>
      <w:r w:rsidR="0019753E">
        <w:rPr>
          <w:lang w:eastAsia="en-AU"/>
        </w:rPr>
        <w:t>approached</w:t>
      </w:r>
      <w:r w:rsidR="006A176E">
        <w:rPr>
          <w:lang w:eastAsia="en-AU"/>
        </w:rPr>
        <w:t xml:space="preserve"> </w:t>
      </w:r>
      <w:r w:rsidR="0019753E">
        <w:rPr>
          <w:lang w:eastAsia="en-AU"/>
        </w:rPr>
        <w:t xml:space="preserve">and incorporated </w:t>
      </w:r>
      <w:r w:rsidR="006A176E">
        <w:rPr>
          <w:lang w:eastAsia="en-AU"/>
        </w:rPr>
        <w:t>this data.</w:t>
      </w:r>
    </w:p>
    <w:p w14:paraId="5D196D6E" w14:textId="269FCBEB" w:rsidR="000424F3" w:rsidRPr="000424F3" w:rsidRDefault="000424F3" w:rsidP="0078531C">
      <w:pPr>
        <w:pStyle w:val="BodyText"/>
        <w:rPr>
          <w:lang w:eastAsia="en-AU"/>
        </w:rPr>
      </w:pPr>
      <w:r w:rsidRPr="000424F3">
        <w:rPr>
          <w:lang w:eastAsia="en-AU"/>
        </w:rPr>
        <w:lastRenderedPageBreak/>
        <w:t xml:space="preserve">While previous Commission reports established baseline conditions and explored specific issues in greater depth, this is the first report to assess progress across all 7 workplace gender equality indicators using longitudinal data collected over the first </w:t>
      </w:r>
      <w:r w:rsidR="00F05A9E">
        <w:rPr>
          <w:lang w:eastAsia="en-AU"/>
        </w:rPr>
        <w:t>full</w:t>
      </w:r>
      <w:r w:rsidRPr="000424F3">
        <w:rPr>
          <w:lang w:eastAsia="en-AU"/>
        </w:rPr>
        <w:t xml:space="preserve"> implementation cycle of the Act.</w:t>
      </w:r>
    </w:p>
    <w:p w14:paraId="33880C2C" w14:textId="6BC0CF86" w:rsidR="000424F3" w:rsidRPr="000424F3" w:rsidRDefault="000424F3" w:rsidP="0078531C">
      <w:pPr>
        <w:pStyle w:val="BodyText"/>
        <w:rPr>
          <w:lang w:eastAsia="en-AU"/>
        </w:rPr>
      </w:pPr>
      <w:r w:rsidRPr="000424F3">
        <w:rPr>
          <w:lang w:eastAsia="en-AU"/>
        </w:rPr>
        <w:t>The findings demonstrate that progress is neither uniform nor inevitable. Some industries and indicators show encouraging signs of change, while others remain largely unchanged. Together, these results provide important insights into how workplace gender inequality is evolving across Victoria</w:t>
      </w:r>
      <w:r w:rsidR="002F55AB">
        <w:rPr>
          <w:lang w:eastAsia="en-AU"/>
        </w:rPr>
        <w:t>’</w:t>
      </w:r>
      <w:r w:rsidRPr="000424F3">
        <w:rPr>
          <w:lang w:eastAsia="en-AU"/>
        </w:rPr>
        <w:t>s public sector and where future effort is likely to have the greatest impact.</w:t>
      </w:r>
    </w:p>
    <w:p w14:paraId="4D9CC68E" w14:textId="252DCFA1" w:rsidR="00DE1F42" w:rsidRDefault="000424F3" w:rsidP="0078531C">
      <w:pPr>
        <w:pStyle w:val="BodyText"/>
        <w:rPr>
          <w:lang w:eastAsia="en-AU"/>
        </w:rPr>
      </w:pPr>
      <w:r w:rsidRPr="000424F3">
        <w:rPr>
          <w:lang w:eastAsia="en-AU"/>
        </w:rPr>
        <w:t>The report is intended to support duty holders, policymakers, public sector leaders, unions, peak bodies, researchers and advocates to better understand workplace gender equality trends and identify opportunities for sustained</w:t>
      </w:r>
      <w:r w:rsidR="00EE1355">
        <w:rPr>
          <w:lang w:eastAsia="en-AU"/>
        </w:rPr>
        <w:t xml:space="preserve"> and</w:t>
      </w:r>
      <w:r w:rsidRPr="000424F3">
        <w:rPr>
          <w:lang w:eastAsia="en-AU"/>
        </w:rPr>
        <w:t xml:space="preserve"> evidence-informed action.</w:t>
      </w:r>
      <w:r w:rsidR="00630B3B" w:rsidRPr="009553D3">
        <w:t xml:space="preserve"> </w:t>
      </w:r>
      <w:r w:rsidR="0002408A">
        <w:t>However, i</w:t>
      </w:r>
      <w:r w:rsidR="009553D3" w:rsidRPr="009553D3">
        <w:rPr>
          <w:lang w:eastAsia="en-AU"/>
        </w:rPr>
        <w:t xml:space="preserve">t is not intended to provide detailed implementation guidance. </w:t>
      </w:r>
    </w:p>
    <w:p w14:paraId="0547CD74" w14:textId="426591F2" w:rsidR="000424F3" w:rsidRPr="000424F3" w:rsidRDefault="008116B7" w:rsidP="0078531C">
      <w:pPr>
        <w:pStyle w:val="BodyText"/>
        <w:rPr>
          <w:lang w:eastAsia="en-AU"/>
        </w:rPr>
      </w:pPr>
      <w:r w:rsidRPr="008116B7">
        <w:rPr>
          <w:lang w:eastAsia="en-AU"/>
        </w:rPr>
        <w:t>Throughout the report,</w:t>
      </w:r>
      <w:r w:rsidR="00615240">
        <w:rPr>
          <w:lang w:eastAsia="en-AU"/>
        </w:rPr>
        <w:t xml:space="preserve"> </w:t>
      </w:r>
      <w:r w:rsidR="00615240">
        <w:t>t</w:t>
      </w:r>
      <w:r w:rsidR="0004647C" w:rsidRPr="00801F48">
        <w:t>he Commissioner outlines her</w:t>
      </w:r>
      <w:r w:rsidR="0004647C">
        <w:t xml:space="preserve"> future</w:t>
      </w:r>
      <w:r w:rsidR="0004647C" w:rsidRPr="00801F48">
        <w:t xml:space="preserve"> expectations of duty holders </w:t>
      </w:r>
      <w:r w:rsidR="0004647C">
        <w:t xml:space="preserve">against each indicator in the sections titled ‘Commissioner expectations’. In 2027, </w:t>
      </w:r>
      <w:r w:rsidR="001C7A82">
        <w:t xml:space="preserve">she will publish further advice for duty holders, including </w:t>
      </w:r>
      <w:r w:rsidR="00975364">
        <w:t>the</w:t>
      </w:r>
      <w:r w:rsidR="00394943" w:rsidRPr="00394943">
        <w:t xml:space="preserve"> findings from</w:t>
      </w:r>
      <w:r w:rsidR="000B1D8A">
        <w:t xml:space="preserve"> the </w:t>
      </w:r>
      <w:r w:rsidR="003F6BE2">
        <w:t>funded research project ‘</w:t>
      </w:r>
      <w:hyperlink r:id="rId23" w:history="1">
        <w:r w:rsidR="00FA515F" w:rsidRPr="001723A9">
          <w:rPr>
            <w:rStyle w:val="Hyperlink"/>
            <w:rFonts w:cs="Times New Roman"/>
          </w:rPr>
          <w:t>Setting, implementing and achieving gender equality targets</w:t>
        </w:r>
      </w:hyperlink>
      <w:r w:rsidR="00FA515F">
        <w:t>’</w:t>
      </w:r>
      <w:r w:rsidR="000B1D8A">
        <w:t>.</w:t>
      </w:r>
    </w:p>
    <w:tbl>
      <w:tblPr>
        <w:tblStyle w:val="TableGrid"/>
        <w:tblW w:w="0" w:type="auto"/>
        <w:tblLook w:val="04A0" w:firstRow="1" w:lastRow="0" w:firstColumn="1" w:lastColumn="0" w:noHBand="0" w:noVBand="1"/>
      </w:tblPr>
      <w:tblGrid>
        <w:gridCol w:w="9288"/>
      </w:tblGrid>
      <w:tr w:rsidR="00C961C6" w14:paraId="46AA64B3" w14:textId="77777777" w:rsidTr="005F688D">
        <w:tc>
          <w:tcPr>
            <w:tcW w:w="9288" w:type="dxa"/>
            <w:tcBorders>
              <w:top w:val="nil"/>
              <w:left w:val="nil"/>
              <w:bottom w:val="nil"/>
              <w:right w:val="nil"/>
            </w:tcBorders>
            <w:shd w:val="clear" w:color="auto" w:fill="E3F3F9"/>
          </w:tcPr>
          <w:p w14:paraId="15F72BB5" w14:textId="2720CA94" w:rsidR="00C40F48" w:rsidRPr="00E5320B" w:rsidRDefault="00C961C6" w:rsidP="00152BCF">
            <w:pPr>
              <w:pStyle w:val="Heading2"/>
              <w:rPr>
                <w:lang w:eastAsia="en-AU"/>
              </w:rPr>
            </w:pPr>
            <w:bookmarkStart w:id="16" w:name="_Toc237259512"/>
            <w:r w:rsidRPr="002C1507">
              <w:rPr>
                <w:lang w:eastAsia="en-AU"/>
              </w:rPr>
              <w:t>How we rate progress</w:t>
            </w:r>
            <w:bookmarkEnd w:id="16"/>
          </w:p>
          <w:p w14:paraId="2AD29D77" w14:textId="3D4B89ED" w:rsidR="00C40F48" w:rsidRDefault="00C40F48" w:rsidP="0078531C">
            <w:pPr>
              <w:pStyle w:val="BodyText"/>
              <w:rPr>
                <w:lang w:eastAsia="en-AU"/>
              </w:rPr>
            </w:pPr>
            <w:r>
              <w:rPr>
                <w:lang w:eastAsia="en-AU"/>
              </w:rPr>
              <w:t xml:space="preserve">The Commission uses 4 types of progress ratings in this report. These include: </w:t>
            </w:r>
          </w:p>
          <w:p w14:paraId="6CEF95E6" w14:textId="7AEE48AC" w:rsidR="00C40F48" w:rsidRPr="008C3134" w:rsidRDefault="00C40F48" w:rsidP="00C40F48">
            <w:pPr>
              <w:pStyle w:val="Bullet1"/>
              <w:rPr>
                <w:lang w:eastAsia="en-AU"/>
              </w:rPr>
            </w:pPr>
            <w:r w:rsidRPr="008C3134">
              <w:rPr>
                <w:b/>
                <w:bCs/>
                <w:lang w:eastAsia="en-AU"/>
              </w:rPr>
              <w:t xml:space="preserve">Matrix </w:t>
            </w:r>
            <w:r>
              <w:rPr>
                <w:b/>
                <w:bCs/>
                <w:lang w:eastAsia="en-AU"/>
              </w:rPr>
              <w:t>ratings</w:t>
            </w:r>
            <w:r w:rsidRPr="00B819BB">
              <w:rPr>
                <w:b/>
                <w:bCs/>
                <w:lang w:eastAsia="en-AU"/>
              </w:rPr>
              <w:t>.</w:t>
            </w:r>
            <w:r w:rsidRPr="00B819BB">
              <w:rPr>
                <w:lang w:eastAsia="en-AU"/>
              </w:rPr>
              <w:t xml:space="preserve"> These a</w:t>
            </w:r>
            <w:r>
              <w:rPr>
                <w:lang w:eastAsia="en-AU"/>
              </w:rPr>
              <w:t xml:space="preserve">re used most widely throughout this report and use a </w:t>
            </w:r>
            <w:r w:rsidRPr="00C27278">
              <w:rPr>
                <w:lang w:eastAsia="en-AU"/>
              </w:rPr>
              <w:t xml:space="preserve">matrix to assess progress. </w:t>
            </w:r>
            <w:r w:rsidR="00B8057B">
              <w:rPr>
                <w:lang w:eastAsia="en-AU"/>
              </w:rPr>
              <w:t>Matrix ratings consider</w:t>
            </w:r>
            <w:r w:rsidR="00423518">
              <w:rPr>
                <w:lang w:eastAsia="en-AU"/>
              </w:rPr>
              <w:t xml:space="preserve"> </w:t>
            </w:r>
            <w:r w:rsidR="00152F4A">
              <w:rPr>
                <w:lang w:eastAsia="en-AU"/>
              </w:rPr>
              <w:t>current performance (if the industry or sector is close to, or far from equality</w:t>
            </w:r>
            <w:r w:rsidR="00C05C24">
              <w:rPr>
                <w:lang w:eastAsia="en-AU"/>
              </w:rPr>
              <w:t xml:space="preserve"> for an indicator</w:t>
            </w:r>
            <w:r w:rsidR="00C43987">
              <w:rPr>
                <w:lang w:eastAsia="en-AU"/>
              </w:rPr>
              <w:t xml:space="preserve"> </w:t>
            </w:r>
            <w:r w:rsidR="000E6387">
              <w:rPr>
                <w:lang w:eastAsia="en-AU"/>
              </w:rPr>
              <w:t>based on</w:t>
            </w:r>
            <w:r w:rsidR="00C43987">
              <w:rPr>
                <w:lang w:eastAsia="en-AU"/>
              </w:rPr>
              <w:t xml:space="preserve"> 2025</w:t>
            </w:r>
            <w:r w:rsidR="000E6387">
              <w:rPr>
                <w:lang w:eastAsia="en-AU"/>
              </w:rPr>
              <w:t xml:space="preserve"> data</w:t>
            </w:r>
            <w:r w:rsidR="00C05C24">
              <w:rPr>
                <w:lang w:eastAsia="en-AU"/>
              </w:rPr>
              <w:t>) and</w:t>
            </w:r>
            <w:r w:rsidR="00B8057B">
              <w:rPr>
                <w:lang w:eastAsia="en-AU"/>
              </w:rPr>
              <w:t xml:space="preserve"> </w:t>
            </w:r>
            <w:r w:rsidRPr="00C27278">
              <w:rPr>
                <w:lang w:eastAsia="en-AU"/>
              </w:rPr>
              <w:t xml:space="preserve">the degree of change over time </w:t>
            </w:r>
            <w:r>
              <w:rPr>
                <w:lang w:eastAsia="en-AU"/>
              </w:rPr>
              <w:t>(how far an industry or the sector has moved closer to, or further from, gender equality)</w:t>
            </w:r>
            <w:r w:rsidRPr="004444B7">
              <w:rPr>
                <w:lang w:eastAsia="en-AU"/>
              </w:rPr>
              <w:t>.</w:t>
            </w:r>
          </w:p>
          <w:p w14:paraId="3E56972F" w14:textId="22999061" w:rsidR="00C40F48" w:rsidRPr="008C3134" w:rsidRDefault="00C40F48">
            <w:pPr>
              <w:pStyle w:val="Bullet1"/>
              <w:rPr>
                <w:lang w:eastAsia="en-AU"/>
              </w:rPr>
            </w:pPr>
            <w:r w:rsidRPr="00FF70EE">
              <w:rPr>
                <w:b/>
                <w:bCs/>
                <w:lang w:eastAsia="en-AU"/>
              </w:rPr>
              <w:t>Holistic ratings.</w:t>
            </w:r>
            <w:r w:rsidRPr="00B819BB">
              <w:rPr>
                <w:lang w:eastAsia="en-AU"/>
              </w:rPr>
              <w:t xml:space="preserve"> These a</w:t>
            </w:r>
            <w:r>
              <w:rPr>
                <w:lang w:eastAsia="en-AU"/>
              </w:rPr>
              <w:t xml:space="preserve">re </w:t>
            </w:r>
            <w:r w:rsidR="00032758">
              <w:rPr>
                <w:lang w:eastAsia="en-AU"/>
              </w:rPr>
              <w:t xml:space="preserve">used to assess progress on </w:t>
            </w:r>
            <w:r w:rsidR="00FF70EE">
              <w:rPr>
                <w:lang w:eastAsia="en-AU"/>
              </w:rPr>
              <w:t>u</w:t>
            </w:r>
            <w:r w:rsidR="00FF70EE" w:rsidRPr="00C27278">
              <w:rPr>
                <w:lang w:eastAsia="en-AU"/>
              </w:rPr>
              <w:t>ptake of part-time work</w:t>
            </w:r>
            <w:r w:rsidR="00FF70EE">
              <w:rPr>
                <w:lang w:eastAsia="en-AU"/>
              </w:rPr>
              <w:t xml:space="preserve">, </w:t>
            </w:r>
            <w:r w:rsidR="00FF70EE" w:rsidRPr="00C27278">
              <w:rPr>
                <w:lang w:eastAsia="en-AU"/>
              </w:rPr>
              <w:t>flexible work</w:t>
            </w:r>
            <w:r w:rsidR="00FF70EE">
              <w:rPr>
                <w:lang w:eastAsia="en-AU"/>
              </w:rPr>
              <w:t xml:space="preserve"> and </w:t>
            </w:r>
            <w:r w:rsidR="00FF70EE" w:rsidRPr="00C27278">
              <w:rPr>
                <w:lang w:eastAsia="en-AU"/>
              </w:rPr>
              <w:t>parental leave</w:t>
            </w:r>
            <w:r w:rsidR="00FF70EE">
              <w:rPr>
                <w:lang w:eastAsia="en-AU"/>
              </w:rPr>
              <w:t>.</w:t>
            </w:r>
            <w:r w:rsidRPr="00A02596">
              <w:rPr>
                <w:lang w:eastAsia="en-AU"/>
              </w:rPr>
              <w:t xml:space="preserve"> </w:t>
            </w:r>
            <w:r w:rsidR="00C22A8C">
              <w:rPr>
                <w:lang w:eastAsia="en-AU"/>
              </w:rPr>
              <w:t>Holistic ratings</w:t>
            </w:r>
            <w:r w:rsidRPr="00A02596">
              <w:rPr>
                <w:lang w:eastAsia="en-AU"/>
              </w:rPr>
              <w:t xml:space="preserve"> are</w:t>
            </w:r>
            <w:r>
              <w:rPr>
                <w:lang w:eastAsia="en-AU"/>
              </w:rPr>
              <w:t xml:space="preserve"> used when multiple measures </w:t>
            </w:r>
            <w:r w:rsidR="00C86048">
              <w:rPr>
                <w:lang w:eastAsia="en-AU"/>
              </w:rPr>
              <w:t xml:space="preserve">must be considered </w:t>
            </w:r>
            <w:r w:rsidR="0047709B">
              <w:rPr>
                <w:lang w:eastAsia="en-AU"/>
              </w:rPr>
              <w:t xml:space="preserve">together </w:t>
            </w:r>
            <w:r w:rsidR="00C86048">
              <w:rPr>
                <w:lang w:eastAsia="en-AU"/>
              </w:rPr>
              <w:t>to understand</w:t>
            </w:r>
            <w:r w:rsidR="00101F42">
              <w:rPr>
                <w:lang w:eastAsia="en-AU"/>
              </w:rPr>
              <w:t xml:space="preserve"> progress</w:t>
            </w:r>
            <w:r>
              <w:rPr>
                <w:lang w:eastAsia="en-AU"/>
              </w:rPr>
              <w:t>.</w:t>
            </w:r>
          </w:p>
          <w:p w14:paraId="1AF2BF04" w14:textId="67D27E45" w:rsidR="00C40F48" w:rsidRPr="00526458" w:rsidRDefault="00C40F48" w:rsidP="00C40F48">
            <w:pPr>
              <w:pStyle w:val="Bullet1"/>
              <w:rPr>
                <w:lang w:eastAsia="en-AU"/>
              </w:rPr>
            </w:pPr>
            <w:r w:rsidRPr="00526458">
              <w:rPr>
                <w:b/>
                <w:bCs/>
                <w:lang w:eastAsia="en-AU"/>
              </w:rPr>
              <w:t xml:space="preserve">Proportionality </w:t>
            </w:r>
            <w:r>
              <w:rPr>
                <w:b/>
                <w:bCs/>
                <w:lang w:eastAsia="en-AU"/>
              </w:rPr>
              <w:t>ratings</w:t>
            </w:r>
            <w:r w:rsidRPr="00B819BB">
              <w:rPr>
                <w:b/>
                <w:bCs/>
                <w:lang w:eastAsia="en-AU"/>
              </w:rPr>
              <w:t>.</w:t>
            </w:r>
            <w:r w:rsidRPr="00B819BB">
              <w:rPr>
                <w:lang w:eastAsia="en-AU"/>
              </w:rPr>
              <w:t xml:space="preserve"> These a</w:t>
            </w:r>
            <w:r>
              <w:rPr>
                <w:lang w:eastAsia="en-AU"/>
              </w:rPr>
              <w:t xml:space="preserve">re </w:t>
            </w:r>
            <w:r w:rsidR="007C494B">
              <w:rPr>
                <w:lang w:eastAsia="en-AU"/>
              </w:rPr>
              <w:t xml:space="preserve">used to assess progress on </w:t>
            </w:r>
            <w:r w:rsidR="00F24055">
              <w:rPr>
                <w:lang w:eastAsia="en-AU"/>
              </w:rPr>
              <w:t xml:space="preserve">the </w:t>
            </w:r>
            <w:r w:rsidR="007C494B">
              <w:rPr>
                <w:lang w:eastAsia="en-AU"/>
              </w:rPr>
              <w:t xml:space="preserve">gender composition of </w:t>
            </w:r>
            <w:r w:rsidR="00FF2911">
              <w:rPr>
                <w:lang w:eastAsia="en-AU"/>
              </w:rPr>
              <w:t>senior leaders</w:t>
            </w:r>
            <w:r w:rsidR="007C494B">
              <w:rPr>
                <w:lang w:eastAsia="en-AU"/>
              </w:rPr>
              <w:t>.</w:t>
            </w:r>
            <w:r w:rsidRPr="00DC325D">
              <w:rPr>
                <w:lang w:eastAsia="en-AU"/>
              </w:rPr>
              <w:t xml:space="preserve"> </w:t>
            </w:r>
            <w:r w:rsidRPr="005F70DA">
              <w:rPr>
                <w:lang w:eastAsia="en-AU"/>
              </w:rPr>
              <w:t xml:space="preserve">They </w:t>
            </w:r>
            <w:r w:rsidR="00140BCD">
              <w:rPr>
                <w:lang w:eastAsia="en-AU"/>
              </w:rPr>
              <w:t>consider</w:t>
            </w:r>
            <w:r w:rsidR="00DD378D">
              <w:rPr>
                <w:lang w:eastAsia="en-AU"/>
              </w:rPr>
              <w:t xml:space="preserve"> </w:t>
            </w:r>
            <w:r w:rsidR="00ED3FB0">
              <w:rPr>
                <w:lang w:eastAsia="en-AU"/>
              </w:rPr>
              <w:t xml:space="preserve">the </w:t>
            </w:r>
            <w:r>
              <w:rPr>
                <w:lang w:eastAsia="en-AU"/>
              </w:rPr>
              <w:t>overall gender composition of an industry or sector</w:t>
            </w:r>
            <w:r w:rsidR="00ED3FB0">
              <w:rPr>
                <w:lang w:eastAsia="en-AU"/>
              </w:rPr>
              <w:t xml:space="preserve"> to understand whether progress </w:t>
            </w:r>
            <w:r w:rsidR="00B90001">
              <w:rPr>
                <w:lang w:eastAsia="en-AU"/>
              </w:rPr>
              <w:t>has been</w:t>
            </w:r>
            <w:r w:rsidR="00ED3FB0">
              <w:rPr>
                <w:lang w:eastAsia="en-AU"/>
              </w:rPr>
              <w:t xml:space="preserve"> made towards </w:t>
            </w:r>
            <w:r w:rsidR="00DC39C7">
              <w:rPr>
                <w:lang w:eastAsia="en-AU"/>
              </w:rPr>
              <w:t xml:space="preserve">proportional </w:t>
            </w:r>
            <w:r w:rsidR="00FF2911">
              <w:rPr>
                <w:lang w:eastAsia="en-AU"/>
              </w:rPr>
              <w:t>leadership representation</w:t>
            </w:r>
            <w:r w:rsidR="00DC39C7">
              <w:rPr>
                <w:lang w:eastAsia="en-AU"/>
              </w:rPr>
              <w:t>.</w:t>
            </w:r>
          </w:p>
          <w:p w14:paraId="6D96C73B" w14:textId="199CD4F0" w:rsidR="00C40F48" w:rsidRPr="00526458" w:rsidRDefault="00C40F48" w:rsidP="00C40F48">
            <w:pPr>
              <w:pStyle w:val="Bullet1"/>
              <w:rPr>
                <w:b/>
                <w:bCs/>
                <w:lang w:eastAsia="en-AU"/>
              </w:rPr>
            </w:pPr>
            <w:r w:rsidRPr="00526458">
              <w:rPr>
                <w:b/>
                <w:bCs/>
                <w:lang w:eastAsia="en-AU"/>
              </w:rPr>
              <w:t xml:space="preserve">Gender-concentration </w:t>
            </w:r>
            <w:r>
              <w:rPr>
                <w:b/>
                <w:bCs/>
                <w:lang w:eastAsia="en-AU"/>
              </w:rPr>
              <w:t>ratings</w:t>
            </w:r>
            <w:r w:rsidRPr="00B819BB">
              <w:rPr>
                <w:b/>
                <w:bCs/>
                <w:lang w:eastAsia="en-AU"/>
              </w:rPr>
              <w:t>.</w:t>
            </w:r>
            <w:r w:rsidRPr="00B819BB">
              <w:rPr>
                <w:lang w:eastAsia="en-AU"/>
              </w:rPr>
              <w:t xml:space="preserve"> These a</w:t>
            </w:r>
            <w:r>
              <w:rPr>
                <w:lang w:eastAsia="en-AU"/>
              </w:rPr>
              <w:t xml:space="preserve">re </w:t>
            </w:r>
            <w:r w:rsidRPr="005F70DA">
              <w:rPr>
                <w:lang w:eastAsia="en-AU"/>
              </w:rPr>
              <w:t xml:space="preserve">specific to </w:t>
            </w:r>
            <w:r w:rsidR="00DC39C7">
              <w:rPr>
                <w:lang w:eastAsia="en-AU"/>
              </w:rPr>
              <w:t>gendered segregation</w:t>
            </w:r>
            <w:r w:rsidRPr="005F70DA">
              <w:rPr>
                <w:lang w:eastAsia="en-AU"/>
              </w:rPr>
              <w:t>. They are used</w:t>
            </w:r>
            <w:r>
              <w:rPr>
                <w:lang w:eastAsia="en-AU"/>
              </w:rPr>
              <w:t xml:space="preserve"> to assess the gender segregation density at the sector and industry level.</w:t>
            </w:r>
          </w:p>
          <w:p w14:paraId="00DD0B32" w14:textId="37B50F3D" w:rsidR="00C961C6" w:rsidRDefault="00C40F48" w:rsidP="005F688D">
            <w:pPr>
              <w:pStyle w:val="Bodyafterbullets"/>
              <w:rPr>
                <w:lang w:eastAsia="en-AU"/>
              </w:rPr>
            </w:pPr>
            <w:r>
              <w:rPr>
                <w:lang w:eastAsia="en-AU"/>
              </w:rPr>
              <w:t xml:space="preserve">More information about these ratings can be found in </w:t>
            </w:r>
            <w:hyperlink w:anchor="_Appendix_1:_Data" w:history="1">
              <w:r w:rsidRPr="00EA34F8">
                <w:rPr>
                  <w:rStyle w:val="Hyperlink"/>
                  <w:rFonts w:cs="Times New Roman"/>
                  <w:lang w:eastAsia="en-AU"/>
                </w:rPr>
                <w:t xml:space="preserve">Appendix 1: Data and </w:t>
              </w:r>
              <w:r w:rsidR="00CC23CB">
                <w:rPr>
                  <w:rStyle w:val="Hyperlink"/>
                  <w:rFonts w:cs="Times New Roman"/>
                  <w:lang w:eastAsia="en-AU"/>
                </w:rPr>
                <w:t>m</w:t>
              </w:r>
              <w:r w:rsidRPr="00EA34F8">
                <w:rPr>
                  <w:rStyle w:val="Hyperlink"/>
                  <w:rFonts w:cs="Times New Roman"/>
                  <w:lang w:eastAsia="en-AU"/>
                </w:rPr>
                <w:t>ethods</w:t>
              </w:r>
            </w:hyperlink>
            <w:r>
              <w:rPr>
                <w:lang w:eastAsia="en-AU"/>
              </w:rPr>
              <w:t>.</w:t>
            </w:r>
          </w:p>
          <w:p w14:paraId="0624A3BE" w14:textId="388AEBA9" w:rsidR="00C961C6" w:rsidRDefault="0098146B" w:rsidP="005F688D">
            <w:pPr>
              <w:pStyle w:val="Bodyafterbullets"/>
              <w:rPr>
                <w:lang w:eastAsia="en-AU"/>
              </w:rPr>
            </w:pPr>
            <w:r w:rsidRPr="0098146B">
              <w:rPr>
                <w:lang w:eastAsia="en-AU"/>
              </w:rPr>
              <w:t xml:space="preserve">The Commission also provides data and analysis about several types of </w:t>
            </w:r>
            <w:r w:rsidRPr="00FB7E22">
              <w:rPr>
                <w:b/>
                <w:bCs/>
                <w:lang w:eastAsia="en-AU"/>
              </w:rPr>
              <w:t>‘gender gaps’</w:t>
            </w:r>
            <w:r w:rsidRPr="0098146B">
              <w:rPr>
                <w:lang w:eastAsia="en-AU"/>
              </w:rPr>
              <w:t xml:space="preserve"> in this report. Beyond the more familiar gender pay gap, these include gender gaps in parental leave taking, promotions, development opportunities and uptake of part-time and flexible work. You can read more about how the Commission uses ‘gender gap’ measures to reveal structural inequalities in </w:t>
            </w:r>
            <w:hyperlink w:anchor="_Appendix_1:_Data" w:history="1">
              <w:r w:rsidR="00B63F67" w:rsidRPr="00EA34F8">
                <w:rPr>
                  <w:rStyle w:val="Hyperlink"/>
                  <w:rFonts w:cs="Times New Roman"/>
                  <w:lang w:eastAsia="en-AU"/>
                </w:rPr>
                <w:t xml:space="preserve">Appendix 1: Data and </w:t>
              </w:r>
              <w:r w:rsidR="00CC23CB">
                <w:rPr>
                  <w:rStyle w:val="Hyperlink"/>
                  <w:rFonts w:cs="Times New Roman"/>
                  <w:lang w:eastAsia="en-AU"/>
                </w:rPr>
                <w:t>m</w:t>
              </w:r>
              <w:r w:rsidR="00B63F67" w:rsidRPr="00EA34F8">
                <w:rPr>
                  <w:rStyle w:val="Hyperlink"/>
                  <w:rFonts w:cs="Times New Roman"/>
                  <w:lang w:eastAsia="en-AU"/>
                </w:rPr>
                <w:t>ethods</w:t>
              </w:r>
            </w:hyperlink>
            <w:r w:rsidR="00C40F48">
              <w:rPr>
                <w:lang w:eastAsia="en-AU"/>
              </w:rPr>
              <w:t>.</w:t>
            </w:r>
          </w:p>
        </w:tc>
      </w:tr>
    </w:tbl>
    <w:p w14:paraId="64478532" w14:textId="77777777" w:rsidR="00F43108" w:rsidRDefault="00F43108" w:rsidP="00F43108">
      <w:pPr>
        <w:spacing w:after="0" w:line="240" w:lineRule="auto"/>
        <w:rPr>
          <w:rFonts w:eastAsia="Times"/>
          <w:lang w:eastAsia="en-AU"/>
        </w:rPr>
      </w:pPr>
    </w:p>
    <w:p w14:paraId="12810CB2" w14:textId="04DBF353" w:rsidR="00272BFA" w:rsidRDefault="00A167E4" w:rsidP="00152BCF">
      <w:pPr>
        <w:pStyle w:val="Heading1"/>
      </w:pPr>
      <w:bookmarkStart w:id="17" w:name="_Toc237259513"/>
      <w:r>
        <w:lastRenderedPageBreak/>
        <w:t>Indicator 1: Gender composition of the workforce</w:t>
      </w:r>
      <w:bookmarkEnd w:id="17"/>
    </w:p>
    <w:p w14:paraId="55FB5694" w14:textId="3877390E" w:rsidR="00A167E4" w:rsidRDefault="00A167E4" w:rsidP="00A167E4">
      <w:pPr>
        <w:pStyle w:val="Heading2"/>
      </w:pPr>
      <w:bookmarkStart w:id="18" w:name="_Toc237259514"/>
      <w:r>
        <w:t>Why this matters</w:t>
      </w:r>
      <w:bookmarkEnd w:id="18"/>
    </w:p>
    <w:p w14:paraId="73317E2E" w14:textId="6CE9BC75" w:rsidR="00CB197E" w:rsidRPr="00F83B86" w:rsidRDefault="00946C8A" w:rsidP="0078531C">
      <w:pPr>
        <w:pStyle w:val="BodyText"/>
        <w:rPr>
          <w:rFonts w:cs="Arial"/>
          <w:lang w:eastAsia="en-AU"/>
        </w:rPr>
      </w:pPr>
      <w:r w:rsidRPr="00946C8A">
        <w:t xml:space="preserve">Across organisations, men </w:t>
      </w:r>
      <w:r w:rsidR="007239A8">
        <w:t xml:space="preserve">continue to hold more seniority, status </w:t>
      </w:r>
      <w:r w:rsidR="002D009F">
        <w:t xml:space="preserve">and </w:t>
      </w:r>
      <w:r w:rsidR="002A664E">
        <w:t>pay</w:t>
      </w:r>
      <w:r w:rsidRPr="00946C8A">
        <w:t xml:space="preserve"> than women. They also tend to</w:t>
      </w:r>
      <w:r w:rsidR="002D009F">
        <w:t xml:space="preserve"> </w:t>
      </w:r>
      <w:r w:rsidR="0041509C">
        <w:t>have greater</w:t>
      </w:r>
      <w:r w:rsidR="007239A8">
        <w:t xml:space="preserve"> access to </w:t>
      </w:r>
      <w:r w:rsidR="00B052D2">
        <w:t xml:space="preserve">career development and </w:t>
      </w:r>
      <w:r w:rsidRPr="00946C8A">
        <w:t xml:space="preserve">promotion </w:t>
      </w:r>
      <w:r w:rsidR="00664CF7">
        <w:t xml:space="preserve">(as discussed </w:t>
      </w:r>
      <w:r w:rsidR="00097F3F">
        <w:t xml:space="preserve">under </w:t>
      </w:r>
      <w:hyperlink w:anchor="_Indicator_5:_Recruitment" w:history="1">
        <w:r w:rsidR="00097F3F" w:rsidRPr="002C001B">
          <w:rPr>
            <w:rStyle w:val="Hyperlink"/>
            <w:rFonts w:cs="Times New Roman"/>
          </w:rPr>
          <w:t>Indicator 5</w:t>
        </w:r>
        <w:r w:rsidR="002C001B" w:rsidRPr="002C001B">
          <w:rPr>
            <w:rStyle w:val="Hyperlink"/>
            <w:rFonts w:cs="Times New Roman"/>
          </w:rPr>
          <w:t>: Recruitment and promotion</w:t>
        </w:r>
      </w:hyperlink>
      <w:r w:rsidR="00097F3F">
        <w:t>)</w:t>
      </w:r>
      <w:r w:rsidRPr="00946C8A">
        <w:t xml:space="preserve"> –</w:t>
      </w:r>
      <w:r w:rsidR="0041509C">
        <w:t xml:space="preserve"> including </w:t>
      </w:r>
      <w:r w:rsidR="006678A8">
        <w:t>secondments, higher duties</w:t>
      </w:r>
      <w:r w:rsidR="000A710B">
        <w:t>,</w:t>
      </w:r>
      <w:r w:rsidR="0008196A">
        <w:t xml:space="preserve"> and training</w:t>
      </w:r>
      <w:r w:rsidR="007239A8">
        <w:t xml:space="preserve">. </w:t>
      </w:r>
      <w:r w:rsidRPr="00946C8A">
        <w:t>This unequal</w:t>
      </w:r>
      <w:r w:rsidR="00C019F5" w:rsidRPr="00946C8A">
        <w:t xml:space="preserve"> composition contributes to the gender pay gap</w:t>
      </w:r>
      <w:r w:rsidRPr="00946C8A">
        <w:t xml:space="preserve"> and </w:t>
      </w:r>
      <w:r w:rsidR="00C019F5" w:rsidRPr="00946C8A">
        <w:t xml:space="preserve">means organisations may </w:t>
      </w:r>
      <w:r w:rsidRPr="00946C8A">
        <w:t xml:space="preserve">not </w:t>
      </w:r>
      <w:r w:rsidR="00C019F5" w:rsidRPr="00946C8A">
        <w:t xml:space="preserve">be </w:t>
      </w:r>
      <w:r w:rsidRPr="00946C8A">
        <w:t>drawing fully</w:t>
      </w:r>
      <w:r w:rsidR="00C019F5" w:rsidRPr="00946C8A">
        <w:t xml:space="preserve"> on the expertise of women at senior levels. </w:t>
      </w:r>
      <w:r w:rsidR="007F7A36">
        <w:t xml:space="preserve">Even </w:t>
      </w:r>
      <w:r w:rsidRPr="00946C8A">
        <w:t>where</w:t>
      </w:r>
      <w:r w:rsidR="007F7A36">
        <w:t xml:space="preserve"> an organisation has </w:t>
      </w:r>
      <w:r w:rsidRPr="00946C8A">
        <w:t>a roughly</w:t>
      </w:r>
      <w:r w:rsidR="007F7A36">
        <w:t xml:space="preserve"> equal spread of genders overall, w</w:t>
      </w:r>
      <w:r w:rsidR="008E3ED8" w:rsidRPr="00946C8A">
        <w:t>omen are often</w:t>
      </w:r>
      <w:r w:rsidRPr="00946C8A">
        <w:t xml:space="preserve"> </w:t>
      </w:r>
      <w:r w:rsidR="008E3ED8" w:rsidRPr="00946C8A">
        <w:t xml:space="preserve">underrepresented in leadership and overrepresented in </w:t>
      </w:r>
      <w:r w:rsidR="00BF6ACE" w:rsidRPr="00946C8A">
        <w:t>lower-level</w:t>
      </w:r>
      <w:r w:rsidR="008E3ED8" w:rsidRPr="00946C8A">
        <w:t xml:space="preserve"> roles.</w:t>
      </w:r>
      <w:r w:rsidR="00CB197E" w:rsidRPr="00946C8A">
        <w:t xml:space="preserve"> As </w:t>
      </w:r>
      <w:r w:rsidRPr="00946C8A">
        <w:t>discussed</w:t>
      </w:r>
      <w:r w:rsidR="00CB197E" w:rsidRPr="00F83B86">
        <w:rPr>
          <w:rFonts w:cs="Arial"/>
          <w:lang w:eastAsia="en-AU"/>
        </w:rPr>
        <w:t xml:space="preserve"> under </w:t>
      </w:r>
      <w:hyperlink w:anchor="_Indicator_7:_Gendered" w:history="1">
        <w:r w:rsidR="00630C02" w:rsidRPr="00630C02">
          <w:rPr>
            <w:rStyle w:val="Hyperlink"/>
            <w:rFonts w:cs="Arial"/>
            <w:lang w:eastAsia="en-AU"/>
          </w:rPr>
          <w:t>I</w:t>
        </w:r>
        <w:r w:rsidR="00CB197E" w:rsidRPr="00630C02">
          <w:rPr>
            <w:rStyle w:val="Hyperlink"/>
            <w:rFonts w:cs="Arial"/>
            <w:lang w:eastAsia="en-AU"/>
          </w:rPr>
          <w:t>ndicator 7</w:t>
        </w:r>
        <w:r w:rsidR="00630C02" w:rsidRPr="00630C02">
          <w:rPr>
            <w:rStyle w:val="Hyperlink"/>
            <w:rFonts w:cs="Arial"/>
            <w:lang w:eastAsia="en-AU"/>
          </w:rPr>
          <w:t xml:space="preserve">: </w:t>
        </w:r>
        <w:r w:rsidR="00630C02">
          <w:rPr>
            <w:rStyle w:val="Hyperlink"/>
            <w:rFonts w:cs="Arial"/>
            <w:lang w:eastAsia="en-AU"/>
          </w:rPr>
          <w:t xml:space="preserve">Gendered </w:t>
        </w:r>
        <w:r w:rsidR="00630C02" w:rsidRPr="00630C02">
          <w:rPr>
            <w:rStyle w:val="Hyperlink"/>
            <w:rFonts w:cs="Arial"/>
            <w:lang w:eastAsia="en-AU"/>
          </w:rPr>
          <w:t>segregation</w:t>
        </w:r>
      </w:hyperlink>
      <w:r w:rsidR="00CB197E" w:rsidRPr="00F83B86">
        <w:rPr>
          <w:rFonts w:cs="Arial"/>
          <w:lang w:eastAsia="en-AU"/>
        </w:rPr>
        <w:t xml:space="preserve">, </w:t>
      </w:r>
      <w:r w:rsidR="00AF494A">
        <w:rPr>
          <w:rFonts w:cs="Arial"/>
          <w:lang w:eastAsia="en-AU"/>
        </w:rPr>
        <w:t>men</w:t>
      </w:r>
      <w:r w:rsidR="00336830">
        <w:rPr>
          <w:rFonts w:cs="Arial"/>
          <w:lang w:eastAsia="en-AU"/>
        </w:rPr>
        <w:t xml:space="preserve"> are over-represented in</w:t>
      </w:r>
      <w:r w:rsidR="00AF494A">
        <w:rPr>
          <w:rFonts w:cs="Arial"/>
          <w:lang w:eastAsia="en-AU"/>
        </w:rPr>
        <w:t xml:space="preserve"> leadership roles in </w:t>
      </w:r>
      <w:r w:rsidR="000E11E6">
        <w:rPr>
          <w:rFonts w:cs="Arial"/>
          <w:lang w:eastAsia="en-AU"/>
        </w:rPr>
        <w:t xml:space="preserve">both </w:t>
      </w:r>
      <w:r w:rsidR="00755236">
        <w:rPr>
          <w:rFonts w:cs="Arial"/>
          <w:lang w:eastAsia="en-AU"/>
        </w:rPr>
        <w:t>men</w:t>
      </w:r>
      <w:r w:rsidR="000E11E6">
        <w:rPr>
          <w:rFonts w:cs="Arial"/>
          <w:lang w:eastAsia="en-AU"/>
        </w:rPr>
        <w:t xml:space="preserve">-concentrated and </w:t>
      </w:r>
      <w:r w:rsidR="00CB197E" w:rsidRPr="00F83B86">
        <w:rPr>
          <w:rFonts w:cs="Arial"/>
          <w:lang w:eastAsia="en-AU"/>
        </w:rPr>
        <w:t xml:space="preserve">women-concentrated industries. </w:t>
      </w:r>
    </w:p>
    <w:p w14:paraId="0C21BC0E" w14:textId="68CBAA79" w:rsidR="00811CEC" w:rsidRDefault="00F83B86" w:rsidP="0078531C">
      <w:pPr>
        <w:pStyle w:val="BodyText"/>
        <w:rPr>
          <w:lang w:eastAsia="en-AU"/>
        </w:rPr>
      </w:pPr>
      <w:r>
        <w:rPr>
          <w:lang w:eastAsia="en-AU"/>
        </w:rPr>
        <w:t xml:space="preserve">Another way of looking at </w:t>
      </w:r>
      <w:r w:rsidR="0087327A">
        <w:rPr>
          <w:lang w:eastAsia="en-AU"/>
        </w:rPr>
        <w:t xml:space="preserve">the </w:t>
      </w:r>
      <w:r w:rsidR="00384237">
        <w:rPr>
          <w:lang w:eastAsia="en-AU"/>
        </w:rPr>
        <w:t>gender</w:t>
      </w:r>
      <w:r>
        <w:rPr>
          <w:lang w:eastAsia="en-AU"/>
        </w:rPr>
        <w:t xml:space="preserve"> composition</w:t>
      </w:r>
      <w:r w:rsidR="00DC1FE1">
        <w:rPr>
          <w:lang w:eastAsia="en-AU"/>
        </w:rPr>
        <w:t xml:space="preserve"> of </w:t>
      </w:r>
      <w:r w:rsidR="006113C9">
        <w:rPr>
          <w:lang w:eastAsia="en-AU"/>
        </w:rPr>
        <w:t xml:space="preserve">a </w:t>
      </w:r>
      <w:r w:rsidR="00DC1FE1">
        <w:rPr>
          <w:lang w:eastAsia="en-AU"/>
        </w:rPr>
        <w:t>workforce</w:t>
      </w:r>
      <w:r>
        <w:rPr>
          <w:lang w:eastAsia="en-AU"/>
        </w:rPr>
        <w:t xml:space="preserve"> is to consider who works part</w:t>
      </w:r>
      <w:r w:rsidR="00687E2E">
        <w:rPr>
          <w:lang w:eastAsia="en-AU"/>
        </w:rPr>
        <w:t xml:space="preserve"> </w:t>
      </w:r>
      <w:r>
        <w:rPr>
          <w:lang w:eastAsia="en-AU"/>
        </w:rPr>
        <w:t>time</w:t>
      </w:r>
      <w:r w:rsidR="00ED5CFE">
        <w:rPr>
          <w:lang w:eastAsia="en-AU"/>
        </w:rPr>
        <w:t xml:space="preserve">. </w:t>
      </w:r>
      <w:r w:rsidR="00E42BCA">
        <w:rPr>
          <w:lang w:eastAsia="en-AU"/>
        </w:rPr>
        <w:t xml:space="preserve">At an individual level, </w:t>
      </w:r>
      <w:r>
        <w:rPr>
          <w:lang w:eastAsia="en-AU"/>
        </w:rPr>
        <w:t>part-time options</w:t>
      </w:r>
      <w:r w:rsidR="000F7FFB">
        <w:rPr>
          <w:lang w:eastAsia="en-AU"/>
        </w:rPr>
        <w:t xml:space="preserve"> can help </w:t>
      </w:r>
      <w:r w:rsidR="009C099A">
        <w:rPr>
          <w:lang w:eastAsia="en-AU"/>
        </w:rPr>
        <w:t xml:space="preserve">many people </w:t>
      </w:r>
      <w:r w:rsidR="000F7FFB">
        <w:rPr>
          <w:lang w:eastAsia="en-AU"/>
        </w:rPr>
        <w:t xml:space="preserve">to balance caring responsibilities with paid work. </w:t>
      </w:r>
      <w:r w:rsidR="003118C9">
        <w:t>But where part-time work is taken up overwhelmingly by women, it can entrench unequal divisions of unpaid care and contribute to the gender pay gap</w:t>
      </w:r>
      <w:r w:rsidR="001D41B0">
        <w:t>. This is</w:t>
      </w:r>
      <w:r w:rsidR="003118C9">
        <w:t xml:space="preserve"> because part-time roles often carry fewer progression opportunities, or a narrower range of roles to progress into. Supporting more men to work part time is part of shifting this pattern.</w:t>
      </w:r>
      <w:r w:rsidR="00865E7A">
        <w:t xml:space="preserve"> Making sure people </w:t>
      </w:r>
      <w:r w:rsidR="00542AB5">
        <w:t xml:space="preserve">who </w:t>
      </w:r>
      <w:r w:rsidR="00865E7A">
        <w:t xml:space="preserve">work part time </w:t>
      </w:r>
      <w:r w:rsidR="009909A8">
        <w:t>have opportunities to progress is also important.</w:t>
      </w:r>
    </w:p>
    <w:p w14:paraId="5A5EF317" w14:textId="0DF8021A" w:rsidR="00662FD1" w:rsidRPr="003E33A0" w:rsidRDefault="00662FD1" w:rsidP="0078531C">
      <w:pPr>
        <w:pStyle w:val="BodyText"/>
      </w:pPr>
      <w:r w:rsidRPr="00D17F4C">
        <w:t xml:space="preserve">Organisations can use workforce composition </w:t>
      </w:r>
      <w:r w:rsidR="001B2B73" w:rsidRPr="001B2B73">
        <w:t xml:space="preserve">data </w:t>
      </w:r>
      <w:r w:rsidRPr="00D17F4C">
        <w:t xml:space="preserve">to see which roles and </w:t>
      </w:r>
      <w:r w:rsidR="00715F28">
        <w:t>employment types</w:t>
      </w:r>
      <w:r w:rsidRPr="00D17F4C">
        <w:t xml:space="preserve"> </w:t>
      </w:r>
      <w:r w:rsidR="001B2B73" w:rsidRPr="001B2B73">
        <w:t>skew towards</w:t>
      </w:r>
      <w:r w:rsidR="00140C86">
        <w:t xml:space="preserve"> one gender,</w:t>
      </w:r>
      <w:r w:rsidRPr="00D17F4C">
        <w:t xml:space="preserve"> and</w:t>
      </w:r>
      <w:r w:rsidR="00140C86">
        <w:t xml:space="preserve"> to</w:t>
      </w:r>
      <w:r w:rsidRPr="00D17F4C">
        <w:t xml:space="preserve"> </w:t>
      </w:r>
      <w:r w:rsidR="001B2B73" w:rsidRPr="001B2B73">
        <w:t>plan</w:t>
      </w:r>
      <w:r w:rsidRPr="00D17F4C">
        <w:t xml:space="preserve"> how to </w:t>
      </w:r>
      <w:r w:rsidR="001B2B73" w:rsidRPr="001B2B73">
        <w:t>move towards balance.</w:t>
      </w:r>
      <w:r w:rsidR="00256310">
        <w:t xml:space="preserve"> You can read more about the importance of </w:t>
      </w:r>
      <w:r w:rsidR="00C91D65">
        <w:t xml:space="preserve">gender-balanced workforce composition in the </w:t>
      </w:r>
      <w:hyperlink r:id="rId24" w:history="1">
        <w:r w:rsidR="00C91D65" w:rsidRPr="00873EEB">
          <w:rPr>
            <w:rStyle w:val="Hyperlink"/>
            <w:rFonts w:cs="Times New Roman"/>
          </w:rPr>
          <w:t>Baseline report</w:t>
        </w:r>
      </w:hyperlink>
      <w:r w:rsidR="00C91D65">
        <w:t xml:space="preserve"> (2021, pp. 22-23).</w:t>
      </w:r>
      <w:r w:rsidR="000D6297">
        <w:t xml:space="preserve"> </w:t>
      </w:r>
    </w:p>
    <w:p w14:paraId="450E7FB6" w14:textId="75695DB5" w:rsidR="0003515F" w:rsidRDefault="0003515F" w:rsidP="0003515F">
      <w:pPr>
        <w:pStyle w:val="Heading2"/>
      </w:pPr>
      <w:bookmarkStart w:id="19" w:name="_Toc237259515"/>
      <w:r>
        <w:t>How we define progress</w:t>
      </w:r>
      <w:bookmarkEnd w:id="19"/>
    </w:p>
    <w:p w14:paraId="2193DCC1" w14:textId="496D2A60" w:rsidR="008B6957" w:rsidRPr="008B6957" w:rsidRDefault="008B6957" w:rsidP="0078531C">
      <w:pPr>
        <w:pStyle w:val="BodyText"/>
        <w:rPr>
          <w:lang w:eastAsia="en-AU"/>
        </w:rPr>
      </w:pPr>
      <w:bookmarkStart w:id="20" w:name="_Hlk204517965"/>
      <w:r w:rsidRPr="008B6957">
        <w:rPr>
          <w:lang w:eastAsia="en-AU"/>
        </w:rPr>
        <w:t>Progress means moving towards a 45:45:10 framework (45% women, 45% men, 10% any gender) at all levels of the workforce. Importantly, this is a goal of balance, not of reducing women</w:t>
      </w:r>
      <w:r w:rsidR="002F55AB">
        <w:rPr>
          <w:lang w:eastAsia="en-AU"/>
        </w:rPr>
        <w:t>’</w:t>
      </w:r>
      <w:r w:rsidRPr="008B6957">
        <w:rPr>
          <w:lang w:eastAsia="en-AU"/>
        </w:rPr>
        <w:t>s representation</w:t>
      </w:r>
      <w:r w:rsidR="009909A8">
        <w:rPr>
          <w:lang w:eastAsia="en-AU"/>
        </w:rPr>
        <w:t>. I</w:t>
      </w:r>
      <w:r w:rsidRPr="008B6957">
        <w:rPr>
          <w:lang w:eastAsia="en-AU"/>
        </w:rPr>
        <w:t xml:space="preserve">n a sector that is around two-thirds women, </w:t>
      </w:r>
      <w:r w:rsidR="00B83C22">
        <w:rPr>
          <w:lang w:eastAsia="en-AU"/>
        </w:rPr>
        <w:t xml:space="preserve">progress </w:t>
      </w:r>
      <w:r w:rsidR="00396DFD">
        <w:rPr>
          <w:lang w:eastAsia="en-AU"/>
        </w:rPr>
        <w:t>is</w:t>
      </w:r>
      <w:r w:rsidR="005E6D06">
        <w:rPr>
          <w:lang w:eastAsia="en-AU"/>
        </w:rPr>
        <w:t xml:space="preserve"> when</w:t>
      </w:r>
      <w:r w:rsidRPr="008B6957">
        <w:rPr>
          <w:lang w:eastAsia="en-AU"/>
        </w:rPr>
        <w:t xml:space="preserve"> women-concentrated organisations attract and retain more men, and men-concentrated organisations attract and retain more women – at every level, not only overall.</w:t>
      </w:r>
    </w:p>
    <w:p w14:paraId="4088AE5B" w14:textId="5B01E0B5" w:rsidR="008B6957" w:rsidRPr="008B6957" w:rsidRDefault="008B6957" w:rsidP="0078531C">
      <w:pPr>
        <w:pStyle w:val="BodyText"/>
        <w:rPr>
          <w:lang w:eastAsia="en-AU"/>
        </w:rPr>
      </w:pPr>
      <w:r w:rsidRPr="008B6957">
        <w:rPr>
          <w:lang w:eastAsia="en-AU"/>
        </w:rPr>
        <w:t xml:space="preserve">At the senior leadership level, the gender split should closely mirror the composition of the organisation as a whole. Women-concentrated organisations still frequently have an overrepresentation of men in leadership, so in those cases a greater share of leadership roles </w:t>
      </w:r>
      <w:r w:rsidR="00B24872">
        <w:rPr>
          <w:lang w:eastAsia="en-AU"/>
        </w:rPr>
        <w:t>being held by</w:t>
      </w:r>
      <w:r w:rsidRPr="008B6957">
        <w:rPr>
          <w:lang w:eastAsia="en-AU"/>
        </w:rPr>
        <w:t xml:space="preserve"> women represents progress.</w:t>
      </w:r>
    </w:p>
    <w:p w14:paraId="62B35F81" w14:textId="5AB4953C" w:rsidR="007A6A34" w:rsidRDefault="001863B6" w:rsidP="0078531C">
      <w:pPr>
        <w:pStyle w:val="BodyText"/>
        <w:rPr>
          <w:lang w:eastAsia="en-AU"/>
        </w:rPr>
      </w:pPr>
      <w:r>
        <w:rPr>
          <w:lang w:eastAsia="en-AU"/>
        </w:rPr>
        <w:t xml:space="preserve">In some </w:t>
      </w:r>
      <w:r w:rsidR="00C343C7">
        <w:rPr>
          <w:lang w:eastAsia="en-AU"/>
        </w:rPr>
        <w:t>men-concentrated organisations</w:t>
      </w:r>
      <w:r w:rsidR="008B6957" w:rsidRPr="008B6957">
        <w:rPr>
          <w:lang w:eastAsia="en-AU"/>
        </w:rPr>
        <w:t xml:space="preserve">, it may make sense to </w:t>
      </w:r>
      <w:r w:rsidR="0035062C">
        <w:rPr>
          <w:lang w:eastAsia="en-AU"/>
        </w:rPr>
        <w:t>aim for</w:t>
      </w:r>
      <w:r w:rsidR="0017736A">
        <w:rPr>
          <w:lang w:eastAsia="en-AU"/>
        </w:rPr>
        <w:t xml:space="preserve"> a </w:t>
      </w:r>
      <w:r w:rsidR="008B6957" w:rsidRPr="008B6957">
        <w:rPr>
          <w:lang w:eastAsia="en-AU"/>
        </w:rPr>
        <w:t>higher</w:t>
      </w:r>
      <w:r w:rsidR="0017736A">
        <w:rPr>
          <w:lang w:eastAsia="en-AU"/>
        </w:rPr>
        <w:t xml:space="preserve"> proportion of women in senior </w:t>
      </w:r>
      <w:r w:rsidR="007A6A34">
        <w:rPr>
          <w:lang w:eastAsia="en-AU"/>
        </w:rPr>
        <w:t>roles</w:t>
      </w:r>
      <w:r w:rsidR="00C3689B">
        <w:rPr>
          <w:lang w:eastAsia="en-AU"/>
        </w:rPr>
        <w:t xml:space="preserve"> than </w:t>
      </w:r>
      <w:r w:rsidR="008B6957" w:rsidRPr="008B6957">
        <w:rPr>
          <w:lang w:eastAsia="en-AU"/>
        </w:rPr>
        <w:t>in the workforce overall.</w:t>
      </w:r>
      <w:r w:rsidR="00C3689B">
        <w:rPr>
          <w:lang w:eastAsia="en-AU"/>
        </w:rPr>
        <w:t xml:space="preserve"> </w:t>
      </w:r>
      <w:r w:rsidR="007E7ACE">
        <w:rPr>
          <w:lang w:eastAsia="en-AU"/>
        </w:rPr>
        <w:t>For example, i</w:t>
      </w:r>
      <w:r w:rsidR="007A6A34">
        <w:rPr>
          <w:lang w:eastAsia="en-AU"/>
        </w:rPr>
        <w:t>n police and emergency services</w:t>
      </w:r>
      <w:r w:rsidR="007E7ACE">
        <w:rPr>
          <w:lang w:eastAsia="en-AU"/>
        </w:rPr>
        <w:t xml:space="preserve"> </w:t>
      </w:r>
      <w:r w:rsidR="007A6A34">
        <w:rPr>
          <w:lang w:eastAsia="en-AU"/>
        </w:rPr>
        <w:t xml:space="preserve">women </w:t>
      </w:r>
      <w:r w:rsidR="00A961CF">
        <w:rPr>
          <w:lang w:eastAsia="en-AU"/>
        </w:rPr>
        <w:t>are</w:t>
      </w:r>
      <w:r w:rsidR="007A6A34">
        <w:rPr>
          <w:lang w:eastAsia="en-AU"/>
        </w:rPr>
        <w:t xml:space="preserve"> less than </w:t>
      </w:r>
      <w:r w:rsidR="005F352F">
        <w:rPr>
          <w:lang w:eastAsia="en-AU"/>
        </w:rPr>
        <w:t>4</w:t>
      </w:r>
      <w:r w:rsidR="007A6A34">
        <w:rPr>
          <w:lang w:eastAsia="en-AU"/>
        </w:rPr>
        <w:t>0% of all employees</w:t>
      </w:r>
      <w:r w:rsidR="00B47E46">
        <w:rPr>
          <w:lang w:eastAsia="en-AU"/>
        </w:rPr>
        <w:t xml:space="preserve">, </w:t>
      </w:r>
      <w:r w:rsidR="00367BC2">
        <w:rPr>
          <w:lang w:eastAsia="en-AU"/>
        </w:rPr>
        <w:t xml:space="preserve">so </w:t>
      </w:r>
      <w:r w:rsidR="005924DF">
        <w:rPr>
          <w:lang w:eastAsia="en-AU"/>
        </w:rPr>
        <w:t>these</w:t>
      </w:r>
      <w:r w:rsidR="008B6957" w:rsidRPr="008B6957">
        <w:rPr>
          <w:lang w:eastAsia="en-AU"/>
        </w:rPr>
        <w:t xml:space="preserve"> duty</w:t>
      </w:r>
      <w:r w:rsidR="007E7ACE">
        <w:rPr>
          <w:lang w:eastAsia="en-AU"/>
        </w:rPr>
        <w:t xml:space="preserve"> holders </w:t>
      </w:r>
      <w:r w:rsidR="001E5326">
        <w:rPr>
          <w:lang w:eastAsia="en-AU"/>
        </w:rPr>
        <w:t xml:space="preserve">could aim for a </w:t>
      </w:r>
      <w:r w:rsidR="008B6957" w:rsidRPr="008B6957">
        <w:rPr>
          <w:lang w:eastAsia="en-AU"/>
        </w:rPr>
        <w:t xml:space="preserve">45:45:10 </w:t>
      </w:r>
      <w:r w:rsidR="001E5326">
        <w:rPr>
          <w:lang w:eastAsia="en-AU"/>
        </w:rPr>
        <w:t>senior leadership</w:t>
      </w:r>
      <w:r w:rsidR="006D67CA">
        <w:rPr>
          <w:lang w:eastAsia="en-AU"/>
        </w:rPr>
        <w:t xml:space="preserve"> </w:t>
      </w:r>
      <w:r w:rsidR="008B6957" w:rsidRPr="008B6957">
        <w:rPr>
          <w:lang w:eastAsia="en-AU"/>
        </w:rPr>
        <w:t>split</w:t>
      </w:r>
      <w:r w:rsidR="005924DF">
        <w:rPr>
          <w:lang w:eastAsia="en-AU"/>
        </w:rPr>
        <w:t>. This could</w:t>
      </w:r>
      <w:r w:rsidR="008F4668">
        <w:rPr>
          <w:lang w:eastAsia="en-AU"/>
        </w:rPr>
        <w:t xml:space="preserve"> </w:t>
      </w:r>
      <w:r w:rsidR="008B6957" w:rsidRPr="008B6957">
        <w:rPr>
          <w:lang w:eastAsia="en-AU"/>
        </w:rPr>
        <w:t xml:space="preserve">help </w:t>
      </w:r>
      <w:r w:rsidR="008F4668">
        <w:rPr>
          <w:lang w:eastAsia="en-AU"/>
        </w:rPr>
        <w:t xml:space="preserve">drive </w:t>
      </w:r>
      <w:r w:rsidR="0063296C">
        <w:rPr>
          <w:lang w:eastAsia="en-AU"/>
        </w:rPr>
        <w:t xml:space="preserve">broader </w:t>
      </w:r>
      <w:r w:rsidR="008B6957" w:rsidRPr="008B6957">
        <w:rPr>
          <w:lang w:eastAsia="en-AU"/>
        </w:rPr>
        <w:t xml:space="preserve">change, </w:t>
      </w:r>
      <w:r w:rsidR="005924DF">
        <w:rPr>
          <w:lang w:eastAsia="en-AU"/>
        </w:rPr>
        <w:t>because</w:t>
      </w:r>
      <w:r w:rsidR="008B6957" w:rsidRPr="008B6957">
        <w:rPr>
          <w:lang w:eastAsia="en-AU"/>
        </w:rPr>
        <w:t xml:space="preserve"> stronger representation of </w:t>
      </w:r>
      <w:r w:rsidR="00A53D18">
        <w:rPr>
          <w:lang w:eastAsia="en-AU"/>
        </w:rPr>
        <w:t>women in leadership</w:t>
      </w:r>
      <w:r w:rsidR="0063296C">
        <w:rPr>
          <w:lang w:eastAsia="en-AU"/>
        </w:rPr>
        <w:t xml:space="preserve"> </w:t>
      </w:r>
      <w:r w:rsidR="008B6957" w:rsidRPr="008B6957">
        <w:rPr>
          <w:lang w:eastAsia="en-AU"/>
        </w:rPr>
        <w:t xml:space="preserve">can support equality more widely </w:t>
      </w:r>
      <w:r w:rsidR="0063296C">
        <w:rPr>
          <w:lang w:eastAsia="en-AU"/>
        </w:rPr>
        <w:t>(</w:t>
      </w:r>
      <w:hyperlink r:id="rId25">
        <w:r w:rsidR="3804823C" w:rsidRPr="00842693">
          <w:rPr>
            <w:rStyle w:val="Hyperlink"/>
            <w:rFonts w:cs="Times New Roman"/>
            <w:color w:val="auto"/>
            <w:u w:val="none"/>
          </w:rPr>
          <w:t>Gould</w:t>
        </w:r>
        <w:r w:rsidR="1C07A321" w:rsidRPr="00842693">
          <w:rPr>
            <w:rStyle w:val="Hyperlink"/>
            <w:rFonts w:cs="Times New Roman"/>
            <w:color w:val="auto"/>
            <w:u w:val="none"/>
          </w:rPr>
          <w:t xml:space="preserve"> </w:t>
        </w:r>
        <w:r w:rsidR="001A1A63">
          <w:rPr>
            <w:rStyle w:val="Hyperlink"/>
            <w:rFonts w:cs="Times New Roman"/>
            <w:color w:val="auto"/>
            <w:u w:val="none"/>
          </w:rPr>
          <w:t>et al.</w:t>
        </w:r>
        <w:r w:rsidR="1C07A321" w:rsidRPr="00842693">
          <w:rPr>
            <w:rStyle w:val="Hyperlink"/>
            <w:rFonts w:cs="Times New Roman"/>
            <w:color w:val="auto"/>
            <w:u w:val="none"/>
          </w:rPr>
          <w:t xml:space="preserve"> 2018</w:t>
        </w:r>
      </w:hyperlink>
      <w:r w:rsidR="1C07A321" w:rsidRPr="7140DB50">
        <w:rPr>
          <w:lang w:eastAsia="en-AU"/>
        </w:rPr>
        <w:t xml:space="preserve">). </w:t>
      </w:r>
    </w:p>
    <w:p w14:paraId="7575F63A" w14:textId="69F2DABE" w:rsidR="00483E3C" w:rsidRPr="008515BE" w:rsidRDefault="00A54877" w:rsidP="0078531C">
      <w:pPr>
        <w:pStyle w:val="BodyText"/>
        <w:rPr>
          <w:lang w:eastAsia="en-AU"/>
        </w:rPr>
      </w:pPr>
      <w:r>
        <w:rPr>
          <w:lang w:eastAsia="en-AU"/>
        </w:rPr>
        <w:t xml:space="preserve">Progress also includes </w:t>
      </w:r>
      <w:r w:rsidRPr="009C57F5">
        <w:rPr>
          <w:lang w:eastAsia="en-AU"/>
        </w:rPr>
        <w:t>addressing part-time work imbalances</w:t>
      </w:r>
      <w:r>
        <w:rPr>
          <w:lang w:eastAsia="en-AU"/>
        </w:rPr>
        <w:t>.</w:t>
      </w:r>
      <w:r w:rsidRPr="00E229C1">
        <w:rPr>
          <w:lang w:eastAsia="en-AU"/>
        </w:rPr>
        <w:t xml:space="preserve"> </w:t>
      </w:r>
      <w:r w:rsidR="00045E37">
        <w:rPr>
          <w:lang w:eastAsia="en-AU"/>
        </w:rPr>
        <w:t>I</w:t>
      </w:r>
      <w:r w:rsidR="00E229C1" w:rsidRPr="00E229C1">
        <w:rPr>
          <w:lang w:eastAsia="en-AU"/>
        </w:rPr>
        <w:t xml:space="preserve">n particular, </w:t>
      </w:r>
      <w:r w:rsidR="00045E37">
        <w:rPr>
          <w:lang w:eastAsia="en-AU"/>
        </w:rPr>
        <w:t>this means</w:t>
      </w:r>
      <w:r w:rsidR="00E229C1" w:rsidRPr="00E229C1">
        <w:rPr>
          <w:lang w:eastAsia="en-AU"/>
        </w:rPr>
        <w:t xml:space="preserve"> supporting men to take up </w:t>
      </w:r>
      <w:r w:rsidR="00E46E9A">
        <w:rPr>
          <w:lang w:eastAsia="en-AU"/>
        </w:rPr>
        <w:t>part</w:t>
      </w:r>
      <w:r w:rsidR="005A72DA">
        <w:rPr>
          <w:lang w:eastAsia="en-AU"/>
        </w:rPr>
        <w:t>-</w:t>
      </w:r>
      <w:r w:rsidR="00E46E9A">
        <w:rPr>
          <w:lang w:eastAsia="en-AU"/>
        </w:rPr>
        <w:t xml:space="preserve">time </w:t>
      </w:r>
      <w:r w:rsidR="00C65CA8">
        <w:rPr>
          <w:lang w:eastAsia="en-AU"/>
        </w:rPr>
        <w:t xml:space="preserve">work </w:t>
      </w:r>
      <w:r w:rsidR="00E46E9A">
        <w:rPr>
          <w:lang w:eastAsia="en-AU"/>
        </w:rPr>
        <w:t xml:space="preserve">options </w:t>
      </w:r>
      <w:r w:rsidR="00E229C1" w:rsidRPr="00E229C1">
        <w:rPr>
          <w:lang w:eastAsia="en-AU"/>
        </w:rPr>
        <w:t>so they can share more of the</w:t>
      </w:r>
      <w:r w:rsidR="00C83D4E">
        <w:rPr>
          <w:lang w:eastAsia="en-AU"/>
        </w:rPr>
        <w:t xml:space="preserve"> responsibilities </w:t>
      </w:r>
      <w:r w:rsidR="00E229C1" w:rsidRPr="00E229C1">
        <w:rPr>
          <w:lang w:eastAsia="en-AU"/>
        </w:rPr>
        <w:t xml:space="preserve">of care </w:t>
      </w:r>
      <w:r w:rsidR="00DD3D04">
        <w:rPr>
          <w:lang w:eastAsia="en-AU"/>
        </w:rPr>
        <w:t xml:space="preserve">at home and in their communities. </w:t>
      </w:r>
    </w:p>
    <w:p w14:paraId="46CDD2B0" w14:textId="08AD1A11" w:rsidR="0003515F" w:rsidRDefault="0003515F" w:rsidP="0003515F">
      <w:pPr>
        <w:pStyle w:val="Heading2"/>
      </w:pPr>
      <w:bookmarkStart w:id="21" w:name="_Toc237259516"/>
      <w:bookmarkEnd w:id="20"/>
      <w:r>
        <w:lastRenderedPageBreak/>
        <w:t xml:space="preserve">Progress </w:t>
      </w:r>
      <w:r w:rsidR="0046279A">
        <w:t>between</w:t>
      </w:r>
      <w:r>
        <w:t xml:space="preserve"> 2021</w:t>
      </w:r>
      <w:r w:rsidR="0046279A">
        <w:t xml:space="preserve"> and 2025</w:t>
      </w:r>
      <w:bookmarkEnd w:id="21"/>
    </w:p>
    <w:p w14:paraId="202AEFBE" w14:textId="2695A355" w:rsidR="00E714F8" w:rsidRDefault="00E714F8" w:rsidP="0078531C">
      <w:pPr>
        <w:pStyle w:val="BodyText"/>
        <w:rPr>
          <w:lang w:eastAsia="en-AU"/>
        </w:rPr>
      </w:pPr>
      <w:r>
        <w:rPr>
          <w:lang w:eastAsia="en-AU"/>
        </w:rPr>
        <w:t>While the</w:t>
      </w:r>
      <w:r w:rsidRPr="00E714F8">
        <w:rPr>
          <w:lang w:eastAsia="en-AU"/>
        </w:rPr>
        <w:t xml:space="preserve"> overall gender composition of the Victorian public sector workforce held steady across all </w:t>
      </w:r>
      <w:r w:rsidR="00DF6570">
        <w:rPr>
          <w:lang w:eastAsia="en-AU"/>
        </w:rPr>
        <w:t>3</w:t>
      </w:r>
      <w:r w:rsidR="00DF6570" w:rsidRPr="00E714F8">
        <w:rPr>
          <w:lang w:eastAsia="en-AU"/>
        </w:rPr>
        <w:t xml:space="preserve"> </w:t>
      </w:r>
      <w:r w:rsidRPr="00E714F8">
        <w:rPr>
          <w:lang w:eastAsia="en-AU"/>
        </w:rPr>
        <w:t>reporting years</w:t>
      </w:r>
      <w:r>
        <w:rPr>
          <w:lang w:eastAsia="en-AU"/>
        </w:rPr>
        <w:t>, b</w:t>
      </w:r>
      <w:r w:rsidRPr="00E714F8">
        <w:rPr>
          <w:lang w:eastAsia="en-AU"/>
        </w:rPr>
        <w:t>eneath that stability, encouraging shifts emerged between 2023 and 2025</w:t>
      </w:r>
      <w:r w:rsidR="00C24E12">
        <w:rPr>
          <w:lang w:eastAsia="en-AU"/>
        </w:rPr>
        <w:t>.</w:t>
      </w:r>
      <w:r w:rsidRPr="00E714F8">
        <w:rPr>
          <w:lang w:eastAsia="en-AU"/>
        </w:rPr>
        <w:t xml:space="preserve"> </w:t>
      </w:r>
      <w:r w:rsidR="00C24E12">
        <w:rPr>
          <w:lang w:eastAsia="en-AU"/>
        </w:rPr>
        <w:t>W</w:t>
      </w:r>
      <w:r w:rsidRPr="00E714F8">
        <w:rPr>
          <w:lang w:eastAsia="en-AU"/>
        </w:rPr>
        <w:t>omen</w:t>
      </w:r>
      <w:r w:rsidR="002F55AB">
        <w:rPr>
          <w:lang w:eastAsia="en-AU"/>
        </w:rPr>
        <w:t>’</w:t>
      </w:r>
      <w:r w:rsidRPr="00E714F8">
        <w:rPr>
          <w:lang w:eastAsia="en-AU"/>
        </w:rPr>
        <w:t>s representation in senior leadership rose, and the gender gap in part-time work narrowed as men</w:t>
      </w:r>
      <w:r w:rsidR="002F55AB">
        <w:rPr>
          <w:lang w:eastAsia="en-AU"/>
        </w:rPr>
        <w:t>’</w:t>
      </w:r>
      <w:r w:rsidRPr="00E714F8">
        <w:rPr>
          <w:lang w:eastAsia="en-AU"/>
        </w:rPr>
        <w:t>s uptake increased slightly. These are early movements rather than wholesale change, but they point in the direction of greater balance.</w:t>
      </w:r>
    </w:p>
    <w:p w14:paraId="2166C713" w14:textId="2BF09E3B" w:rsidR="006A1DB5" w:rsidRDefault="006A1DB5" w:rsidP="0078531C">
      <w:pPr>
        <w:pStyle w:val="BodyText"/>
        <w:rPr>
          <w:lang w:eastAsia="en-AU"/>
        </w:rPr>
      </w:pPr>
      <w:r w:rsidRPr="006A1DB5">
        <w:rPr>
          <w:lang w:eastAsia="en-AU"/>
        </w:rPr>
        <w:t xml:space="preserve">Key data measures are presented in Tables </w:t>
      </w:r>
      <w:r w:rsidRPr="00062527">
        <w:rPr>
          <w:lang w:eastAsia="en-AU"/>
        </w:rPr>
        <w:t>1.1 to 1.</w:t>
      </w:r>
      <w:r w:rsidR="00CE6340" w:rsidRPr="00062527">
        <w:rPr>
          <w:lang w:eastAsia="en-AU"/>
        </w:rPr>
        <w:t>3</w:t>
      </w:r>
      <w:r w:rsidRPr="006A1DB5">
        <w:rPr>
          <w:lang w:eastAsia="en-AU"/>
        </w:rPr>
        <w:t>. Findings are discussed in further detail after the tables</w:t>
      </w:r>
      <w:r w:rsidR="00326B9B">
        <w:rPr>
          <w:lang w:eastAsia="en-AU"/>
        </w:rPr>
        <w:t>.</w:t>
      </w:r>
    </w:p>
    <w:p w14:paraId="50261A0C" w14:textId="5F8F62A2" w:rsidR="00F14F50" w:rsidRPr="00CE60B5" w:rsidRDefault="00F14F50" w:rsidP="00F2615B">
      <w:pPr>
        <w:pStyle w:val="Tablecaption"/>
        <w:rPr>
          <w:rFonts w:cs="Arial"/>
          <w:szCs w:val="21"/>
          <w:lang w:eastAsia="en-AU"/>
        </w:rPr>
      </w:pPr>
      <w:r w:rsidRPr="00CE60B5">
        <w:rPr>
          <w:lang w:eastAsia="en-AU"/>
        </w:rPr>
        <w:t xml:space="preserve">Table 1.1: Overall </w:t>
      </w:r>
      <w:r w:rsidR="00CC50B6">
        <w:rPr>
          <w:lang w:eastAsia="en-AU"/>
        </w:rPr>
        <w:t>g</w:t>
      </w:r>
      <w:r w:rsidRPr="00CE60B5">
        <w:rPr>
          <w:lang w:eastAsia="en-AU"/>
        </w:rPr>
        <w:t xml:space="preserve">ender </w:t>
      </w:r>
      <w:r w:rsidR="00CC50B6">
        <w:rPr>
          <w:lang w:eastAsia="en-AU"/>
        </w:rPr>
        <w:t>c</w:t>
      </w:r>
      <w:r w:rsidR="00185B60">
        <w:rPr>
          <w:lang w:eastAsia="en-AU"/>
        </w:rPr>
        <w:t>omposition</w:t>
      </w:r>
      <w:r w:rsidRPr="00CE60B5">
        <w:rPr>
          <w:lang w:eastAsia="en-AU"/>
        </w:rPr>
        <w:t xml:space="preserve"> </w:t>
      </w:r>
      <w:r w:rsidR="00CC50B6">
        <w:rPr>
          <w:lang w:eastAsia="en-AU"/>
        </w:rPr>
        <w:t>p</w:t>
      </w:r>
      <w:r w:rsidRPr="00CE60B5">
        <w:rPr>
          <w:lang w:eastAsia="en-AU"/>
        </w:rPr>
        <w:t>rogress</w:t>
      </w:r>
    </w:p>
    <w:tbl>
      <w:tblPr>
        <w:tblStyle w:val="CGEPStable"/>
        <w:tblW w:w="9298" w:type="dxa"/>
        <w:tblLayout w:type="fixed"/>
        <w:tblLook w:val="04A0" w:firstRow="1" w:lastRow="0" w:firstColumn="1" w:lastColumn="0" w:noHBand="0" w:noVBand="1"/>
      </w:tblPr>
      <w:tblGrid>
        <w:gridCol w:w="2127"/>
        <w:gridCol w:w="1417"/>
        <w:gridCol w:w="1418"/>
        <w:gridCol w:w="1232"/>
        <w:gridCol w:w="1603"/>
        <w:gridCol w:w="1501"/>
      </w:tblGrid>
      <w:tr w:rsidR="005247D3" w:rsidRPr="00CE60B5" w14:paraId="095DE54B" w14:textId="77777777" w:rsidTr="004B2BBB">
        <w:trPr>
          <w:cnfStyle w:val="100000000000" w:firstRow="1" w:lastRow="0" w:firstColumn="0" w:lastColumn="0" w:oddVBand="0" w:evenVBand="0" w:oddHBand="0" w:evenHBand="0" w:firstRowFirstColumn="0" w:firstRowLastColumn="0" w:lastRowFirstColumn="0" w:lastRowLastColumn="0"/>
        </w:trPr>
        <w:tc>
          <w:tcPr>
            <w:tcW w:w="2127" w:type="dxa"/>
            <w:hideMark/>
          </w:tcPr>
          <w:p w14:paraId="60C21FFD" w14:textId="77777777" w:rsidR="00F14F50" w:rsidRPr="00CE60B5" w:rsidRDefault="00F14F50" w:rsidP="00F2615B">
            <w:pPr>
              <w:pStyle w:val="Tablecolhead"/>
              <w:rPr>
                <w:lang w:eastAsia="en-AU"/>
              </w:rPr>
            </w:pPr>
            <w:r w:rsidRPr="00CE60B5">
              <w:rPr>
                <w:lang w:eastAsia="en-AU"/>
              </w:rPr>
              <w:t>Measure</w:t>
            </w:r>
          </w:p>
        </w:tc>
        <w:tc>
          <w:tcPr>
            <w:tcW w:w="1417" w:type="dxa"/>
            <w:hideMark/>
          </w:tcPr>
          <w:p w14:paraId="125220C1" w14:textId="77777777" w:rsidR="00F14F50" w:rsidRPr="00CE60B5" w:rsidRDefault="00F14F50" w:rsidP="00F2615B">
            <w:pPr>
              <w:pStyle w:val="Tablecolhead"/>
              <w:rPr>
                <w:lang w:eastAsia="en-AU"/>
              </w:rPr>
            </w:pPr>
            <w:r w:rsidRPr="00CE60B5">
              <w:rPr>
                <w:lang w:eastAsia="en-AU"/>
              </w:rPr>
              <w:t>2021</w:t>
            </w:r>
          </w:p>
        </w:tc>
        <w:tc>
          <w:tcPr>
            <w:tcW w:w="1418" w:type="dxa"/>
            <w:hideMark/>
          </w:tcPr>
          <w:p w14:paraId="73BF388B" w14:textId="77777777" w:rsidR="00F14F50" w:rsidRPr="00CE60B5" w:rsidRDefault="00F14F50" w:rsidP="00F2615B">
            <w:pPr>
              <w:pStyle w:val="Tablecolhead"/>
              <w:rPr>
                <w:lang w:eastAsia="en-AU"/>
              </w:rPr>
            </w:pPr>
            <w:r w:rsidRPr="00CE60B5">
              <w:rPr>
                <w:lang w:eastAsia="en-AU"/>
              </w:rPr>
              <w:t>2023</w:t>
            </w:r>
          </w:p>
        </w:tc>
        <w:tc>
          <w:tcPr>
            <w:tcW w:w="1232" w:type="dxa"/>
            <w:hideMark/>
          </w:tcPr>
          <w:p w14:paraId="09E921B0" w14:textId="77777777" w:rsidR="00F14F50" w:rsidRPr="00CE60B5" w:rsidRDefault="00F14F50" w:rsidP="00F2615B">
            <w:pPr>
              <w:pStyle w:val="Tablecolhead"/>
              <w:rPr>
                <w:lang w:eastAsia="en-AU"/>
              </w:rPr>
            </w:pPr>
            <w:r w:rsidRPr="00CE60B5">
              <w:rPr>
                <w:lang w:eastAsia="en-AU"/>
              </w:rPr>
              <w:t>2025</w:t>
            </w:r>
          </w:p>
        </w:tc>
        <w:tc>
          <w:tcPr>
            <w:tcW w:w="1603" w:type="dxa"/>
            <w:hideMark/>
          </w:tcPr>
          <w:p w14:paraId="4FBE13B6" w14:textId="3D263B03" w:rsidR="00F14F50" w:rsidRPr="00CE60B5" w:rsidRDefault="0007304E" w:rsidP="00F2615B">
            <w:pPr>
              <w:pStyle w:val="Tablecolhead"/>
              <w:rPr>
                <w:lang w:eastAsia="en-AU"/>
              </w:rPr>
            </w:pPr>
            <w:r w:rsidRPr="008E0643">
              <w:rPr>
                <w:lang w:eastAsia="en-AU"/>
              </w:rPr>
              <w:t>Percentage</w:t>
            </w:r>
            <w:r w:rsidR="00790349" w:rsidRPr="008E0643">
              <w:rPr>
                <w:lang w:eastAsia="en-AU"/>
              </w:rPr>
              <w:t xml:space="preserve"> </w:t>
            </w:r>
            <w:r w:rsidR="00CC50B6">
              <w:rPr>
                <w:lang w:eastAsia="en-AU"/>
              </w:rPr>
              <w:t>p</w:t>
            </w:r>
            <w:r w:rsidR="00790349" w:rsidRPr="008E0643">
              <w:rPr>
                <w:lang w:eastAsia="en-AU"/>
              </w:rPr>
              <w:t>oint</w:t>
            </w:r>
            <w:r w:rsidRPr="008E0643">
              <w:rPr>
                <w:lang w:eastAsia="en-AU"/>
              </w:rPr>
              <w:t xml:space="preserve"> </w:t>
            </w:r>
            <w:r w:rsidR="00CC50B6">
              <w:rPr>
                <w:lang w:eastAsia="en-AU"/>
              </w:rPr>
              <w:t>c</w:t>
            </w:r>
            <w:r w:rsidR="00F14F50" w:rsidRPr="00CE60B5">
              <w:rPr>
                <w:lang w:eastAsia="en-AU"/>
              </w:rPr>
              <w:t>hange</w:t>
            </w:r>
            <w:r w:rsidR="007C2398">
              <w:rPr>
                <w:lang w:eastAsia="en-AU"/>
              </w:rPr>
              <w:t xml:space="preserve"> </w:t>
            </w:r>
            <w:r w:rsidR="00F14F50" w:rsidRPr="00CE60B5">
              <w:rPr>
                <w:lang w:eastAsia="en-AU"/>
              </w:rPr>
              <w:t>2021-2025</w:t>
            </w:r>
          </w:p>
        </w:tc>
        <w:tc>
          <w:tcPr>
            <w:tcW w:w="1501" w:type="dxa"/>
            <w:hideMark/>
          </w:tcPr>
          <w:p w14:paraId="4A06FE7D" w14:textId="77777777" w:rsidR="00F14F50" w:rsidRPr="00CE60B5" w:rsidRDefault="00F14F50" w:rsidP="00F2615B">
            <w:pPr>
              <w:pStyle w:val="Tablecolhead"/>
              <w:rPr>
                <w:lang w:eastAsia="en-AU"/>
              </w:rPr>
            </w:pPr>
            <w:r w:rsidRPr="00CE60B5">
              <w:rPr>
                <w:lang w:eastAsia="en-AU"/>
              </w:rPr>
              <w:t>Progress</w:t>
            </w:r>
          </w:p>
        </w:tc>
      </w:tr>
      <w:tr w:rsidR="005247D3" w:rsidRPr="00CE60B5" w14:paraId="462144B8" w14:textId="77777777" w:rsidTr="004B2BBB">
        <w:tc>
          <w:tcPr>
            <w:tcW w:w="2127" w:type="dxa"/>
            <w:hideMark/>
          </w:tcPr>
          <w:p w14:paraId="72322697" w14:textId="19D8B365" w:rsidR="00F14F50" w:rsidRPr="00CE60B5" w:rsidRDefault="0007304E" w:rsidP="00F2615B">
            <w:pPr>
              <w:pStyle w:val="Tabletext"/>
              <w:rPr>
                <w:rFonts w:cs="Arial"/>
                <w:szCs w:val="21"/>
                <w:lang w:eastAsia="en-AU"/>
              </w:rPr>
            </w:pPr>
            <w:r>
              <w:rPr>
                <w:rFonts w:cs="Arial"/>
                <w:szCs w:val="21"/>
                <w:lang w:eastAsia="en-AU"/>
              </w:rPr>
              <w:t>Proportion of w</w:t>
            </w:r>
            <w:r w:rsidR="00F14F50" w:rsidRPr="00CE60B5">
              <w:rPr>
                <w:rFonts w:cs="Arial"/>
                <w:szCs w:val="21"/>
                <w:lang w:eastAsia="en-AU"/>
              </w:rPr>
              <w:t xml:space="preserve">omen </w:t>
            </w:r>
          </w:p>
        </w:tc>
        <w:tc>
          <w:tcPr>
            <w:tcW w:w="1417" w:type="dxa"/>
            <w:hideMark/>
          </w:tcPr>
          <w:p w14:paraId="08FF5F7A" w14:textId="01A46D93" w:rsidR="00F14F50" w:rsidRPr="00CE60B5" w:rsidRDefault="00084D4B" w:rsidP="00F2615B">
            <w:pPr>
              <w:pStyle w:val="Tabletext"/>
              <w:rPr>
                <w:rFonts w:cs="Arial"/>
                <w:szCs w:val="21"/>
                <w:lang w:eastAsia="en-AU"/>
              </w:rPr>
            </w:pPr>
            <w:r>
              <w:rPr>
                <w:rFonts w:cs="Arial"/>
                <w:szCs w:val="21"/>
                <w:lang w:eastAsia="en-AU"/>
              </w:rPr>
              <w:t>66.</w:t>
            </w:r>
            <w:r w:rsidR="007924AE">
              <w:rPr>
                <w:rFonts w:cs="Arial"/>
                <w:szCs w:val="21"/>
                <w:lang w:eastAsia="en-AU"/>
              </w:rPr>
              <w:t>1</w:t>
            </w:r>
            <w:r w:rsidR="0007304E">
              <w:rPr>
                <w:rFonts w:cs="Arial"/>
                <w:szCs w:val="21"/>
                <w:lang w:eastAsia="en-AU"/>
              </w:rPr>
              <w:t>%</w:t>
            </w:r>
          </w:p>
        </w:tc>
        <w:tc>
          <w:tcPr>
            <w:tcW w:w="1418" w:type="dxa"/>
            <w:hideMark/>
          </w:tcPr>
          <w:p w14:paraId="47FE7F18" w14:textId="0946DE56" w:rsidR="00F14F50" w:rsidRPr="00CE60B5" w:rsidRDefault="00084D4B" w:rsidP="00F2615B">
            <w:pPr>
              <w:pStyle w:val="Tabletext"/>
              <w:rPr>
                <w:rFonts w:cs="Arial"/>
                <w:szCs w:val="21"/>
                <w:lang w:eastAsia="en-AU"/>
              </w:rPr>
            </w:pPr>
            <w:r>
              <w:rPr>
                <w:rFonts w:cs="Arial"/>
                <w:szCs w:val="21"/>
                <w:lang w:eastAsia="en-AU"/>
              </w:rPr>
              <w:t>66.2</w:t>
            </w:r>
            <w:r w:rsidR="0007304E">
              <w:rPr>
                <w:rFonts w:cs="Arial"/>
                <w:szCs w:val="21"/>
                <w:lang w:eastAsia="en-AU"/>
              </w:rPr>
              <w:t>%</w:t>
            </w:r>
          </w:p>
        </w:tc>
        <w:tc>
          <w:tcPr>
            <w:tcW w:w="1232" w:type="dxa"/>
            <w:hideMark/>
          </w:tcPr>
          <w:p w14:paraId="095EA944" w14:textId="4AF32DFD" w:rsidR="00F14F50" w:rsidRPr="00CE60B5" w:rsidRDefault="00084D4B" w:rsidP="00F2615B">
            <w:pPr>
              <w:pStyle w:val="Tabletext"/>
              <w:rPr>
                <w:rFonts w:cs="Arial"/>
                <w:szCs w:val="21"/>
                <w:lang w:eastAsia="en-AU"/>
              </w:rPr>
            </w:pPr>
            <w:r>
              <w:rPr>
                <w:rFonts w:cs="Arial"/>
                <w:szCs w:val="21"/>
                <w:lang w:eastAsia="en-AU"/>
              </w:rPr>
              <w:t>66.1</w:t>
            </w:r>
            <w:r w:rsidR="0007304E">
              <w:rPr>
                <w:rFonts w:cs="Arial"/>
                <w:szCs w:val="21"/>
                <w:lang w:eastAsia="en-AU"/>
              </w:rPr>
              <w:t>%</w:t>
            </w:r>
          </w:p>
        </w:tc>
        <w:tc>
          <w:tcPr>
            <w:tcW w:w="1603" w:type="dxa"/>
            <w:hideMark/>
          </w:tcPr>
          <w:p w14:paraId="0F905E9D" w14:textId="04B6D22B" w:rsidR="00F14F50" w:rsidRPr="00CE60B5" w:rsidRDefault="007924AE" w:rsidP="00F2615B">
            <w:pPr>
              <w:pStyle w:val="Tabletext"/>
              <w:rPr>
                <w:rFonts w:cs="Arial"/>
                <w:szCs w:val="21"/>
                <w:lang w:eastAsia="en-AU"/>
              </w:rPr>
            </w:pPr>
            <w:r>
              <w:rPr>
                <w:rFonts w:cs="Arial"/>
                <w:szCs w:val="21"/>
                <w:lang w:eastAsia="en-AU"/>
              </w:rPr>
              <w:t>+</w:t>
            </w:r>
            <w:r w:rsidR="00084D4B">
              <w:rPr>
                <w:rFonts w:cs="Arial"/>
                <w:szCs w:val="21"/>
                <w:lang w:eastAsia="en-AU"/>
              </w:rPr>
              <w:t>0.</w:t>
            </w:r>
            <w:r>
              <w:rPr>
                <w:rFonts w:cs="Arial"/>
                <w:szCs w:val="21"/>
                <w:lang w:eastAsia="en-AU"/>
              </w:rPr>
              <w:t>1pp</w:t>
            </w:r>
          </w:p>
        </w:tc>
        <w:tc>
          <w:tcPr>
            <w:tcW w:w="1501" w:type="dxa"/>
            <w:hideMark/>
          </w:tcPr>
          <w:p w14:paraId="2A385465" w14:textId="290B8516" w:rsidR="00A62A1E" w:rsidRPr="00CE60B5" w:rsidRDefault="00E6649D" w:rsidP="00F2615B">
            <w:pPr>
              <w:pStyle w:val="Tabletext"/>
              <w:rPr>
                <w:rFonts w:cs="Arial"/>
                <w:szCs w:val="21"/>
                <w:lang w:eastAsia="en-AU"/>
              </w:rPr>
            </w:pPr>
            <w:r>
              <w:rPr>
                <w:rFonts w:cs="Arial"/>
                <w:szCs w:val="21"/>
                <w:lang w:eastAsia="en-AU"/>
              </w:rPr>
              <w:t>Poor (8</w:t>
            </w:r>
            <w:r w:rsidR="005060C0">
              <w:rPr>
                <w:rFonts w:cs="Arial"/>
                <w:szCs w:val="21"/>
                <w:lang w:eastAsia="en-AU"/>
              </w:rPr>
              <w:t xml:space="preserve"> – Matrix</w:t>
            </w:r>
            <w:r>
              <w:rPr>
                <w:rFonts w:cs="Arial"/>
                <w:szCs w:val="21"/>
                <w:lang w:eastAsia="en-AU"/>
              </w:rPr>
              <w:t>)</w:t>
            </w:r>
          </w:p>
          <w:p w14:paraId="308A5666" w14:textId="0D0E921C" w:rsidR="00F14F50" w:rsidRPr="00CE60B5" w:rsidRDefault="00F14F50" w:rsidP="00F2615B">
            <w:pPr>
              <w:pStyle w:val="Tabletext"/>
              <w:rPr>
                <w:rFonts w:cs="Arial"/>
                <w:szCs w:val="21"/>
                <w:lang w:eastAsia="en-AU"/>
              </w:rPr>
            </w:pPr>
          </w:p>
        </w:tc>
      </w:tr>
      <w:tr w:rsidR="005247D3" w:rsidRPr="00CE60B5" w14:paraId="480DD02E" w14:textId="77777777" w:rsidTr="004B2BBB">
        <w:tc>
          <w:tcPr>
            <w:tcW w:w="2127" w:type="dxa"/>
            <w:hideMark/>
          </w:tcPr>
          <w:p w14:paraId="0556337E" w14:textId="1DFA7D9C" w:rsidR="00F14F50" w:rsidRPr="00CE60B5" w:rsidRDefault="005247D3" w:rsidP="00F2615B">
            <w:pPr>
              <w:pStyle w:val="Tabletext"/>
              <w:rPr>
                <w:rFonts w:cs="Arial"/>
                <w:szCs w:val="21"/>
                <w:lang w:eastAsia="en-AU"/>
              </w:rPr>
            </w:pPr>
            <w:r>
              <w:rPr>
                <w:rFonts w:cs="Arial"/>
                <w:szCs w:val="21"/>
                <w:lang w:eastAsia="en-AU"/>
              </w:rPr>
              <w:t>Proportion of m</w:t>
            </w:r>
            <w:r w:rsidR="00F14F50" w:rsidRPr="00CE60B5">
              <w:rPr>
                <w:rFonts w:cs="Arial"/>
                <w:szCs w:val="21"/>
                <w:lang w:eastAsia="en-AU"/>
              </w:rPr>
              <w:t>en</w:t>
            </w:r>
          </w:p>
        </w:tc>
        <w:tc>
          <w:tcPr>
            <w:tcW w:w="1417" w:type="dxa"/>
            <w:hideMark/>
          </w:tcPr>
          <w:p w14:paraId="57022AC9" w14:textId="74A97EB7" w:rsidR="00F14F50" w:rsidRPr="00CE60B5" w:rsidRDefault="00AE6AEC" w:rsidP="00F2615B">
            <w:pPr>
              <w:pStyle w:val="Tabletext"/>
              <w:rPr>
                <w:rFonts w:cs="Arial"/>
                <w:szCs w:val="21"/>
                <w:lang w:eastAsia="en-AU"/>
              </w:rPr>
            </w:pPr>
            <w:r>
              <w:rPr>
                <w:rFonts w:cs="Arial"/>
                <w:szCs w:val="21"/>
                <w:lang w:eastAsia="en-AU"/>
              </w:rPr>
              <w:t>33.</w:t>
            </w:r>
            <w:r w:rsidR="000274E3">
              <w:rPr>
                <w:rFonts w:cs="Arial"/>
                <w:szCs w:val="21"/>
                <w:lang w:eastAsia="en-AU"/>
              </w:rPr>
              <w:t>9</w:t>
            </w:r>
            <w:r>
              <w:rPr>
                <w:rFonts w:cs="Arial"/>
                <w:szCs w:val="21"/>
                <w:lang w:eastAsia="en-AU"/>
              </w:rPr>
              <w:t>%</w:t>
            </w:r>
          </w:p>
        </w:tc>
        <w:tc>
          <w:tcPr>
            <w:tcW w:w="1418" w:type="dxa"/>
            <w:hideMark/>
          </w:tcPr>
          <w:p w14:paraId="09303BD6" w14:textId="7BE0F4FF" w:rsidR="00F14F50" w:rsidRPr="00CE60B5" w:rsidRDefault="00AE6AEC" w:rsidP="00F2615B">
            <w:pPr>
              <w:pStyle w:val="Tabletext"/>
              <w:rPr>
                <w:rFonts w:cs="Arial"/>
                <w:szCs w:val="21"/>
                <w:lang w:eastAsia="en-AU"/>
              </w:rPr>
            </w:pPr>
            <w:r>
              <w:rPr>
                <w:rFonts w:cs="Arial"/>
                <w:szCs w:val="21"/>
                <w:lang w:eastAsia="en-AU"/>
              </w:rPr>
              <w:t>33.4%</w:t>
            </w:r>
          </w:p>
        </w:tc>
        <w:tc>
          <w:tcPr>
            <w:tcW w:w="1232" w:type="dxa"/>
            <w:hideMark/>
          </w:tcPr>
          <w:p w14:paraId="1A7439EA" w14:textId="295457C5" w:rsidR="00F14F50" w:rsidRPr="00CE60B5" w:rsidRDefault="00316D6D" w:rsidP="00F2615B">
            <w:pPr>
              <w:pStyle w:val="Tabletext"/>
              <w:rPr>
                <w:rFonts w:cs="Arial"/>
                <w:szCs w:val="21"/>
                <w:lang w:eastAsia="en-AU"/>
              </w:rPr>
            </w:pPr>
            <w:r>
              <w:rPr>
                <w:rFonts w:cs="Arial"/>
                <w:szCs w:val="21"/>
                <w:lang w:eastAsia="en-AU"/>
              </w:rPr>
              <w:t>33.1%</w:t>
            </w:r>
          </w:p>
        </w:tc>
        <w:tc>
          <w:tcPr>
            <w:tcW w:w="1603" w:type="dxa"/>
            <w:hideMark/>
          </w:tcPr>
          <w:p w14:paraId="77DE902F" w14:textId="36E27AD2" w:rsidR="00F14F50" w:rsidRPr="00CE60B5" w:rsidRDefault="00316D6D" w:rsidP="00F2615B">
            <w:pPr>
              <w:pStyle w:val="Tabletext"/>
              <w:rPr>
                <w:rFonts w:cs="Arial"/>
                <w:szCs w:val="21"/>
                <w:lang w:eastAsia="en-AU"/>
              </w:rPr>
            </w:pPr>
            <w:r>
              <w:rPr>
                <w:rFonts w:cs="Arial"/>
                <w:szCs w:val="21"/>
                <w:lang w:eastAsia="en-AU"/>
              </w:rPr>
              <w:t>-0.</w:t>
            </w:r>
            <w:r w:rsidR="000274E3">
              <w:rPr>
                <w:rFonts w:cs="Arial"/>
                <w:szCs w:val="21"/>
                <w:lang w:eastAsia="en-AU"/>
              </w:rPr>
              <w:t>8pp</w:t>
            </w:r>
          </w:p>
        </w:tc>
        <w:tc>
          <w:tcPr>
            <w:tcW w:w="1501" w:type="dxa"/>
            <w:hideMark/>
          </w:tcPr>
          <w:p w14:paraId="304E5489" w14:textId="44E81E81" w:rsidR="00F14F50" w:rsidRPr="00CE60B5" w:rsidRDefault="002234C9" w:rsidP="00F2615B">
            <w:pPr>
              <w:pStyle w:val="Tabletext"/>
              <w:rPr>
                <w:rFonts w:cs="Arial"/>
                <w:szCs w:val="21"/>
                <w:lang w:eastAsia="en-AU"/>
              </w:rPr>
            </w:pPr>
            <w:r>
              <w:rPr>
                <w:rFonts w:cs="Arial"/>
                <w:szCs w:val="21"/>
                <w:lang w:eastAsia="en-AU"/>
              </w:rPr>
              <w:t>Poor (8 – Matrix)</w:t>
            </w:r>
          </w:p>
        </w:tc>
      </w:tr>
      <w:tr w:rsidR="005247D3" w:rsidRPr="00CE60B5" w14:paraId="69B26115" w14:textId="77777777" w:rsidTr="007A113B">
        <w:tc>
          <w:tcPr>
            <w:tcW w:w="2127" w:type="dxa"/>
            <w:hideMark/>
          </w:tcPr>
          <w:p w14:paraId="54F84854" w14:textId="22EC3E66" w:rsidR="00F14F50" w:rsidRPr="00CE60B5" w:rsidRDefault="0052515C" w:rsidP="00F2615B">
            <w:pPr>
              <w:pStyle w:val="Tabletext"/>
              <w:rPr>
                <w:rFonts w:cs="Arial"/>
                <w:szCs w:val="21"/>
                <w:lang w:eastAsia="en-AU"/>
              </w:rPr>
            </w:pPr>
            <w:r>
              <w:rPr>
                <w:rFonts w:cs="Arial"/>
                <w:szCs w:val="21"/>
                <w:lang w:eastAsia="en-AU"/>
              </w:rPr>
              <w:t>P</w:t>
            </w:r>
            <w:r w:rsidR="005247D3">
              <w:rPr>
                <w:rFonts w:cs="Arial"/>
                <w:szCs w:val="21"/>
                <w:lang w:eastAsia="en-AU"/>
              </w:rPr>
              <w:t>roportion of p</w:t>
            </w:r>
            <w:r>
              <w:rPr>
                <w:rFonts w:cs="Arial"/>
                <w:szCs w:val="21"/>
                <w:lang w:eastAsia="en-AU"/>
              </w:rPr>
              <w:t>eople of self-described gender</w:t>
            </w:r>
          </w:p>
        </w:tc>
        <w:tc>
          <w:tcPr>
            <w:tcW w:w="1417" w:type="dxa"/>
            <w:hideMark/>
          </w:tcPr>
          <w:p w14:paraId="53FBB3A1" w14:textId="33E292C7" w:rsidR="00F14F50" w:rsidRPr="00CE60B5" w:rsidRDefault="00316D6D" w:rsidP="00F2615B">
            <w:pPr>
              <w:pStyle w:val="Tabletext"/>
              <w:rPr>
                <w:rFonts w:cs="Arial"/>
                <w:szCs w:val="21"/>
                <w:lang w:eastAsia="en-AU"/>
              </w:rPr>
            </w:pPr>
            <w:r>
              <w:rPr>
                <w:rFonts w:cs="Arial"/>
                <w:szCs w:val="21"/>
                <w:lang w:eastAsia="en-AU"/>
              </w:rPr>
              <w:t>0.1%</w:t>
            </w:r>
          </w:p>
        </w:tc>
        <w:tc>
          <w:tcPr>
            <w:tcW w:w="1418" w:type="dxa"/>
            <w:hideMark/>
          </w:tcPr>
          <w:p w14:paraId="7A26FDA7" w14:textId="3B7C86A8" w:rsidR="00F14F50" w:rsidRPr="00CE60B5" w:rsidRDefault="00316D6D" w:rsidP="00F2615B">
            <w:pPr>
              <w:pStyle w:val="Tabletext"/>
              <w:rPr>
                <w:rFonts w:cs="Arial"/>
                <w:szCs w:val="21"/>
                <w:lang w:eastAsia="en-AU"/>
              </w:rPr>
            </w:pPr>
            <w:r>
              <w:rPr>
                <w:rFonts w:cs="Arial"/>
                <w:szCs w:val="21"/>
                <w:lang w:eastAsia="en-AU"/>
              </w:rPr>
              <w:t>0.5%</w:t>
            </w:r>
          </w:p>
        </w:tc>
        <w:tc>
          <w:tcPr>
            <w:tcW w:w="1232" w:type="dxa"/>
            <w:hideMark/>
          </w:tcPr>
          <w:p w14:paraId="44DDEB86" w14:textId="5AF77A8F" w:rsidR="00F14F50" w:rsidRPr="00CE60B5" w:rsidRDefault="00316D6D" w:rsidP="00F2615B">
            <w:pPr>
              <w:pStyle w:val="Tabletext"/>
              <w:rPr>
                <w:rFonts w:cs="Arial"/>
                <w:szCs w:val="21"/>
                <w:lang w:eastAsia="en-AU"/>
              </w:rPr>
            </w:pPr>
            <w:r>
              <w:rPr>
                <w:rFonts w:cs="Arial"/>
                <w:szCs w:val="21"/>
                <w:lang w:eastAsia="en-AU"/>
              </w:rPr>
              <w:t>0.8%</w:t>
            </w:r>
          </w:p>
        </w:tc>
        <w:tc>
          <w:tcPr>
            <w:tcW w:w="1603" w:type="dxa"/>
            <w:hideMark/>
          </w:tcPr>
          <w:p w14:paraId="10A15743" w14:textId="57EEC98D" w:rsidR="00F14F50" w:rsidRPr="00CE60B5" w:rsidRDefault="00D629B3" w:rsidP="00F2615B">
            <w:pPr>
              <w:pStyle w:val="Tabletext"/>
              <w:rPr>
                <w:rFonts w:cs="Arial"/>
                <w:szCs w:val="21"/>
                <w:lang w:eastAsia="en-AU"/>
              </w:rPr>
            </w:pPr>
            <w:r>
              <w:rPr>
                <w:rFonts w:cs="Arial"/>
                <w:szCs w:val="21"/>
                <w:lang w:eastAsia="en-AU"/>
              </w:rPr>
              <w:t>+0.7</w:t>
            </w:r>
            <w:r w:rsidR="00D8529B">
              <w:rPr>
                <w:rFonts w:cs="Arial"/>
                <w:szCs w:val="21"/>
                <w:lang w:eastAsia="en-AU"/>
              </w:rPr>
              <w:t>pp</w:t>
            </w:r>
            <w:r w:rsidRPr="00CE60B5">
              <w:rPr>
                <w:rFonts w:cs="Arial"/>
                <w:szCs w:val="21"/>
                <w:lang w:eastAsia="en-AU"/>
              </w:rPr>
              <w:t xml:space="preserve"> </w:t>
            </w:r>
          </w:p>
        </w:tc>
        <w:tc>
          <w:tcPr>
            <w:tcW w:w="1501" w:type="dxa"/>
            <w:tcBorders>
              <w:bottom w:val="single" w:sz="4" w:space="0" w:color="5C308D"/>
            </w:tcBorders>
            <w:shd w:val="clear" w:color="auto" w:fill="BFBFBF" w:themeFill="background1" w:themeFillShade="BF"/>
            <w:hideMark/>
          </w:tcPr>
          <w:p w14:paraId="189D682E" w14:textId="53D0EB08" w:rsidR="00F14F50" w:rsidRPr="00CE60B5" w:rsidRDefault="00BB1B15" w:rsidP="00F2615B">
            <w:pPr>
              <w:pStyle w:val="Tabletext"/>
              <w:rPr>
                <w:rFonts w:cs="Arial"/>
                <w:szCs w:val="21"/>
                <w:lang w:eastAsia="en-AU"/>
              </w:rPr>
            </w:pPr>
            <w:r>
              <w:rPr>
                <w:rFonts w:cs="Arial"/>
                <w:szCs w:val="21"/>
                <w:lang w:eastAsia="en-AU"/>
              </w:rPr>
              <w:t>n/a</w:t>
            </w:r>
          </w:p>
        </w:tc>
      </w:tr>
      <w:tr w:rsidR="005247D3" w:rsidRPr="00CE60B5" w14:paraId="4DC75D2C" w14:textId="77777777" w:rsidTr="007A113B">
        <w:tc>
          <w:tcPr>
            <w:tcW w:w="2127" w:type="dxa"/>
          </w:tcPr>
          <w:p w14:paraId="0F1727EA" w14:textId="3B0B3441" w:rsidR="00E12549" w:rsidRDefault="006B3252" w:rsidP="00F2615B">
            <w:pPr>
              <w:pStyle w:val="Tabletext"/>
              <w:rPr>
                <w:rFonts w:cs="Arial"/>
                <w:szCs w:val="21"/>
                <w:lang w:eastAsia="en-AU"/>
              </w:rPr>
            </w:pPr>
            <w:r>
              <w:rPr>
                <w:rFonts w:cs="Arial"/>
                <w:szCs w:val="21"/>
                <w:lang w:eastAsia="en-AU"/>
              </w:rPr>
              <w:t>Proportion of w</w:t>
            </w:r>
            <w:r w:rsidR="00E12549">
              <w:rPr>
                <w:rFonts w:cs="Arial"/>
                <w:szCs w:val="21"/>
                <w:lang w:eastAsia="en-AU"/>
              </w:rPr>
              <w:t>omen work</w:t>
            </w:r>
            <w:r>
              <w:rPr>
                <w:rFonts w:cs="Arial"/>
                <w:szCs w:val="21"/>
                <w:lang w:eastAsia="en-AU"/>
              </w:rPr>
              <w:t>ing part time</w:t>
            </w:r>
            <w:r w:rsidR="00E12549">
              <w:rPr>
                <w:rFonts w:cs="Arial"/>
                <w:szCs w:val="21"/>
                <w:lang w:eastAsia="en-AU"/>
              </w:rPr>
              <w:t xml:space="preserve"> </w:t>
            </w:r>
          </w:p>
        </w:tc>
        <w:tc>
          <w:tcPr>
            <w:tcW w:w="1417" w:type="dxa"/>
          </w:tcPr>
          <w:p w14:paraId="066300DF" w14:textId="5D641861" w:rsidR="00E12549" w:rsidRPr="00CE60B5" w:rsidRDefault="006524E4" w:rsidP="00F2615B">
            <w:pPr>
              <w:pStyle w:val="Tabletext"/>
              <w:rPr>
                <w:rFonts w:cs="Arial"/>
                <w:szCs w:val="21"/>
                <w:lang w:eastAsia="en-AU"/>
              </w:rPr>
            </w:pPr>
            <w:r w:rsidRPr="00EA6BD5">
              <w:rPr>
                <w:rFonts w:cs="Arial"/>
                <w:szCs w:val="21"/>
                <w:lang w:eastAsia="en-AU"/>
              </w:rPr>
              <w:t>5</w:t>
            </w:r>
            <w:r>
              <w:rPr>
                <w:rFonts w:cs="Arial"/>
                <w:szCs w:val="21"/>
                <w:lang w:eastAsia="en-AU"/>
              </w:rPr>
              <w:t>4</w:t>
            </w:r>
            <w:r w:rsidR="00EA6BD5" w:rsidRPr="00EA6BD5">
              <w:rPr>
                <w:rFonts w:cs="Arial"/>
                <w:szCs w:val="21"/>
                <w:lang w:eastAsia="en-AU"/>
              </w:rPr>
              <w:t>.</w:t>
            </w:r>
            <w:r>
              <w:rPr>
                <w:rFonts w:cs="Arial"/>
                <w:szCs w:val="21"/>
                <w:lang w:eastAsia="en-AU"/>
              </w:rPr>
              <w:t>8</w:t>
            </w:r>
            <w:r w:rsidR="00EA6BD5" w:rsidRPr="00EA6BD5">
              <w:rPr>
                <w:rFonts w:cs="Arial"/>
                <w:szCs w:val="21"/>
                <w:lang w:eastAsia="en-AU"/>
              </w:rPr>
              <w:t>%</w:t>
            </w:r>
          </w:p>
        </w:tc>
        <w:tc>
          <w:tcPr>
            <w:tcW w:w="1418" w:type="dxa"/>
          </w:tcPr>
          <w:p w14:paraId="1F251BB8" w14:textId="195F99F0" w:rsidR="00E12549" w:rsidRPr="00CE60B5" w:rsidRDefault="00EA6BD5" w:rsidP="00F2615B">
            <w:pPr>
              <w:pStyle w:val="Tabletext"/>
              <w:rPr>
                <w:rFonts w:cs="Arial"/>
                <w:szCs w:val="21"/>
                <w:lang w:eastAsia="en-AU"/>
              </w:rPr>
            </w:pPr>
            <w:r>
              <w:rPr>
                <w:rFonts w:cs="Arial"/>
                <w:szCs w:val="21"/>
                <w:lang w:eastAsia="en-AU"/>
              </w:rPr>
              <w:t>54%</w:t>
            </w:r>
          </w:p>
        </w:tc>
        <w:tc>
          <w:tcPr>
            <w:tcW w:w="1232" w:type="dxa"/>
          </w:tcPr>
          <w:p w14:paraId="6DA517DD" w14:textId="3AE2828E" w:rsidR="00E12549" w:rsidRPr="00CE60B5" w:rsidRDefault="00EA6BD5" w:rsidP="00F2615B">
            <w:pPr>
              <w:pStyle w:val="Tabletext"/>
              <w:rPr>
                <w:rFonts w:cs="Arial"/>
                <w:szCs w:val="21"/>
                <w:lang w:eastAsia="en-AU"/>
              </w:rPr>
            </w:pPr>
            <w:r>
              <w:rPr>
                <w:rFonts w:cs="Arial"/>
                <w:szCs w:val="21"/>
                <w:lang w:eastAsia="en-AU"/>
              </w:rPr>
              <w:t>54.1%</w:t>
            </w:r>
          </w:p>
        </w:tc>
        <w:tc>
          <w:tcPr>
            <w:tcW w:w="1603" w:type="dxa"/>
          </w:tcPr>
          <w:p w14:paraId="71917810" w14:textId="117CBC49" w:rsidR="00E12549" w:rsidRPr="00CE60B5" w:rsidRDefault="00EA6BD5" w:rsidP="00F2615B">
            <w:pPr>
              <w:pStyle w:val="Tabletext"/>
              <w:rPr>
                <w:rFonts w:cs="Arial"/>
                <w:szCs w:val="21"/>
                <w:lang w:eastAsia="en-AU"/>
              </w:rPr>
            </w:pPr>
            <w:r>
              <w:rPr>
                <w:rFonts w:cs="Arial"/>
                <w:szCs w:val="21"/>
                <w:lang w:eastAsia="en-AU"/>
              </w:rPr>
              <w:t>-0.</w:t>
            </w:r>
            <w:r w:rsidR="006524E4">
              <w:rPr>
                <w:rFonts w:cs="Arial"/>
                <w:szCs w:val="21"/>
                <w:lang w:eastAsia="en-AU"/>
              </w:rPr>
              <w:t>7pp</w:t>
            </w:r>
            <w:r w:rsidR="006524E4" w:rsidRPr="00CE60B5">
              <w:rPr>
                <w:rFonts w:cs="Arial"/>
                <w:szCs w:val="21"/>
                <w:lang w:eastAsia="en-AU"/>
              </w:rPr>
              <w:t xml:space="preserve"> </w:t>
            </w:r>
          </w:p>
        </w:tc>
        <w:tc>
          <w:tcPr>
            <w:tcW w:w="1501" w:type="dxa"/>
            <w:tcBorders>
              <w:top w:val="single" w:sz="4" w:space="0" w:color="5C308D"/>
              <w:bottom w:val="nil"/>
            </w:tcBorders>
          </w:tcPr>
          <w:p w14:paraId="74B7E489" w14:textId="766FFB97" w:rsidR="00E12549" w:rsidRPr="00CE60B5" w:rsidRDefault="00A34508" w:rsidP="00F2615B">
            <w:pPr>
              <w:pStyle w:val="Tabletext"/>
              <w:rPr>
                <w:rFonts w:cs="Arial"/>
                <w:szCs w:val="21"/>
                <w:lang w:eastAsia="en-AU"/>
              </w:rPr>
            </w:pPr>
            <w:r>
              <w:rPr>
                <w:rFonts w:cs="Arial"/>
                <w:szCs w:val="21"/>
                <w:lang w:eastAsia="en-AU"/>
              </w:rPr>
              <w:t>Moderate (H</w:t>
            </w:r>
            <w:r w:rsidR="001157AC">
              <w:rPr>
                <w:rFonts w:cs="Arial"/>
                <w:szCs w:val="21"/>
                <w:lang w:eastAsia="en-AU"/>
              </w:rPr>
              <w:t>olistic</w:t>
            </w:r>
            <w:r>
              <w:rPr>
                <w:rFonts w:cs="Arial"/>
                <w:szCs w:val="21"/>
                <w:lang w:eastAsia="en-AU"/>
              </w:rPr>
              <w:t>)</w:t>
            </w:r>
            <w:r w:rsidR="00BB1B15">
              <w:rPr>
                <w:rFonts w:cs="Arial"/>
                <w:szCs w:val="21"/>
                <w:lang w:eastAsia="en-AU"/>
              </w:rPr>
              <w:t xml:space="preserve"> </w:t>
            </w:r>
          </w:p>
        </w:tc>
      </w:tr>
      <w:tr w:rsidR="001E01FE" w:rsidRPr="00CE60B5" w14:paraId="649DD3CA" w14:textId="77777777" w:rsidTr="007A113B">
        <w:tc>
          <w:tcPr>
            <w:tcW w:w="2127" w:type="dxa"/>
            <w:hideMark/>
          </w:tcPr>
          <w:p w14:paraId="7B43618E" w14:textId="468CF16B" w:rsidR="001E01FE" w:rsidRPr="00CE60B5" w:rsidRDefault="001E01FE" w:rsidP="001E01FE">
            <w:pPr>
              <w:pStyle w:val="Tabletext"/>
              <w:rPr>
                <w:rFonts w:cs="Arial"/>
                <w:szCs w:val="21"/>
                <w:lang w:eastAsia="en-AU"/>
              </w:rPr>
            </w:pPr>
            <w:r>
              <w:rPr>
                <w:rFonts w:cs="Arial"/>
                <w:szCs w:val="21"/>
                <w:lang w:eastAsia="en-AU"/>
              </w:rPr>
              <w:t xml:space="preserve">Proportion of men working part time </w:t>
            </w:r>
          </w:p>
        </w:tc>
        <w:tc>
          <w:tcPr>
            <w:tcW w:w="1417" w:type="dxa"/>
            <w:hideMark/>
          </w:tcPr>
          <w:p w14:paraId="6302793F" w14:textId="79500439" w:rsidR="001E01FE" w:rsidRPr="00CE60B5" w:rsidRDefault="001E01FE" w:rsidP="001E01FE">
            <w:pPr>
              <w:pStyle w:val="Tabletext"/>
              <w:rPr>
                <w:rFonts w:cs="Arial"/>
                <w:szCs w:val="21"/>
                <w:lang w:eastAsia="en-AU"/>
              </w:rPr>
            </w:pPr>
            <w:r>
              <w:rPr>
                <w:rFonts w:cs="Arial"/>
                <w:szCs w:val="21"/>
                <w:lang w:eastAsia="en-AU"/>
              </w:rPr>
              <w:t>26.1%</w:t>
            </w:r>
          </w:p>
        </w:tc>
        <w:tc>
          <w:tcPr>
            <w:tcW w:w="1418" w:type="dxa"/>
            <w:hideMark/>
          </w:tcPr>
          <w:p w14:paraId="70F25F0B" w14:textId="42B75C93" w:rsidR="001E01FE" w:rsidRPr="00CE60B5" w:rsidRDefault="001E01FE" w:rsidP="001E01FE">
            <w:pPr>
              <w:pStyle w:val="Tabletext"/>
              <w:rPr>
                <w:rFonts w:cs="Arial"/>
                <w:szCs w:val="21"/>
                <w:lang w:eastAsia="en-AU"/>
              </w:rPr>
            </w:pPr>
            <w:r>
              <w:rPr>
                <w:rFonts w:cs="Arial"/>
                <w:szCs w:val="21"/>
                <w:lang w:eastAsia="en-AU"/>
              </w:rPr>
              <w:t>26.7%</w:t>
            </w:r>
          </w:p>
        </w:tc>
        <w:tc>
          <w:tcPr>
            <w:tcW w:w="1232" w:type="dxa"/>
            <w:hideMark/>
          </w:tcPr>
          <w:p w14:paraId="1D351E30" w14:textId="1D25BA47" w:rsidR="001E01FE" w:rsidRPr="00CE60B5" w:rsidRDefault="001E01FE" w:rsidP="001E01FE">
            <w:pPr>
              <w:pStyle w:val="Tabletext"/>
              <w:rPr>
                <w:rFonts w:cs="Arial"/>
                <w:szCs w:val="21"/>
                <w:lang w:eastAsia="en-AU"/>
              </w:rPr>
            </w:pPr>
            <w:r>
              <w:rPr>
                <w:rFonts w:cs="Arial"/>
                <w:szCs w:val="21"/>
                <w:lang w:eastAsia="en-AU"/>
              </w:rPr>
              <w:t>27.9%</w:t>
            </w:r>
          </w:p>
        </w:tc>
        <w:tc>
          <w:tcPr>
            <w:tcW w:w="1603" w:type="dxa"/>
            <w:hideMark/>
          </w:tcPr>
          <w:p w14:paraId="19D3CE36" w14:textId="0DBEF865" w:rsidR="001E01FE" w:rsidRPr="00CE60B5" w:rsidRDefault="001E01FE" w:rsidP="001E01FE">
            <w:pPr>
              <w:pStyle w:val="Tabletext"/>
              <w:rPr>
                <w:rFonts w:cs="Arial"/>
                <w:szCs w:val="21"/>
                <w:lang w:eastAsia="en-AU"/>
              </w:rPr>
            </w:pPr>
            <w:r>
              <w:rPr>
                <w:rFonts w:cs="Arial"/>
                <w:szCs w:val="21"/>
                <w:lang w:eastAsia="en-AU"/>
              </w:rPr>
              <w:t>+1.8pp</w:t>
            </w:r>
          </w:p>
        </w:tc>
        <w:tc>
          <w:tcPr>
            <w:tcW w:w="1501" w:type="dxa"/>
            <w:tcBorders>
              <w:top w:val="nil"/>
              <w:bottom w:val="nil"/>
            </w:tcBorders>
            <w:hideMark/>
          </w:tcPr>
          <w:p w14:paraId="6D9ABEFD" w14:textId="7A485FEA" w:rsidR="001E01FE" w:rsidRPr="00CE60B5" w:rsidRDefault="001E01FE" w:rsidP="001E01FE">
            <w:pPr>
              <w:pStyle w:val="Tabletext"/>
              <w:rPr>
                <w:rFonts w:cs="Arial"/>
                <w:szCs w:val="21"/>
                <w:lang w:eastAsia="en-AU"/>
              </w:rPr>
            </w:pPr>
            <w:r>
              <w:rPr>
                <w:rFonts w:cs="Arial"/>
                <w:szCs w:val="21"/>
                <w:lang w:eastAsia="en-AU"/>
              </w:rPr>
              <w:t xml:space="preserve">Moderate (Holistic) </w:t>
            </w:r>
          </w:p>
        </w:tc>
      </w:tr>
      <w:tr w:rsidR="001E01FE" w:rsidRPr="00CE60B5" w14:paraId="21034F01" w14:textId="77777777" w:rsidTr="007A113B">
        <w:tc>
          <w:tcPr>
            <w:tcW w:w="2127" w:type="dxa"/>
          </w:tcPr>
          <w:p w14:paraId="70F9738A" w14:textId="57C99133" w:rsidR="001E01FE" w:rsidRDefault="001E01FE" w:rsidP="001E01FE">
            <w:pPr>
              <w:pStyle w:val="Tabletext"/>
              <w:rPr>
                <w:rFonts w:cs="Arial"/>
                <w:szCs w:val="21"/>
                <w:lang w:eastAsia="en-AU"/>
              </w:rPr>
            </w:pPr>
            <w:r>
              <w:rPr>
                <w:rFonts w:cs="Arial"/>
                <w:szCs w:val="21"/>
                <w:lang w:eastAsia="en-AU"/>
              </w:rPr>
              <w:t xml:space="preserve">Gender gap in part-time work </w:t>
            </w:r>
          </w:p>
        </w:tc>
        <w:tc>
          <w:tcPr>
            <w:tcW w:w="1417" w:type="dxa"/>
          </w:tcPr>
          <w:p w14:paraId="2CD27A22" w14:textId="724BED91" w:rsidR="001E01FE" w:rsidRPr="00CE60B5" w:rsidRDefault="001E01FE" w:rsidP="001E01FE">
            <w:pPr>
              <w:pStyle w:val="Tabletext"/>
              <w:rPr>
                <w:rFonts w:cs="Arial"/>
                <w:lang w:eastAsia="en-AU"/>
              </w:rPr>
            </w:pPr>
            <w:r w:rsidRPr="1EC6841A">
              <w:rPr>
                <w:rFonts w:cs="Arial"/>
                <w:lang w:eastAsia="en-AU"/>
              </w:rPr>
              <w:t>-</w:t>
            </w:r>
            <w:r>
              <w:rPr>
                <w:rFonts w:cs="Arial"/>
                <w:lang w:eastAsia="en-AU"/>
              </w:rPr>
              <w:t>28.7%</w:t>
            </w:r>
          </w:p>
        </w:tc>
        <w:tc>
          <w:tcPr>
            <w:tcW w:w="1418" w:type="dxa"/>
          </w:tcPr>
          <w:p w14:paraId="21A42DB7" w14:textId="1DC748C6" w:rsidR="001E01FE" w:rsidRPr="00CE60B5" w:rsidRDefault="001E01FE" w:rsidP="001E01FE">
            <w:pPr>
              <w:pStyle w:val="Tabletext"/>
              <w:rPr>
                <w:rFonts w:cs="Arial"/>
                <w:szCs w:val="21"/>
                <w:lang w:eastAsia="en-AU"/>
              </w:rPr>
            </w:pPr>
            <w:r>
              <w:rPr>
                <w:rFonts w:cs="Arial"/>
                <w:szCs w:val="21"/>
                <w:lang w:eastAsia="en-AU"/>
              </w:rPr>
              <w:t>-27.3%</w:t>
            </w:r>
          </w:p>
        </w:tc>
        <w:tc>
          <w:tcPr>
            <w:tcW w:w="1232" w:type="dxa"/>
          </w:tcPr>
          <w:p w14:paraId="327A8446" w14:textId="0C15D57C" w:rsidR="001E01FE" w:rsidRPr="00CE60B5" w:rsidRDefault="001E01FE" w:rsidP="001E01FE">
            <w:pPr>
              <w:pStyle w:val="Tabletext"/>
              <w:rPr>
                <w:rFonts w:cs="Arial"/>
                <w:szCs w:val="21"/>
                <w:lang w:eastAsia="en-AU"/>
              </w:rPr>
            </w:pPr>
            <w:r>
              <w:rPr>
                <w:rFonts w:cs="Arial"/>
                <w:szCs w:val="21"/>
                <w:lang w:eastAsia="en-AU"/>
              </w:rPr>
              <w:t>-26.2%</w:t>
            </w:r>
          </w:p>
        </w:tc>
        <w:tc>
          <w:tcPr>
            <w:tcW w:w="1603" w:type="dxa"/>
          </w:tcPr>
          <w:p w14:paraId="21312D26" w14:textId="1ACEB890" w:rsidR="001E01FE" w:rsidRPr="00CE60B5" w:rsidRDefault="001E01FE" w:rsidP="001E01FE">
            <w:pPr>
              <w:pStyle w:val="Tabletext"/>
              <w:rPr>
                <w:rFonts w:cs="Arial"/>
                <w:szCs w:val="21"/>
                <w:lang w:eastAsia="en-AU"/>
              </w:rPr>
            </w:pPr>
            <w:r>
              <w:rPr>
                <w:rFonts w:cs="Arial"/>
                <w:szCs w:val="21"/>
                <w:lang w:eastAsia="en-AU"/>
              </w:rPr>
              <w:t>+2.5pp</w:t>
            </w:r>
            <w:r w:rsidRPr="00CE60B5">
              <w:rPr>
                <w:rFonts w:cs="Arial"/>
                <w:szCs w:val="21"/>
                <w:lang w:eastAsia="en-AU"/>
              </w:rPr>
              <w:t xml:space="preserve"> </w:t>
            </w:r>
          </w:p>
        </w:tc>
        <w:tc>
          <w:tcPr>
            <w:tcW w:w="1501" w:type="dxa"/>
            <w:tcBorders>
              <w:top w:val="nil"/>
            </w:tcBorders>
          </w:tcPr>
          <w:p w14:paraId="769DDBB9" w14:textId="52C26E7E" w:rsidR="001E01FE" w:rsidRPr="00CE60B5" w:rsidRDefault="001E01FE" w:rsidP="001E01FE">
            <w:pPr>
              <w:pStyle w:val="Tabletext"/>
              <w:rPr>
                <w:rFonts w:cs="Arial"/>
                <w:szCs w:val="21"/>
                <w:lang w:eastAsia="en-AU"/>
              </w:rPr>
            </w:pPr>
            <w:r>
              <w:rPr>
                <w:rFonts w:cs="Arial"/>
                <w:szCs w:val="21"/>
                <w:lang w:eastAsia="en-AU"/>
              </w:rPr>
              <w:t xml:space="preserve">Moderate (Holistic) </w:t>
            </w:r>
          </w:p>
        </w:tc>
      </w:tr>
      <w:tr w:rsidR="001E01FE" w:rsidRPr="00CE60B5" w14:paraId="65196F9A" w14:textId="77777777" w:rsidTr="004B2BBB">
        <w:tc>
          <w:tcPr>
            <w:tcW w:w="2127" w:type="dxa"/>
          </w:tcPr>
          <w:p w14:paraId="1988AA54" w14:textId="078B25A3" w:rsidR="001E01FE" w:rsidRDefault="001E01FE" w:rsidP="001E01FE">
            <w:pPr>
              <w:pStyle w:val="Tabletext"/>
              <w:rPr>
                <w:rFonts w:cs="Arial"/>
                <w:szCs w:val="21"/>
                <w:lang w:eastAsia="en-AU"/>
              </w:rPr>
            </w:pPr>
            <w:r>
              <w:rPr>
                <w:rFonts w:cs="Arial"/>
                <w:szCs w:val="21"/>
                <w:lang w:eastAsia="en-AU"/>
              </w:rPr>
              <w:t>People of self-described gender’s uptake of part-time work</w:t>
            </w:r>
          </w:p>
        </w:tc>
        <w:tc>
          <w:tcPr>
            <w:tcW w:w="1417" w:type="dxa"/>
          </w:tcPr>
          <w:p w14:paraId="2AFB0B8B" w14:textId="002F8FF9" w:rsidR="001E01FE" w:rsidRPr="00CE60B5" w:rsidRDefault="001E01FE" w:rsidP="001E01FE">
            <w:pPr>
              <w:pStyle w:val="Tabletext"/>
              <w:rPr>
                <w:rFonts w:cs="Arial"/>
                <w:szCs w:val="21"/>
                <w:lang w:eastAsia="en-AU"/>
              </w:rPr>
            </w:pPr>
            <w:r>
              <w:rPr>
                <w:rFonts w:cs="Arial"/>
                <w:szCs w:val="21"/>
                <w:lang w:eastAsia="en-AU"/>
              </w:rPr>
              <w:t>56.0%</w:t>
            </w:r>
          </w:p>
        </w:tc>
        <w:tc>
          <w:tcPr>
            <w:tcW w:w="1418" w:type="dxa"/>
          </w:tcPr>
          <w:p w14:paraId="7BF6A1B8" w14:textId="0CF83892" w:rsidR="001E01FE" w:rsidRPr="00CE60B5" w:rsidRDefault="001E01FE" w:rsidP="001E01FE">
            <w:pPr>
              <w:pStyle w:val="Tabletext"/>
              <w:rPr>
                <w:rFonts w:cs="Arial"/>
                <w:szCs w:val="21"/>
                <w:lang w:eastAsia="en-AU"/>
              </w:rPr>
            </w:pPr>
            <w:r>
              <w:rPr>
                <w:rFonts w:cs="Arial"/>
                <w:szCs w:val="21"/>
                <w:lang w:eastAsia="en-AU"/>
              </w:rPr>
              <w:t>51.5%</w:t>
            </w:r>
          </w:p>
        </w:tc>
        <w:tc>
          <w:tcPr>
            <w:tcW w:w="1232" w:type="dxa"/>
          </w:tcPr>
          <w:p w14:paraId="3FA701F6" w14:textId="3BB2E7F3" w:rsidR="001E01FE" w:rsidRPr="00CE60B5" w:rsidRDefault="001E01FE" w:rsidP="001E01FE">
            <w:pPr>
              <w:pStyle w:val="Tabletext"/>
              <w:rPr>
                <w:rFonts w:cs="Arial"/>
                <w:szCs w:val="21"/>
                <w:lang w:eastAsia="en-AU"/>
              </w:rPr>
            </w:pPr>
            <w:r>
              <w:rPr>
                <w:rFonts w:cs="Arial"/>
                <w:szCs w:val="21"/>
                <w:lang w:eastAsia="en-AU"/>
              </w:rPr>
              <w:t>54.5%</w:t>
            </w:r>
          </w:p>
        </w:tc>
        <w:tc>
          <w:tcPr>
            <w:tcW w:w="1603" w:type="dxa"/>
          </w:tcPr>
          <w:p w14:paraId="0503066C" w14:textId="7B1D04E2" w:rsidR="001E01FE" w:rsidRPr="00CE60B5" w:rsidRDefault="001E01FE" w:rsidP="001E01FE">
            <w:pPr>
              <w:pStyle w:val="Tabletext"/>
              <w:rPr>
                <w:rFonts w:cs="Arial"/>
                <w:lang w:eastAsia="en-AU"/>
              </w:rPr>
            </w:pPr>
            <w:r w:rsidRPr="1EC6841A">
              <w:rPr>
                <w:rFonts w:cs="Arial"/>
                <w:lang w:eastAsia="en-AU"/>
              </w:rPr>
              <w:t>-1.</w:t>
            </w:r>
            <w:r>
              <w:rPr>
                <w:rFonts w:cs="Arial"/>
                <w:lang w:eastAsia="en-AU"/>
              </w:rPr>
              <w:t>6pp</w:t>
            </w:r>
            <w:r w:rsidRPr="1EC6841A">
              <w:rPr>
                <w:rFonts w:cs="Arial"/>
                <w:lang w:eastAsia="en-AU"/>
              </w:rPr>
              <w:t xml:space="preserve"> </w:t>
            </w:r>
          </w:p>
        </w:tc>
        <w:tc>
          <w:tcPr>
            <w:tcW w:w="1501" w:type="dxa"/>
            <w:shd w:val="clear" w:color="auto" w:fill="BFBFBF" w:themeFill="background1" w:themeFillShade="BF"/>
          </w:tcPr>
          <w:p w14:paraId="601A1EB8" w14:textId="039B5061" w:rsidR="001E01FE" w:rsidRPr="00CE60B5" w:rsidRDefault="001E01FE" w:rsidP="001E01FE">
            <w:pPr>
              <w:pStyle w:val="Tabletext"/>
              <w:rPr>
                <w:rFonts w:cs="Arial"/>
                <w:szCs w:val="21"/>
                <w:lang w:eastAsia="en-AU"/>
              </w:rPr>
            </w:pPr>
            <w:r>
              <w:rPr>
                <w:rFonts w:cs="Arial"/>
                <w:szCs w:val="21"/>
                <w:lang w:eastAsia="en-AU"/>
              </w:rPr>
              <w:t>n/a</w:t>
            </w:r>
          </w:p>
        </w:tc>
      </w:tr>
    </w:tbl>
    <w:p w14:paraId="4143D8C7" w14:textId="58546CDF" w:rsidR="00980BEB" w:rsidRDefault="00980BEB" w:rsidP="00E544F5">
      <w:pPr>
        <w:pStyle w:val="Tablefigurenote"/>
      </w:pPr>
      <w:r w:rsidRPr="00136D6E">
        <w:t>Source: Workplace gender audit workforce data, 2021</w:t>
      </w:r>
      <w:r>
        <w:t>, 2023 and 2025.</w:t>
      </w:r>
    </w:p>
    <w:p w14:paraId="502F145C" w14:textId="096A43E1" w:rsidR="006F308F" w:rsidRPr="00CE60B5" w:rsidRDefault="006960F4" w:rsidP="00E544F5">
      <w:pPr>
        <w:pStyle w:val="Tablefigurenote"/>
      </w:pPr>
      <w:r w:rsidRPr="00C27278">
        <w:t xml:space="preserve">Notes: </w:t>
      </w:r>
      <w:r w:rsidR="00A32A54" w:rsidRPr="00A2089E">
        <w:t xml:space="preserve">To understand </w:t>
      </w:r>
      <w:r w:rsidR="00A2089E" w:rsidRPr="00A2089E">
        <w:t xml:space="preserve">how to interpret </w:t>
      </w:r>
      <w:r w:rsidR="00A32A54" w:rsidRPr="00A2089E">
        <w:t xml:space="preserve">the different </w:t>
      </w:r>
      <w:r w:rsidR="005429A3" w:rsidRPr="00A2089E">
        <w:t xml:space="preserve">types of progress </w:t>
      </w:r>
      <w:r w:rsidR="00C0248E" w:rsidRPr="00A2089E">
        <w:t>ratings</w:t>
      </w:r>
      <w:r w:rsidR="009D5E45">
        <w:t>,</w:t>
      </w:r>
      <w:r w:rsidR="005429A3" w:rsidRPr="00A2089E">
        <w:t xml:space="preserve"> see </w:t>
      </w:r>
      <w:hyperlink w:anchor="_Data_measures" w:history="1">
        <w:r w:rsidR="00395C1B">
          <w:rPr>
            <w:rStyle w:val="Hyperlink"/>
            <w:rFonts w:cs="Times New Roman"/>
          </w:rPr>
          <w:t>Data measures</w:t>
        </w:r>
      </w:hyperlink>
      <w:r w:rsidR="00395C1B">
        <w:t xml:space="preserve"> in </w:t>
      </w:r>
      <w:r w:rsidR="00395C1B" w:rsidRPr="00A2089E">
        <w:t>Appendix 1</w:t>
      </w:r>
      <w:r w:rsidR="00395C1B">
        <w:t>.</w:t>
      </w:r>
      <w:r w:rsidR="004E5378" w:rsidRPr="00C27278">
        <w:t xml:space="preserve"> </w:t>
      </w:r>
      <w:r w:rsidR="009D5E45" w:rsidRPr="00C27278">
        <w:t>To</w:t>
      </w:r>
      <w:r w:rsidR="00AF0F67" w:rsidRPr="00C27278">
        <w:t xml:space="preserve"> read more about how the Commission calculates gender gaps, see </w:t>
      </w:r>
      <w:hyperlink w:anchor="_Gender_gaps" w:history="1">
        <w:r w:rsidR="00AF73D6" w:rsidRPr="00AF73D6">
          <w:rPr>
            <w:rStyle w:val="Hyperlink"/>
            <w:rFonts w:cs="Times New Roman"/>
          </w:rPr>
          <w:t>Gender gaps</w:t>
        </w:r>
      </w:hyperlink>
      <w:r w:rsidR="00AF73D6">
        <w:t xml:space="preserve"> in Appendix 1</w:t>
      </w:r>
      <w:r w:rsidR="00A32A54">
        <w:t>.</w:t>
      </w:r>
      <w:r w:rsidR="000D580D" w:rsidRPr="00C27278">
        <w:t xml:space="preserve"> </w:t>
      </w:r>
      <w:r w:rsidR="00964380" w:rsidRPr="00C27278">
        <w:t>Gender gaps are always calculated between men and women.</w:t>
      </w:r>
      <w:r w:rsidR="005F763C" w:rsidRPr="00C27278">
        <w:t xml:space="preserve"> A gap </w:t>
      </w:r>
      <w:r w:rsidR="00A33093">
        <w:rPr>
          <w:lang w:eastAsia="en-AU"/>
        </w:rPr>
        <w:t>greater than zero</w:t>
      </w:r>
      <w:r w:rsidR="005F763C" w:rsidRPr="00C27278">
        <w:t xml:space="preserve"> is in favour of men, and a gap </w:t>
      </w:r>
      <w:r w:rsidR="00A33093">
        <w:t>less than zero</w:t>
      </w:r>
      <w:r w:rsidR="005F763C" w:rsidRPr="00C27278">
        <w:t xml:space="preserve"> is in favour of women.</w:t>
      </w:r>
      <w:r w:rsidR="00AE1037">
        <w:t xml:space="preserve"> </w:t>
      </w:r>
      <w:r w:rsidR="00AE1037" w:rsidRPr="00AE1037">
        <w:t xml:space="preserve">The </w:t>
      </w:r>
      <w:r w:rsidR="006073F8">
        <w:t>percentage point</w:t>
      </w:r>
      <w:r w:rsidR="00AE1037" w:rsidRPr="00AE1037">
        <w:t xml:space="preserve"> change column may not always reflect the exact difference between years due to rounding</w:t>
      </w:r>
      <w:r w:rsidR="00AE1037">
        <w:t>.</w:t>
      </w:r>
    </w:p>
    <w:p w14:paraId="7A1EB13F" w14:textId="0B1F652E" w:rsidR="00CE60B5" w:rsidRPr="00CE60B5" w:rsidRDefault="00CE60B5" w:rsidP="00F2615B">
      <w:pPr>
        <w:pStyle w:val="Tablecaption"/>
        <w:rPr>
          <w:rFonts w:cs="Arial"/>
          <w:b w:val="0"/>
          <w:bCs/>
          <w:szCs w:val="21"/>
          <w:lang w:eastAsia="en-AU"/>
        </w:rPr>
      </w:pPr>
      <w:bookmarkStart w:id="22" w:name="_Hlk204517207"/>
      <w:r w:rsidRPr="00CE60B5">
        <w:rPr>
          <w:lang w:eastAsia="en-AU"/>
        </w:rPr>
        <w:t>Table 1.2</w:t>
      </w:r>
      <w:r w:rsidR="006B43A4">
        <w:rPr>
          <w:lang w:eastAsia="en-AU"/>
        </w:rPr>
        <w:t>:</w:t>
      </w:r>
      <w:r w:rsidRPr="00CE60B5">
        <w:rPr>
          <w:lang w:eastAsia="en-AU"/>
        </w:rPr>
        <w:t xml:space="preserve"> Overall </w:t>
      </w:r>
      <w:r w:rsidR="00C875D1">
        <w:rPr>
          <w:lang w:eastAsia="en-AU"/>
        </w:rPr>
        <w:t>g</w:t>
      </w:r>
      <w:r w:rsidRPr="00CE60B5">
        <w:rPr>
          <w:lang w:eastAsia="en-AU"/>
        </w:rPr>
        <w:t xml:space="preserve">ender </w:t>
      </w:r>
      <w:r w:rsidR="00C875D1">
        <w:rPr>
          <w:lang w:eastAsia="en-AU"/>
        </w:rPr>
        <w:t>c</w:t>
      </w:r>
      <w:r w:rsidRPr="00CE60B5">
        <w:rPr>
          <w:lang w:eastAsia="en-AU"/>
        </w:rPr>
        <w:t xml:space="preserve">omposition of </w:t>
      </w:r>
      <w:r w:rsidR="00C875D1">
        <w:rPr>
          <w:lang w:eastAsia="en-AU"/>
        </w:rPr>
        <w:t>s</w:t>
      </w:r>
      <w:r w:rsidRPr="00CE60B5">
        <w:rPr>
          <w:lang w:eastAsia="en-AU"/>
        </w:rPr>
        <w:t xml:space="preserve">enior </w:t>
      </w:r>
      <w:r w:rsidR="00C875D1">
        <w:rPr>
          <w:lang w:eastAsia="en-AU"/>
        </w:rPr>
        <w:t>l</w:t>
      </w:r>
      <w:r w:rsidRPr="00CE60B5">
        <w:rPr>
          <w:lang w:eastAsia="en-AU"/>
        </w:rPr>
        <w:t>eaders</w:t>
      </w:r>
    </w:p>
    <w:tbl>
      <w:tblPr>
        <w:tblStyle w:val="CGEPStable"/>
        <w:tblW w:w="9214" w:type="dxa"/>
        <w:tblLook w:val="04A0" w:firstRow="1" w:lastRow="0" w:firstColumn="1" w:lastColumn="0" w:noHBand="0" w:noVBand="1"/>
      </w:tblPr>
      <w:tblGrid>
        <w:gridCol w:w="2127"/>
        <w:gridCol w:w="1417"/>
        <w:gridCol w:w="1559"/>
        <w:gridCol w:w="2127"/>
        <w:gridCol w:w="1984"/>
      </w:tblGrid>
      <w:tr w:rsidR="005247D3" w:rsidRPr="00CE60B5" w14:paraId="762BFD10" w14:textId="77777777" w:rsidTr="00BD20F0">
        <w:trPr>
          <w:cnfStyle w:val="100000000000" w:firstRow="1" w:lastRow="0" w:firstColumn="0" w:lastColumn="0" w:oddVBand="0" w:evenVBand="0" w:oddHBand="0" w:evenHBand="0" w:firstRowFirstColumn="0" w:firstRowLastColumn="0" w:lastRowFirstColumn="0" w:lastRowLastColumn="0"/>
          <w:cantSplit/>
        </w:trPr>
        <w:tc>
          <w:tcPr>
            <w:tcW w:w="2127" w:type="dxa"/>
            <w:hideMark/>
          </w:tcPr>
          <w:p w14:paraId="3F36672C" w14:textId="77777777" w:rsidR="00760DAE" w:rsidRPr="00CE60B5" w:rsidRDefault="00760DAE" w:rsidP="00F2615B">
            <w:pPr>
              <w:pStyle w:val="Tablecolhead"/>
              <w:rPr>
                <w:lang w:eastAsia="en-AU"/>
              </w:rPr>
            </w:pPr>
            <w:r w:rsidRPr="00CE60B5">
              <w:rPr>
                <w:lang w:eastAsia="en-AU"/>
              </w:rPr>
              <w:t>Measure</w:t>
            </w:r>
          </w:p>
        </w:tc>
        <w:tc>
          <w:tcPr>
            <w:tcW w:w="1417" w:type="dxa"/>
            <w:hideMark/>
          </w:tcPr>
          <w:p w14:paraId="7606FBE0" w14:textId="77777777" w:rsidR="00760DAE" w:rsidRPr="00CE60B5" w:rsidRDefault="00760DAE" w:rsidP="00F2615B">
            <w:pPr>
              <w:pStyle w:val="Tablecolhead"/>
              <w:rPr>
                <w:lang w:eastAsia="en-AU"/>
              </w:rPr>
            </w:pPr>
            <w:r w:rsidRPr="00CE60B5">
              <w:rPr>
                <w:lang w:eastAsia="en-AU"/>
              </w:rPr>
              <w:t>2023</w:t>
            </w:r>
          </w:p>
        </w:tc>
        <w:tc>
          <w:tcPr>
            <w:tcW w:w="1559" w:type="dxa"/>
            <w:hideMark/>
          </w:tcPr>
          <w:p w14:paraId="04F9C839" w14:textId="25207606" w:rsidR="00760DAE" w:rsidRPr="00CE60B5" w:rsidRDefault="00760DAE" w:rsidP="00F2615B">
            <w:pPr>
              <w:pStyle w:val="Tablecolhead"/>
              <w:rPr>
                <w:lang w:eastAsia="en-AU"/>
              </w:rPr>
            </w:pPr>
            <w:r w:rsidRPr="00CE60B5">
              <w:rPr>
                <w:lang w:eastAsia="en-AU"/>
              </w:rPr>
              <w:t>2025</w:t>
            </w:r>
          </w:p>
        </w:tc>
        <w:tc>
          <w:tcPr>
            <w:tcW w:w="2127" w:type="dxa"/>
            <w:hideMark/>
          </w:tcPr>
          <w:p w14:paraId="7D82F251" w14:textId="0D8FA4BE" w:rsidR="00760DAE" w:rsidRPr="00CE60B5" w:rsidRDefault="003245A0" w:rsidP="00F2615B">
            <w:pPr>
              <w:pStyle w:val="Tablecolhead"/>
              <w:rPr>
                <w:lang w:eastAsia="en-AU"/>
              </w:rPr>
            </w:pPr>
            <w:r>
              <w:rPr>
                <w:lang w:eastAsia="en-AU"/>
              </w:rPr>
              <w:t xml:space="preserve">Percentage </w:t>
            </w:r>
            <w:r w:rsidR="00C875D1">
              <w:rPr>
                <w:lang w:eastAsia="en-AU"/>
              </w:rPr>
              <w:t>p</w:t>
            </w:r>
            <w:r>
              <w:rPr>
                <w:lang w:eastAsia="en-AU"/>
              </w:rPr>
              <w:t xml:space="preserve">oint </w:t>
            </w:r>
            <w:r w:rsidR="00C875D1">
              <w:rPr>
                <w:lang w:eastAsia="en-AU"/>
              </w:rPr>
              <w:t>c</w:t>
            </w:r>
            <w:r>
              <w:rPr>
                <w:lang w:eastAsia="en-AU"/>
              </w:rPr>
              <w:t xml:space="preserve">hange </w:t>
            </w:r>
            <w:r w:rsidR="00760DAE" w:rsidRPr="00CE60B5">
              <w:rPr>
                <w:lang w:eastAsia="en-AU"/>
              </w:rPr>
              <w:t>202</w:t>
            </w:r>
            <w:r w:rsidR="00A6540D">
              <w:rPr>
                <w:lang w:eastAsia="en-AU"/>
              </w:rPr>
              <w:t>3</w:t>
            </w:r>
            <w:r w:rsidR="00760DAE" w:rsidRPr="00CE60B5">
              <w:rPr>
                <w:lang w:eastAsia="en-AU"/>
              </w:rPr>
              <w:t>-2025</w:t>
            </w:r>
            <w:r w:rsidR="00711480">
              <w:rPr>
                <w:lang w:eastAsia="en-AU"/>
              </w:rPr>
              <w:t xml:space="preserve"> </w:t>
            </w:r>
          </w:p>
        </w:tc>
        <w:tc>
          <w:tcPr>
            <w:tcW w:w="1984" w:type="dxa"/>
            <w:tcBorders>
              <w:bottom w:val="single" w:sz="4" w:space="0" w:color="5C308D"/>
            </w:tcBorders>
            <w:hideMark/>
          </w:tcPr>
          <w:p w14:paraId="239715CC" w14:textId="77777777" w:rsidR="00760DAE" w:rsidRPr="00CE60B5" w:rsidRDefault="00760DAE" w:rsidP="00F2615B">
            <w:pPr>
              <w:pStyle w:val="Tablecolhead"/>
              <w:rPr>
                <w:lang w:eastAsia="en-AU"/>
              </w:rPr>
            </w:pPr>
            <w:r w:rsidRPr="00CE60B5">
              <w:rPr>
                <w:lang w:eastAsia="en-AU"/>
              </w:rPr>
              <w:t>Progress</w:t>
            </w:r>
          </w:p>
        </w:tc>
      </w:tr>
      <w:tr w:rsidR="005247D3" w:rsidRPr="00CE60B5" w14:paraId="6FDD8C74" w14:textId="77777777" w:rsidTr="00BD20F0">
        <w:tc>
          <w:tcPr>
            <w:tcW w:w="2127" w:type="dxa"/>
            <w:hideMark/>
          </w:tcPr>
          <w:p w14:paraId="1098335F" w14:textId="4E0713C5" w:rsidR="00760DAE" w:rsidRPr="00CE60B5" w:rsidRDefault="005247D3" w:rsidP="00F2615B">
            <w:pPr>
              <w:pStyle w:val="Tabletext"/>
              <w:rPr>
                <w:rFonts w:cs="Arial"/>
                <w:szCs w:val="21"/>
                <w:lang w:eastAsia="en-AU"/>
              </w:rPr>
            </w:pPr>
            <w:r>
              <w:rPr>
                <w:rFonts w:cs="Arial"/>
                <w:szCs w:val="21"/>
                <w:lang w:eastAsia="en-AU"/>
              </w:rPr>
              <w:t>Proportion of w</w:t>
            </w:r>
            <w:r w:rsidR="00760DAE" w:rsidRPr="00CE60B5">
              <w:rPr>
                <w:rFonts w:cs="Arial"/>
                <w:szCs w:val="21"/>
                <w:lang w:eastAsia="en-AU"/>
              </w:rPr>
              <w:t xml:space="preserve">omen </w:t>
            </w:r>
          </w:p>
        </w:tc>
        <w:tc>
          <w:tcPr>
            <w:tcW w:w="1417" w:type="dxa"/>
            <w:hideMark/>
          </w:tcPr>
          <w:p w14:paraId="6443A919" w14:textId="1828260E" w:rsidR="00760DAE" w:rsidRPr="00CE60B5" w:rsidRDefault="00C44AA6" w:rsidP="00F2615B">
            <w:pPr>
              <w:pStyle w:val="Tabletext"/>
              <w:rPr>
                <w:rFonts w:cs="Arial"/>
                <w:szCs w:val="21"/>
                <w:lang w:eastAsia="en-AU"/>
              </w:rPr>
            </w:pPr>
            <w:r>
              <w:rPr>
                <w:rFonts w:cs="Arial"/>
                <w:szCs w:val="21"/>
                <w:lang w:eastAsia="en-AU"/>
              </w:rPr>
              <w:t>53.1</w:t>
            </w:r>
            <w:r w:rsidR="00760DAE" w:rsidRPr="00CE60B5">
              <w:rPr>
                <w:rFonts w:cs="Arial"/>
                <w:szCs w:val="21"/>
                <w:lang w:eastAsia="en-AU"/>
              </w:rPr>
              <w:t>%</w:t>
            </w:r>
          </w:p>
        </w:tc>
        <w:tc>
          <w:tcPr>
            <w:tcW w:w="1559" w:type="dxa"/>
            <w:hideMark/>
          </w:tcPr>
          <w:p w14:paraId="12BB1FA4" w14:textId="02E0C412" w:rsidR="00760DAE" w:rsidRPr="00CE60B5" w:rsidRDefault="00C44AA6" w:rsidP="00F2615B">
            <w:pPr>
              <w:pStyle w:val="Tabletext"/>
              <w:rPr>
                <w:rFonts w:cs="Arial"/>
                <w:lang w:eastAsia="en-AU"/>
              </w:rPr>
            </w:pPr>
            <w:r w:rsidRPr="6B94A8C0">
              <w:rPr>
                <w:rFonts w:cs="Arial"/>
                <w:lang w:eastAsia="en-AU"/>
              </w:rPr>
              <w:t>57.3%</w:t>
            </w:r>
          </w:p>
        </w:tc>
        <w:tc>
          <w:tcPr>
            <w:tcW w:w="2127" w:type="dxa"/>
            <w:hideMark/>
          </w:tcPr>
          <w:p w14:paraId="2FB99E36" w14:textId="77889D69" w:rsidR="00760DAE" w:rsidRPr="00CE60B5" w:rsidRDefault="00C44AA6" w:rsidP="00F2615B">
            <w:pPr>
              <w:pStyle w:val="Tabletext"/>
              <w:rPr>
                <w:rFonts w:cs="Arial"/>
                <w:szCs w:val="21"/>
                <w:lang w:eastAsia="en-AU"/>
              </w:rPr>
            </w:pPr>
            <w:r>
              <w:rPr>
                <w:rFonts w:cs="Arial"/>
                <w:szCs w:val="21"/>
                <w:lang w:eastAsia="en-AU"/>
              </w:rPr>
              <w:t>+4.</w:t>
            </w:r>
            <w:r w:rsidR="002D4D0C">
              <w:rPr>
                <w:rFonts w:cs="Arial"/>
                <w:szCs w:val="21"/>
                <w:lang w:eastAsia="en-AU"/>
              </w:rPr>
              <w:t>2</w:t>
            </w:r>
            <w:r w:rsidR="003245A0">
              <w:rPr>
                <w:rFonts w:cs="Arial"/>
                <w:szCs w:val="21"/>
                <w:lang w:eastAsia="en-AU"/>
              </w:rPr>
              <w:t>pp</w:t>
            </w:r>
            <w:r w:rsidR="00760DAE" w:rsidRPr="00CE60B5">
              <w:rPr>
                <w:rFonts w:cs="Arial"/>
                <w:szCs w:val="21"/>
                <w:lang w:eastAsia="en-AU"/>
              </w:rPr>
              <w:t xml:space="preserve"> </w:t>
            </w:r>
          </w:p>
        </w:tc>
        <w:tc>
          <w:tcPr>
            <w:tcW w:w="1984" w:type="dxa"/>
            <w:tcBorders>
              <w:top w:val="single" w:sz="4" w:space="0" w:color="5C308D"/>
              <w:bottom w:val="nil"/>
            </w:tcBorders>
            <w:hideMark/>
          </w:tcPr>
          <w:p w14:paraId="058DAB05" w14:textId="0E1B9EAA" w:rsidR="00A6540D" w:rsidRPr="00CE60B5" w:rsidRDefault="00155009" w:rsidP="00F2615B">
            <w:pPr>
              <w:pStyle w:val="Tabletext"/>
              <w:rPr>
                <w:rFonts w:cs="Arial"/>
                <w:szCs w:val="21"/>
                <w:lang w:eastAsia="en-AU"/>
              </w:rPr>
            </w:pPr>
            <w:r>
              <w:rPr>
                <w:rFonts w:cs="Arial"/>
                <w:szCs w:val="21"/>
                <w:lang w:eastAsia="en-AU"/>
              </w:rPr>
              <w:t>Improving</w:t>
            </w:r>
          </w:p>
          <w:p w14:paraId="7EF749F7" w14:textId="2E8AEBA0" w:rsidR="00760DAE" w:rsidRPr="00CE60B5" w:rsidRDefault="00760DAE" w:rsidP="00F2615B">
            <w:pPr>
              <w:pStyle w:val="Tabletext"/>
              <w:rPr>
                <w:rFonts w:cs="Arial"/>
                <w:szCs w:val="21"/>
                <w:lang w:eastAsia="en-AU"/>
              </w:rPr>
            </w:pPr>
          </w:p>
        </w:tc>
      </w:tr>
      <w:tr w:rsidR="005247D3" w:rsidRPr="00CE60B5" w14:paraId="294EAC9D" w14:textId="77777777" w:rsidTr="00BD20F0">
        <w:tc>
          <w:tcPr>
            <w:tcW w:w="2127" w:type="dxa"/>
            <w:hideMark/>
          </w:tcPr>
          <w:p w14:paraId="21622492" w14:textId="76EE1A68" w:rsidR="00760DAE" w:rsidRPr="00CE60B5" w:rsidRDefault="005247D3" w:rsidP="00F2615B">
            <w:pPr>
              <w:pStyle w:val="Tabletext"/>
              <w:rPr>
                <w:rFonts w:cs="Arial"/>
                <w:szCs w:val="21"/>
                <w:lang w:eastAsia="en-AU"/>
              </w:rPr>
            </w:pPr>
            <w:r>
              <w:rPr>
                <w:rFonts w:cs="Arial"/>
                <w:szCs w:val="21"/>
                <w:lang w:eastAsia="en-AU"/>
              </w:rPr>
              <w:t>Proportion of m</w:t>
            </w:r>
            <w:r w:rsidR="00760DAE" w:rsidRPr="00CE60B5">
              <w:rPr>
                <w:rFonts w:cs="Arial"/>
                <w:szCs w:val="21"/>
                <w:lang w:eastAsia="en-AU"/>
              </w:rPr>
              <w:t xml:space="preserve">en </w:t>
            </w:r>
          </w:p>
        </w:tc>
        <w:tc>
          <w:tcPr>
            <w:tcW w:w="1417" w:type="dxa"/>
            <w:hideMark/>
          </w:tcPr>
          <w:p w14:paraId="210B0D74" w14:textId="0599CCDA" w:rsidR="00760DAE" w:rsidRPr="00CE60B5" w:rsidRDefault="00C44AA6" w:rsidP="00F2615B">
            <w:pPr>
              <w:pStyle w:val="Tabletext"/>
              <w:rPr>
                <w:rFonts w:cs="Arial"/>
                <w:szCs w:val="21"/>
                <w:lang w:eastAsia="en-AU"/>
              </w:rPr>
            </w:pPr>
            <w:r>
              <w:rPr>
                <w:rFonts w:cs="Arial"/>
                <w:szCs w:val="21"/>
                <w:lang w:eastAsia="en-AU"/>
              </w:rPr>
              <w:t>46.6</w:t>
            </w:r>
            <w:r w:rsidR="00760DAE" w:rsidRPr="00CE60B5">
              <w:rPr>
                <w:rFonts w:cs="Arial"/>
                <w:szCs w:val="21"/>
                <w:lang w:eastAsia="en-AU"/>
              </w:rPr>
              <w:t>%</w:t>
            </w:r>
          </w:p>
        </w:tc>
        <w:tc>
          <w:tcPr>
            <w:tcW w:w="1559" w:type="dxa"/>
            <w:hideMark/>
          </w:tcPr>
          <w:p w14:paraId="400FD775" w14:textId="2348BE9B" w:rsidR="00760DAE" w:rsidRPr="00CE60B5" w:rsidRDefault="00C44AA6" w:rsidP="00F2615B">
            <w:pPr>
              <w:pStyle w:val="Tabletext"/>
              <w:rPr>
                <w:rFonts w:cs="Arial"/>
                <w:szCs w:val="21"/>
                <w:lang w:eastAsia="en-AU"/>
              </w:rPr>
            </w:pPr>
            <w:r>
              <w:rPr>
                <w:rFonts w:cs="Arial"/>
                <w:szCs w:val="21"/>
                <w:lang w:eastAsia="en-AU"/>
              </w:rPr>
              <w:t>42.6%</w:t>
            </w:r>
          </w:p>
        </w:tc>
        <w:tc>
          <w:tcPr>
            <w:tcW w:w="2127" w:type="dxa"/>
            <w:hideMark/>
          </w:tcPr>
          <w:p w14:paraId="3AC985CF" w14:textId="7642CAC5" w:rsidR="00760DAE" w:rsidRPr="00CE60B5" w:rsidRDefault="00C44AA6" w:rsidP="00F2615B">
            <w:pPr>
              <w:pStyle w:val="Tabletext"/>
              <w:rPr>
                <w:rFonts w:cs="Arial"/>
                <w:szCs w:val="21"/>
                <w:lang w:eastAsia="en-AU"/>
              </w:rPr>
            </w:pPr>
            <w:r>
              <w:rPr>
                <w:rFonts w:cs="Arial"/>
                <w:szCs w:val="21"/>
                <w:lang w:eastAsia="en-AU"/>
              </w:rPr>
              <w:t>-4.0</w:t>
            </w:r>
            <w:r w:rsidR="003245A0">
              <w:rPr>
                <w:rFonts w:cs="Arial"/>
                <w:szCs w:val="21"/>
                <w:lang w:eastAsia="en-AU"/>
              </w:rPr>
              <w:t>pp</w:t>
            </w:r>
          </w:p>
        </w:tc>
        <w:tc>
          <w:tcPr>
            <w:tcW w:w="1984" w:type="dxa"/>
            <w:tcBorders>
              <w:top w:val="nil"/>
            </w:tcBorders>
            <w:hideMark/>
          </w:tcPr>
          <w:p w14:paraId="601F3C06" w14:textId="7673B8E1" w:rsidR="00760DAE" w:rsidRPr="00CE60B5" w:rsidRDefault="006025A3" w:rsidP="00F2615B">
            <w:pPr>
              <w:pStyle w:val="Tabletext"/>
              <w:rPr>
                <w:rFonts w:cs="Arial"/>
                <w:szCs w:val="21"/>
                <w:lang w:eastAsia="en-AU"/>
              </w:rPr>
            </w:pPr>
            <w:r>
              <w:rPr>
                <w:rFonts w:cs="Arial"/>
                <w:szCs w:val="21"/>
                <w:lang w:eastAsia="en-AU"/>
              </w:rPr>
              <w:t>Improving</w:t>
            </w:r>
          </w:p>
        </w:tc>
      </w:tr>
      <w:tr w:rsidR="005247D3" w:rsidRPr="00CE60B5" w14:paraId="55BA0A5D" w14:textId="77777777" w:rsidTr="004B2BBB">
        <w:tc>
          <w:tcPr>
            <w:tcW w:w="2127" w:type="dxa"/>
            <w:hideMark/>
          </w:tcPr>
          <w:p w14:paraId="4A40D53B" w14:textId="5B952E62" w:rsidR="00760DAE" w:rsidRPr="00CE60B5" w:rsidRDefault="00760DAE" w:rsidP="00F2615B">
            <w:pPr>
              <w:pStyle w:val="Tabletext"/>
              <w:rPr>
                <w:rFonts w:cs="Arial"/>
                <w:szCs w:val="21"/>
                <w:lang w:eastAsia="en-AU"/>
              </w:rPr>
            </w:pPr>
            <w:r>
              <w:rPr>
                <w:rFonts w:cs="Arial"/>
                <w:szCs w:val="21"/>
                <w:lang w:eastAsia="en-AU"/>
              </w:rPr>
              <w:lastRenderedPageBreak/>
              <w:t>P</w:t>
            </w:r>
            <w:r w:rsidR="005247D3">
              <w:rPr>
                <w:rFonts w:cs="Arial"/>
                <w:szCs w:val="21"/>
                <w:lang w:eastAsia="en-AU"/>
              </w:rPr>
              <w:t>roportion of p</w:t>
            </w:r>
            <w:r>
              <w:rPr>
                <w:rFonts w:cs="Arial"/>
                <w:szCs w:val="21"/>
                <w:lang w:eastAsia="en-AU"/>
              </w:rPr>
              <w:t>eople of self-described gender</w:t>
            </w:r>
            <w:r w:rsidRPr="00CE60B5">
              <w:rPr>
                <w:rFonts w:cs="Arial"/>
                <w:szCs w:val="21"/>
                <w:lang w:eastAsia="en-AU"/>
              </w:rPr>
              <w:t xml:space="preserve"> </w:t>
            </w:r>
          </w:p>
        </w:tc>
        <w:tc>
          <w:tcPr>
            <w:tcW w:w="1417" w:type="dxa"/>
            <w:hideMark/>
          </w:tcPr>
          <w:p w14:paraId="40E527E7" w14:textId="654757AF" w:rsidR="00760DAE" w:rsidRPr="00CE60B5" w:rsidRDefault="00C44AA6" w:rsidP="00F2615B">
            <w:pPr>
              <w:pStyle w:val="Tabletext"/>
              <w:rPr>
                <w:rFonts w:cs="Arial"/>
                <w:szCs w:val="21"/>
                <w:lang w:eastAsia="en-AU"/>
              </w:rPr>
            </w:pPr>
            <w:r>
              <w:rPr>
                <w:rFonts w:cs="Arial"/>
                <w:szCs w:val="21"/>
                <w:lang w:eastAsia="en-AU"/>
              </w:rPr>
              <w:t>0.2</w:t>
            </w:r>
            <w:r w:rsidR="00760DAE" w:rsidRPr="00CE60B5">
              <w:rPr>
                <w:rFonts w:cs="Arial"/>
                <w:szCs w:val="21"/>
                <w:lang w:eastAsia="en-AU"/>
              </w:rPr>
              <w:t>%</w:t>
            </w:r>
          </w:p>
        </w:tc>
        <w:tc>
          <w:tcPr>
            <w:tcW w:w="1559" w:type="dxa"/>
            <w:hideMark/>
          </w:tcPr>
          <w:p w14:paraId="3238974B" w14:textId="315929EA" w:rsidR="00760DAE" w:rsidRPr="00CE60B5" w:rsidRDefault="00C44AA6" w:rsidP="00F2615B">
            <w:pPr>
              <w:pStyle w:val="Tabletext"/>
              <w:rPr>
                <w:rFonts w:cs="Arial"/>
                <w:szCs w:val="21"/>
                <w:lang w:eastAsia="en-AU"/>
              </w:rPr>
            </w:pPr>
            <w:r>
              <w:rPr>
                <w:rFonts w:cs="Arial"/>
                <w:szCs w:val="21"/>
                <w:lang w:eastAsia="en-AU"/>
              </w:rPr>
              <w:t>0.1%</w:t>
            </w:r>
          </w:p>
        </w:tc>
        <w:tc>
          <w:tcPr>
            <w:tcW w:w="2127" w:type="dxa"/>
            <w:hideMark/>
          </w:tcPr>
          <w:p w14:paraId="4010F1F0" w14:textId="505B0465" w:rsidR="00760DAE" w:rsidRPr="00CE60B5" w:rsidRDefault="00C44AA6" w:rsidP="00F2615B">
            <w:pPr>
              <w:pStyle w:val="Tabletext"/>
              <w:rPr>
                <w:rFonts w:cs="Arial"/>
                <w:szCs w:val="21"/>
                <w:lang w:eastAsia="en-AU"/>
              </w:rPr>
            </w:pPr>
            <w:r>
              <w:rPr>
                <w:rFonts w:cs="Arial"/>
                <w:szCs w:val="21"/>
                <w:lang w:eastAsia="en-AU"/>
              </w:rPr>
              <w:t>-0.1</w:t>
            </w:r>
            <w:r w:rsidR="003245A0">
              <w:rPr>
                <w:rFonts w:cs="Arial"/>
                <w:szCs w:val="21"/>
                <w:lang w:eastAsia="en-AU"/>
              </w:rPr>
              <w:t>pp</w:t>
            </w:r>
          </w:p>
        </w:tc>
        <w:tc>
          <w:tcPr>
            <w:tcW w:w="1984" w:type="dxa"/>
            <w:shd w:val="clear" w:color="auto" w:fill="BFBFBF" w:themeFill="background1" w:themeFillShade="BF"/>
            <w:hideMark/>
          </w:tcPr>
          <w:p w14:paraId="651E47EC" w14:textId="75330649" w:rsidR="00760DAE" w:rsidRPr="00CE60B5" w:rsidRDefault="00EA76B5" w:rsidP="00F2615B">
            <w:pPr>
              <w:pStyle w:val="Tabletext"/>
              <w:rPr>
                <w:rFonts w:cs="Arial"/>
                <w:szCs w:val="21"/>
                <w:lang w:eastAsia="en-AU"/>
              </w:rPr>
            </w:pPr>
            <w:r>
              <w:rPr>
                <w:rFonts w:cs="Arial"/>
                <w:szCs w:val="21"/>
                <w:lang w:eastAsia="en-AU"/>
              </w:rPr>
              <w:t>n/a</w:t>
            </w:r>
          </w:p>
        </w:tc>
      </w:tr>
    </w:tbl>
    <w:bookmarkEnd w:id="22"/>
    <w:p w14:paraId="1E44A6B1" w14:textId="427797DB" w:rsidR="00AE2BAB" w:rsidRDefault="00AE2BAB" w:rsidP="009B4DCB">
      <w:pPr>
        <w:pStyle w:val="Tablefigurenote"/>
      </w:pPr>
      <w:r w:rsidRPr="00136D6E">
        <w:t xml:space="preserve">Source: Workplace gender audit workforce data, </w:t>
      </w:r>
      <w:r>
        <w:t>2023 and 2025.</w:t>
      </w:r>
    </w:p>
    <w:p w14:paraId="209B5C0F" w14:textId="766B2F7A" w:rsidR="00814BCA" w:rsidRDefault="009B4DCB" w:rsidP="009B4DCB">
      <w:pPr>
        <w:pStyle w:val="Tablefigurenote"/>
        <w:rPr>
          <w:b/>
          <w:bCs/>
          <w:lang w:eastAsia="en-AU"/>
        </w:rPr>
      </w:pPr>
      <w:r w:rsidRPr="00C27278">
        <w:t xml:space="preserve">Notes: </w:t>
      </w:r>
      <w:r w:rsidR="009D5E45" w:rsidRPr="00A2089E">
        <w:rPr>
          <w:rFonts w:cs="Arial"/>
          <w:szCs w:val="21"/>
        </w:rPr>
        <w:t>To understand how to interpret the different types of progress ratings</w:t>
      </w:r>
      <w:r w:rsidR="009D5E45">
        <w:rPr>
          <w:rFonts w:cs="Arial"/>
          <w:szCs w:val="21"/>
        </w:rPr>
        <w:t>,</w:t>
      </w:r>
      <w:r w:rsidR="009D5E45" w:rsidRPr="00A2089E">
        <w:rPr>
          <w:rFonts w:cs="Arial"/>
          <w:szCs w:val="21"/>
        </w:rPr>
        <w:t xml:space="preserve"> see </w:t>
      </w:r>
      <w:hyperlink w:anchor="_Data_measures" w:history="1">
        <w:r w:rsidR="00395C1B">
          <w:rPr>
            <w:rStyle w:val="Hyperlink"/>
            <w:rFonts w:cs="Times New Roman"/>
          </w:rPr>
          <w:t>Data measures</w:t>
        </w:r>
      </w:hyperlink>
      <w:r w:rsidR="00395C1B">
        <w:t xml:space="preserve"> in </w:t>
      </w:r>
      <w:r w:rsidR="009D5E45" w:rsidRPr="00A2089E">
        <w:t>Appendix 1</w:t>
      </w:r>
      <w:r w:rsidR="00395C1B">
        <w:t>.</w:t>
      </w:r>
      <w:r w:rsidR="00D74D7B">
        <w:t xml:space="preserve"> </w:t>
      </w:r>
      <w:r w:rsidR="006D576D">
        <w:t>S</w:t>
      </w:r>
      <w:r w:rsidR="00476B7D">
        <w:t xml:space="preserve">enior leader </w:t>
      </w:r>
      <w:r w:rsidR="006D576D">
        <w:t>data</w:t>
      </w:r>
      <w:r w:rsidR="00476B7D">
        <w:t xml:space="preserve"> was introduced into the audit in 2023</w:t>
      </w:r>
      <w:r w:rsidR="006D576D">
        <w:t xml:space="preserve"> </w:t>
      </w:r>
      <w:r w:rsidR="009D5E45" w:rsidRPr="00A2089E">
        <w:t xml:space="preserve">and </w:t>
      </w:r>
      <w:r w:rsidR="006D576D">
        <w:t>is not available for 2021</w:t>
      </w:r>
      <w:r w:rsidR="00476B7D">
        <w:t xml:space="preserve">. You can review the definition of senior leader in </w:t>
      </w:r>
      <w:r w:rsidR="005A032B" w:rsidRPr="005E3A84">
        <w:t xml:space="preserve">the </w:t>
      </w:r>
      <w:hyperlink r:id="rId26" w:history="1">
        <w:r w:rsidR="005A032B" w:rsidRPr="000F0FD4">
          <w:rPr>
            <w:rStyle w:val="Hyperlink"/>
            <w:rFonts w:cs="Times New Roman"/>
          </w:rPr>
          <w:t>audit guidance</w:t>
        </w:r>
      </w:hyperlink>
      <w:r w:rsidR="00476B7D">
        <w:t>.</w:t>
      </w:r>
      <w:r w:rsidR="00D74D7B">
        <w:t xml:space="preserve"> </w:t>
      </w:r>
      <w:r w:rsidR="00194052" w:rsidRPr="00AE1037">
        <w:t xml:space="preserve">The </w:t>
      </w:r>
      <w:r w:rsidR="006073F8">
        <w:t>percentage point</w:t>
      </w:r>
      <w:r w:rsidR="00194052" w:rsidRPr="00AE1037">
        <w:t xml:space="preserve"> change column may not always reflect the exact difference between years due to rounding</w:t>
      </w:r>
      <w:r w:rsidR="00194052">
        <w:t>.</w:t>
      </w:r>
    </w:p>
    <w:p w14:paraId="4C108276" w14:textId="5E103945" w:rsidR="00230197" w:rsidRDefault="00230197" w:rsidP="00F2615B">
      <w:pPr>
        <w:pStyle w:val="Tablecaption"/>
        <w:rPr>
          <w:b w:val="0"/>
          <w:bCs/>
          <w:lang w:eastAsia="en-AU"/>
        </w:rPr>
      </w:pPr>
      <w:r>
        <w:rPr>
          <w:lang w:eastAsia="en-AU"/>
        </w:rPr>
        <w:t>Table 1.3</w:t>
      </w:r>
      <w:r w:rsidR="006B43A4">
        <w:rPr>
          <w:lang w:eastAsia="en-AU"/>
        </w:rPr>
        <w:t>:</w:t>
      </w:r>
      <w:r w:rsidR="009C6FC3">
        <w:rPr>
          <w:lang w:eastAsia="en-AU"/>
        </w:rPr>
        <w:t xml:space="preserve"> Gender </w:t>
      </w:r>
      <w:r w:rsidR="00E47737">
        <w:rPr>
          <w:lang w:eastAsia="en-AU"/>
        </w:rPr>
        <w:t>c</w:t>
      </w:r>
      <w:r w:rsidR="009C6FC3">
        <w:rPr>
          <w:lang w:eastAsia="en-AU"/>
        </w:rPr>
        <w:t xml:space="preserve">omposition of </w:t>
      </w:r>
      <w:r w:rsidR="00E47737">
        <w:rPr>
          <w:lang w:eastAsia="en-AU"/>
        </w:rPr>
        <w:t>w</w:t>
      </w:r>
      <w:r w:rsidR="005C740A" w:rsidRPr="002F204F">
        <w:rPr>
          <w:lang w:eastAsia="en-AU"/>
        </w:rPr>
        <w:t>orkforce and</w:t>
      </w:r>
      <w:r w:rsidR="005C740A">
        <w:rPr>
          <w:lang w:eastAsia="en-AU"/>
        </w:rPr>
        <w:t xml:space="preserve"> </w:t>
      </w:r>
      <w:r w:rsidR="00E47737">
        <w:rPr>
          <w:lang w:eastAsia="en-AU"/>
        </w:rPr>
        <w:t>s</w:t>
      </w:r>
      <w:r w:rsidR="009C6FC3">
        <w:rPr>
          <w:lang w:eastAsia="en-AU"/>
        </w:rPr>
        <w:t xml:space="preserve">enior </w:t>
      </w:r>
      <w:r w:rsidR="00E47737">
        <w:rPr>
          <w:lang w:eastAsia="en-AU"/>
        </w:rPr>
        <w:t>l</w:t>
      </w:r>
      <w:r w:rsidR="009C6FC3">
        <w:rPr>
          <w:lang w:eastAsia="en-AU"/>
        </w:rPr>
        <w:t xml:space="preserve">eaders by </w:t>
      </w:r>
      <w:r w:rsidR="00E47737">
        <w:rPr>
          <w:lang w:eastAsia="en-AU"/>
        </w:rPr>
        <w:t>i</w:t>
      </w:r>
      <w:r w:rsidR="009C6FC3" w:rsidRPr="00F83EC6">
        <w:rPr>
          <w:lang w:eastAsia="en-AU"/>
        </w:rPr>
        <w:t xml:space="preserve">ndustry </w:t>
      </w:r>
      <w:r w:rsidR="003A7E85" w:rsidRPr="00F83EC6">
        <w:rPr>
          <w:lang w:eastAsia="en-AU"/>
        </w:rPr>
        <w:t>(</w:t>
      </w:r>
      <w:r w:rsidR="00E47737">
        <w:rPr>
          <w:lang w:eastAsia="en-AU"/>
        </w:rPr>
        <w:t>p</w:t>
      </w:r>
      <w:r w:rsidR="003A7E85" w:rsidRPr="00F83EC6">
        <w:rPr>
          <w:lang w:eastAsia="en-AU"/>
        </w:rPr>
        <w:t>ercentage of women)</w:t>
      </w:r>
    </w:p>
    <w:tbl>
      <w:tblPr>
        <w:tblStyle w:val="CGEPStable"/>
        <w:tblW w:w="0" w:type="auto"/>
        <w:tblLook w:val="04A0" w:firstRow="1" w:lastRow="0" w:firstColumn="1" w:lastColumn="0" w:noHBand="0" w:noVBand="1"/>
      </w:tblPr>
      <w:tblGrid>
        <w:gridCol w:w="2289"/>
        <w:gridCol w:w="975"/>
        <w:gridCol w:w="1022"/>
        <w:gridCol w:w="990"/>
        <w:gridCol w:w="986"/>
        <w:gridCol w:w="1349"/>
        <w:gridCol w:w="1687"/>
      </w:tblGrid>
      <w:tr w:rsidR="00FA37BD" w:rsidRPr="006A2E07" w14:paraId="3E0ED2CB" w14:textId="77777777" w:rsidTr="00A2089E">
        <w:trPr>
          <w:cnfStyle w:val="100000000000" w:firstRow="1" w:lastRow="0" w:firstColumn="0" w:lastColumn="0" w:oddVBand="0" w:evenVBand="0" w:oddHBand="0" w:evenHBand="0" w:firstRowFirstColumn="0" w:firstRowLastColumn="0" w:lastRowFirstColumn="0" w:lastRowLastColumn="0"/>
        </w:trPr>
        <w:tc>
          <w:tcPr>
            <w:tcW w:w="2289" w:type="dxa"/>
            <w:hideMark/>
          </w:tcPr>
          <w:p w14:paraId="7A27EA51" w14:textId="714D8356" w:rsidR="001F4823" w:rsidRPr="006A2E07" w:rsidRDefault="001F4823" w:rsidP="00F2615B">
            <w:pPr>
              <w:pStyle w:val="Tablecolhead"/>
              <w:rPr>
                <w:lang w:eastAsia="en-AU"/>
              </w:rPr>
            </w:pPr>
            <w:r w:rsidRPr="006A2E07">
              <w:rPr>
                <w:lang w:eastAsia="en-AU"/>
              </w:rPr>
              <w:t>Industry</w:t>
            </w:r>
          </w:p>
        </w:tc>
        <w:tc>
          <w:tcPr>
            <w:tcW w:w="975" w:type="dxa"/>
          </w:tcPr>
          <w:p w14:paraId="072599AA" w14:textId="7C314432" w:rsidR="001F4823" w:rsidRPr="006A2E07" w:rsidRDefault="003245A0" w:rsidP="00F2615B">
            <w:pPr>
              <w:pStyle w:val="Tablecolhead"/>
              <w:rPr>
                <w:lang w:eastAsia="en-AU"/>
              </w:rPr>
            </w:pPr>
            <w:r>
              <w:rPr>
                <w:lang w:eastAsia="en-AU"/>
              </w:rPr>
              <w:t xml:space="preserve">Total </w:t>
            </w:r>
            <w:r w:rsidR="00E47737">
              <w:rPr>
                <w:lang w:eastAsia="en-AU"/>
              </w:rPr>
              <w:t>w</w:t>
            </w:r>
            <w:r>
              <w:rPr>
                <w:lang w:eastAsia="en-AU"/>
              </w:rPr>
              <w:t xml:space="preserve">omen </w:t>
            </w:r>
            <w:r w:rsidR="00FA37BD" w:rsidRPr="00080D20">
              <w:rPr>
                <w:lang w:eastAsia="en-AU"/>
              </w:rPr>
              <w:t xml:space="preserve">2023 </w:t>
            </w:r>
          </w:p>
        </w:tc>
        <w:tc>
          <w:tcPr>
            <w:tcW w:w="1022" w:type="dxa"/>
            <w:hideMark/>
          </w:tcPr>
          <w:p w14:paraId="21BA4F77" w14:textId="18CA216B" w:rsidR="001F4823" w:rsidRPr="006A2E07" w:rsidRDefault="003245A0" w:rsidP="00F2615B">
            <w:pPr>
              <w:pStyle w:val="Tablecolhead"/>
              <w:rPr>
                <w:lang w:eastAsia="en-AU"/>
              </w:rPr>
            </w:pPr>
            <w:r>
              <w:rPr>
                <w:lang w:eastAsia="en-AU"/>
              </w:rPr>
              <w:t xml:space="preserve">Senior </w:t>
            </w:r>
            <w:r w:rsidR="00E47737">
              <w:rPr>
                <w:lang w:eastAsia="en-AU"/>
              </w:rPr>
              <w:t>l</w:t>
            </w:r>
            <w:r>
              <w:rPr>
                <w:lang w:eastAsia="en-AU"/>
              </w:rPr>
              <w:t>eaders</w:t>
            </w:r>
            <w:r w:rsidRPr="006A2E07">
              <w:rPr>
                <w:lang w:eastAsia="en-AU"/>
              </w:rPr>
              <w:t xml:space="preserve"> </w:t>
            </w:r>
            <w:r w:rsidR="001F4823" w:rsidRPr="006A2E07">
              <w:rPr>
                <w:lang w:eastAsia="en-AU"/>
              </w:rPr>
              <w:t xml:space="preserve">2023 </w:t>
            </w:r>
          </w:p>
        </w:tc>
        <w:tc>
          <w:tcPr>
            <w:tcW w:w="990" w:type="dxa"/>
          </w:tcPr>
          <w:p w14:paraId="419E2ACE" w14:textId="08DC7900" w:rsidR="001F4823" w:rsidRPr="006A2E07" w:rsidRDefault="003245A0" w:rsidP="00F2615B">
            <w:pPr>
              <w:pStyle w:val="Tablecolhead"/>
              <w:rPr>
                <w:lang w:eastAsia="en-AU"/>
              </w:rPr>
            </w:pPr>
            <w:r>
              <w:rPr>
                <w:lang w:eastAsia="en-AU"/>
              </w:rPr>
              <w:t xml:space="preserve">Total </w:t>
            </w:r>
            <w:r w:rsidR="00E47737">
              <w:rPr>
                <w:lang w:eastAsia="en-AU"/>
              </w:rPr>
              <w:t>w</w:t>
            </w:r>
            <w:r w:rsidRPr="00080D20">
              <w:rPr>
                <w:lang w:eastAsia="en-AU"/>
              </w:rPr>
              <w:t>omen</w:t>
            </w:r>
            <w:r>
              <w:rPr>
                <w:lang w:eastAsia="en-AU"/>
              </w:rPr>
              <w:t xml:space="preserve"> </w:t>
            </w:r>
            <w:r w:rsidR="00FA37BD" w:rsidRPr="00080D20">
              <w:rPr>
                <w:lang w:eastAsia="en-AU"/>
              </w:rPr>
              <w:t xml:space="preserve">2025 </w:t>
            </w:r>
          </w:p>
        </w:tc>
        <w:tc>
          <w:tcPr>
            <w:tcW w:w="986" w:type="dxa"/>
            <w:hideMark/>
          </w:tcPr>
          <w:p w14:paraId="03875E8D" w14:textId="50C718A0" w:rsidR="001F4823" w:rsidRPr="006A2E07" w:rsidRDefault="003245A0" w:rsidP="00F2615B">
            <w:pPr>
              <w:pStyle w:val="Tablecolhead"/>
              <w:rPr>
                <w:lang w:eastAsia="en-AU"/>
              </w:rPr>
            </w:pPr>
            <w:r>
              <w:rPr>
                <w:lang w:eastAsia="en-AU"/>
              </w:rPr>
              <w:t xml:space="preserve">Senior </w:t>
            </w:r>
            <w:r w:rsidR="00E47737">
              <w:rPr>
                <w:lang w:eastAsia="en-AU"/>
              </w:rPr>
              <w:t>l</w:t>
            </w:r>
            <w:r>
              <w:rPr>
                <w:lang w:eastAsia="en-AU"/>
              </w:rPr>
              <w:t>eader</w:t>
            </w:r>
            <w:r w:rsidRPr="006A2E07">
              <w:rPr>
                <w:lang w:eastAsia="en-AU"/>
              </w:rPr>
              <w:t xml:space="preserve"> </w:t>
            </w:r>
            <w:r w:rsidR="001F4823" w:rsidRPr="006A2E07">
              <w:rPr>
                <w:lang w:eastAsia="en-AU"/>
              </w:rPr>
              <w:t>2025</w:t>
            </w:r>
            <w:r w:rsidR="00FA37BD">
              <w:rPr>
                <w:lang w:eastAsia="en-AU"/>
              </w:rPr>
              <w:t xml:space="preserve"> </w:t>
            </w:r>
          </w:p>
        </w:tc>
        <w:tc>
          <w:tcPr>
            <w:tcW w:w="1349" w:type="dxa"/>
          </w:tcPr>
          <w:p w14:paraId="7B430449" w14:textId="1DC8F882" w:rsidR="001F4823" w:rsidRPr="006A2E07" w:rsidRDefault="003245A0" w:rsidP="00F2615B">
            <w:pPr>
              <w:pStyle w:val="Tablecolhead"/>
              <w:rPr>
                <w:lang w:eastAsia="en-AU"/>
              </w:rPr>
            </w:pPr>
            <w:r>
              <w:rPr>
                <w:lang w:eastAsia="en-AU"/>
              </w:rPr>
              <w:t xml:space="preserve">Senior </w:t>
            </w:r>
            <w:r w:rsidR="00E47737">
              <w:rPr>
                <w:lang w:eastAsia="en-AU"/>
              </w:rPr>
              <w:t>l</w:t>
            </w:r>
            <w:r>
              <w:rPr>
                <w:lang w:eastAsia="en-AU"/>
              </w:rPr>
              <w:t xml:space="preserve">eader </w:t>
            </w:r>
            <w:r w:rsidR="00E47737">
              <w:rPr>
                <w:lang w:eastAsia="en-AU"/>
              </w:rPr>
              <w:t>c</w:t>
            </w:r>
            <w:r>
              <w:rPr>
                <w:lang w:eastAsia="en-AU"/>
              </w:rPr>
              <w:t xml:space="preserve">hange </w:t>
            </w:r>
            <w:r w:rsidR="00E47737">
              <w:rPr>
                <w:lang w:eastAsia="en-AU"/>
              </w:rPr>
              <w:t>p</w:t>
            </w:r>
            <w:r>
              <w:rPr>
                <w:lang w:eastAsia="en-AU"/>
              </w:rPr>
              <w:t xml:space="preserve">ercentage </w:t>
            </w:r>
            <w:r w:rsidR="00E47737">
              <w:rPr>
                <w:lang w:eastAsia="en-AU"/>
              </w:rPr>
              <w:t>p</w:t>
            </w:r>
            <w:r>
              <w:rPr>
                <w:lang w:eastAsia="en-AU"/>
              </w:rPr>
              <w:t xml:space="preserve">oint </w:t>
            </w:r>
            <w:r w:rsidR="00711480">
              <w:rPr>
                <w:lang w:eastAsia="en-AU"/>
              </w:rPr>
              <w:t>202</w:t>
            </w:r>
            <w:r w:rsidR="00494599">
              <w:rPr>
                <w:lang w:eastAsia="en-AU"/>
              </w:rPr>
              <w:t>3</w:t>
            </w:r>
            <w:r w:rsidR="00711480">
              <w:rPr>
                <w:lang w:eastAsia="en-AU"/>
              </w:rPr>
              <w:t xml:space="preserve">-2025 </w:t>
            </w:r>
          </w:p>
        </w:tc>
        <w:tc>
          <w:tcPr>
            <w:tcW w:w="1687" w:type="dxa"/>
            <w:hideMark/>
          </w:tcPr>
          <w:p w14:paraId="3E437C92" w14:textId="00476A8A" w:rsidR="001F4823" w:rsidRPr="006A2E07" w:rsidRDefault="00494599" w:rsidP="00F2615B">
            <w:pPr>
              <w:pStyle w:val="Tablecolhead"/>
              <w:rPr>
                <w:lang w:eastAsia="en-AU"/>
              </w:rPr>
            </w:pPr>
            <w:r>
              <w:rPr>
                <w:lang w:eastAsia="en-AU"/>
              </w:rPr>
              <w:t xml:space="preserve">Senior </w:t>
            </w:r>
            <w:r w:rsidR="00E47737">
              <w:rPr>
                <w:lang w:eastAsia="en-AU"/>
              </w:rPr>
              <w:t>l</w:t>
            </w:r>
            <w:r>
              <w:rPr>
                <w:lang w:eastAsia="en-AU"/>
              </w:rPr>
              <w:t xml:space="preserve">eader </w:t>
            </w:r>
            <w:r w:rsidR="00E47737">
              <w:rPr>
                <w:lang w:eastAsia="en-AU"/>
              </w:rPr>
              <w:t>p</w:t>
            </w:r>
            <w:r w:rsidR="001F4823">
              <w:rPr>
                <w:lang w:eastAsia="en-AU"/>
              </w:rPr>
              <w:t>rogress</w:t>
            </w:r>
          </w:p>
        </w:tc>
      </w:tr>
      <w:tr w:rsidR="00FA37BD" w:rsidRPr="00406DA3" w14:paraId="330CA4A8" w14:textId="77777777" w:rsidTr="00B472D1">
        <w:tc>
          <w:tcPr>
            <w:tcW w:w="2289" w:type="dxa"/>
          </w:tcPr>
          <w:p w14:paraId="0CEFBBAB" w14:textId="512AA6C0" w:rsidR="001F4823" w:rsidRDefault="001F4823" w:rsidP="00F2615B">
            <w:pPr>
              <w:pStyle w:val="Tabletext"/>
              <w:rPr>
                <w:lang w:eastAsia="en-AU"/>
              </w:rPr>
            </w:pPr>
            <w:r>
              <w:rPr>
                <w:lang w:eastAsia="en-AU"/>
              </w:rPr>
              <w:t>Community and cultural services</w:t>
            </w:r>
          </w:p>
        </w:tc>
        <w:tc>
          <w:tcPr>
            <w:tcW w:w="975" w:type="dxa"/>
            <w:shd w:val="clear" w:color="auto" w:fill="CCC0D9" w:themeFill="accent4" w:themeFillTint="66"/>
          </w:tcPr>
          <w:p w14:paraId="659EC361" w14:textId="69023762" w:rsidR="001F4823" w:rsidRDefault="00CA3EAC" w:rsidP="00F2615B">
            <w:pPr>
              <w:pStyle w:val="Tabletext"/>
              <w:rPr>
                <w:lang w:eastAsia="en-AU"/>
              </w:rPr>
            </w:pPr>
            <w:r>
              <w:rPr>
                <w:lang w:eastAsia="en-AU"/>
              </w:rPr>
              <w:t>58.9%</w:t>
            </w:r>
          </w:p>
        </w:tc>
        <w:tc>
          <w:tcPr>
            <w:tcW w:w="1022" w:type="dxa"/>
            <w:shd w:val="clear" w:color="auto" w:fill="CCC0D9" w:themeFill="accent4" w:themeFillTint="66"/>
          </w:tcPr>
          <w:p w14:paraId="511B2B3B" w14:textId="09B0FB20" w:rsidR="001F4823" w:rsidRPr="000F4937" w:rsidRDefault="001F4823" w:rsidP="00F2615B">
            <w:pPr>
              <w:pStyle w:val="Tabletext"/>
              <w:rPr>
                <w:lang w:eastAsia="en-AU"/>
              </w:rPr>
            </w:pPr>
            <w:r>
              <w:rPr>
                <w:lang w:eastAsia="en-AU"/>
              </w:rPr>
              <w:t>52.2%</w:t>
            </w:r>
          </w:p>
        </w:tc>
        <w:tc>
          <w:tcPr>
            <w:tcW w:w="990" w:type="dxa"/>
          </w:tcPr>
          <w:p w14:paraId="6E1EDA4E" w14:textId="723B37C0" w:rsidR="001F4823" w:rsidRDefault="00CA46D0" w:rsidP="00F2615B">
            <w:pPr>
              <w:pStyle w:val="Tabletext"/>
              <w:rPr>
                <w:lang w:eastAsia="en-AU"/>
              </w:rPr>
            </w:pPr>
            <w:r>
              <w:rPr>
                <w:lang w:eastAsia="en-AU"/>
              </w:rPr>
              <w:t>61.6%</w:t>
            </w:r>
          </w:p>
        </w:tc>
        <w:tc>
          <w:tcPr>
            <w:tcW w:w="986" w:type="dxa"/>
          </w:tcPr>
          <w:p w14:paraId="1A564D34" w14:textId="26DC57BE" w:rsidR="001F4823" w:rsidRPr="00406DA3" w:rsidRDefault="001F4823" w:rsidP="00F2615B">
            <w:pPr>
              <w:pStyle w:val="Tabletext"/>
              <w:rPr>
                <w:lang w:eastAsia="en-AU"/>
              </w:rPr>
            </w:pPr>
            <w:r>
              <w:rPr>
                <w:lang w:eastAsia="en-AU"/>
              </w:rPr>
              <w:t>59.0%</w:t>
            </w:r>
          </w:p>
        </w:tc>
        <w:tc>
          <w:tcPr>
            <w:tcW w:w="1349" w:type="dxa"/>
            <w:shd w:val="clear" w:color="auto" w:fill="CCC0D9" w:themeFill="accent4" w:themeFillTint="66"/>
          </w:tcPr>
          <w:p w14:paraId="7BDC8467" w14:textId="1E7B4A80" w:rsidR="001F4823" w:rsidRPr="00406DA3" w:rsidRDefault="001F4823" w:rsidP="00F2615B">
            <w:pPr>
              <w:pStyle w:val="Tabletext"/>
              <w:rPr>
                <w:lang w:eastAsia="en-AU"/>
              </w:rPr>
            </w:pPr>
            <w:r>
              <w:rPr>
                <w:rFonts w:cs="Arial"/>
                <w:szCs w:val="21"/>
                <w:lang w:eastAsia="en-AU"/>
              </w:rPr>
              <w:t>+6.8</w:t>
            </w:r>
            <w:r w:rsidR="003245A0">
              <w:rPr>
                <w:rFonts w:cs="Arial"/>
                <w:szCs w:val="21"/>
                <w:lang w:eastAsia="en-AU"/>
              </w:rPr>
              <w:t>pp</w:t>
            </w:r>
          </w:p>
        </w:tc>
        <w:tc>
          <w:tcPr>
            <w:tcW w:w="1687" w:type="dxa"/>
          </w:tcPr>
          <w:p w14:paraId="55D04C51" w14:textId="2D0A66EE" w:rsidR="00530143" w:rsidRPr="00C519DC" w:rsidRDefault="0047095D" w:rsidP="00F2615B">
            <w:pPr>
              <w:pStyle w:val="Tabletext"/>
              <w:rPr>
                <w:lang w:eastAsia="en-AU"/>
              </w:rPr>
            </w:pPr>
            <w:r>
              <w:rPr>
                <w:rFonts w:cs="Arial"/>
                <w:szCs w:val="21"/>
                <w:lang w:eastAsia="en-AU"/>
              </w:rPr>
              <w:t>Proportional</w:t>
            </w:r>
          </w:p>
        </w:tc>
      </w:tr>
      <w:tr w:rsidR="00FA37BD" w:rsidRPr="00406DA3" w14:paraId="720F69C8" w14:textId="77777777" w:rsidTr="00B472D1">
        <w:tc>
          <w:tcPr>
            <w:tcW w:w="2289" w:type="dxa"/>
            <w:hideMark/>
          </w:tcPr>
          <w:p w14:paraId="59B982D9" w14:textId="1742FF87" w:rsidR="001F4823" w:rsidRPr="00406DA3" w:rsidRDefault="001F4823" w:rsidP="00F2615B">
            <w:pPr>
              <w:pStyle w:val="Tabletext"/>
              <w:rPr>
                <w:lang w:eastAsia="en-AU"/>
              </w:rPr>
            </w:pPr>
            <w:r>
              <w:rPr>
                <w:lang w:eastAsia="en-AU"/>
              </w:rPr>
              <w:t>Finance and insurance</w:t>
            </w:r>
          </w:p>
        </w:tc>
        <w:tc>
          <w:tcPr>
            <w:tcW w:w="975" w:type="dxa"/>
            <w:shd w:val="clear" w:color="auto" w:fill="CCC0D9" w:themeFill="accent4" w:themeFillTint="66"/>
          </w:tcPr>
          <w:p w14:paraId="099BD4B9" w14:textId="56B87247" w:rsidR="001F4823" w:rsidRDefault="00CA46D0" w:rsidP="00F2615B">
            <w:pPr>
              <w:pStyle w:val="Tabletext"/>
              <w:rPr>
                <w:lang w:eastAsia="en-AU"/>
              </w:rPr>
            </w:pPr>
            <w:r>
              <w:rPr>
                <w:lang w:eastAsia="en-AU"/>
              </w:rPr>
              <w:t>62.9%</w:t>
            </w:r>
          </w:p>
        </w:tc>
        <w:tc>
          <w:tcPr>
            <w:tcW w:w="1022" w:type="dxa"/>
            <w:shd w:val="clear" w:color="auto" w:fill="CCC0D9" w:themeFill="accent4" w:themeFillTint="66"/>
            <w:hideMark/>
          </w:tcPr>
          <w:p w14:paraId="1BAFB63D" w14:textId="2A61EBB2" w:rsidR="001F4823" w:rsidRPr="00406DA3" w:rsidRDefault="001F4823" w:rsidP="00F2615B">
            <w:pPr>
              <w:pStyle w:val="Tabletext"/>
              <w:rPr>
                <w:lang w:eastAsia="en-AU"/>
              </w:rPr>
            </w:pPr>
            <w:r>
              <w:rPr>
                <w:lang w:eastAsia="en-AU"/>
              </w:rPr>
              <w:t>45.1%</w:t>
            </w:r>
          </w:p>
        </w:tc>
        <w:tc>
          <w:tcPr>
            <w:tcW w:w="990" w:type="dxa"/>
          </w:tcPr>
          <w:p w14:paraId="07B341B6" w14:textId="0605A260" w:rsidR="001F4823" w:rsidRDefault="00225057" w:rsidP="00F2615B">
            <w:pPr>
              <w:pStyle w:val="Tabletext"/>
              <w:rPr>
                <w:lang w:eastAsia="en-AU"/>
              </w:rPr>
            </w:pPr>
            <w:r>
              <w:rPr>
                <w:lang w:eastAsia="en-AU"/>
              </w:rPr>
              <w:t>64.3%</w:t>
            </w:r>
          </w:p>
        </w:tc>
        <w:tc>
          <w:tcPr>
            <w:tcW w:w="986" w:type="dxa"/>
            <w:hideMark/>
          </w:tcPr>
          <w:p w14:paraId="3EEEF70F" w14:textId="32F8A3DE" w:rsidR="001F4823" w:rsidRPr="00406DA3" w:rsidRDefault="001F4823" w:rsidP="00F2615B">
            <w:pPr>
              <w:pStyle w:val="Tabletext"/>
              <w:rPr>
                <w:lang w:eastAsia="en-AU"/>
              </w:rPr>
            </w:pPr>
            <w:r>
              <w:rPr>
                <w:lang w:eastAsia="en-AU"/>
              </w:rPr>
              <w:t>52.1%</w:t>
            </w:r>
          </w:p>
        </w:tc>
        <w:tc>
          <w:tcPr>
            <w:tcW w:w="1349" w:type="dxa"/>
            <w:shd w:val="clear" w:color="auto" w:fill="CCC0D9" w:themeFill="accent4" w:themeFillTint="66"/>
          </w:tcPr>
          <w:p w14:paraId="7088DD6D" w14:textId="5CE9907D" w:rsidR="001F4823" w:rsidRPr="00406DA3" w:rsidRDefault="001F4823" w:rsidP="00F2615B">
            <w:pPr>
              <w:pStyle w:val="Tabletext"/>
              <w:rPr>
                <w:lang w:eastAsia="en-AU"/>
              </w:rPr>
            </w:pPr>
            <w:r>
              <w:rPr>
                <w:rFonts w:cs="Arial"/>
                <w:szCs w:val="21"/>
                <w:lang w:eastAsia="en-AU"/>
              </w:rPr>
              <w:t>+7.0</w:t>
            </w:r>
            <w:r w:rsidR="003245A0">
              <w:rPr>
                <w:rFonts w:cs="Arial"/>
                <w:szCs w:val="21"/>
                <w:lang w:eastAsia="en-AU"/>
              </w:rPr>
              <w:t>pp</w:t>
            </w:r>
          </w:p>
        </w:tc>
        <w:tc>
          <w:tcPr>
            <w:tcW w:w="1687" w:type="dxa"/>
            <w:hideMark/>
          </w:tcPr>
          <w:p w14:paraId="18C253A4" w14:textId="77F32616" w:rsidR="001F4823" w:rsidRPr="00C519DC" w:rsidRDefault="00D51E16" w:rsidP="00F2615B">
            <w:pPr>
              <w:pStyle w:val="Tabletext"/>
              <w:rPr>
                <w:lang w:eastAsia="en-AU"/>
              </w:rPr>
            </w:pPr>
            <w:r>
              <w:rPr>
                <w:rFonts w:cs="Arial"/>
                <w:szCs w:val="21"/>
                <w:lang w:eastAsia="en-AU"/>
              </w:rPr>
              <w:t>Improving</w:t>
            </w:r>
          </w:p>
        </w:tc>
      </w:tr>
      <w:tr w:rsidR="00FA37BD" w:rsidRPr="00406DA3" w14:paraId="33979D05" w14:textId="77777777" w:rsidTr="00B472D1">
        <w:tc>
          <w:tcPr>
            <w:tcW w:w="2289" w:type="dxa"/>
            <w:hideMark/>
          </w:tcPr>
          <w:p w14:paraId="545A0821" w14:textId="016E739C" w:rsidR="001F4823" w:rsidRPr="00406DA3" w:rsidRDefault="001F4823" w:rsidP="00F2615B">
            <w:pPr>
              <w:pStyle w:val="Tabletext"/>
              <w:rPr>
                <w:lang w:eastAsia="en-AU"/>
              </w:rPr>
            </w:pPr>
            <w:r w:rsidRPr="00406DA3">
              <w:rPr>
                <w:lang w:eastAsia="en-AU"/>
              </w:rPr>
              <w:t>Local government</w:t>
            </w:r>
          </w:p>
        </w:tc>
        <w:tc>
          <w:tcPr>
            <w:tcW w:w="975" w:type="dxa"/>
            <w:shd w:val="clear" w:color="auto" w:fill="CCC0D9" w:themeFill="accent4" w:themeFillTint="66"/>
          </w:tcPr>
          <w:p w14:paraId="6DD5215B" w14:textId="1A97D528" w:rsidR="001F4823" w:rsidRDefault="00225057" w:rsidP="00F2615B">
            <w:pPr>
              <w:pStyle w:val="Tabletext"/>
              <w:rPr>
                <w:lang w:eastAsia="en-AU"/>
              </w:rPr>
            </w:pPr>
            <w:r>
              <w:rPr>
                <w:lang w:eastAsia="en-AU"/>
              </w:rPr>
              <w:t>62.4%</w:t>
            </w:r>
          </w:p>
        </w:tc>
        <w:tc>
          <w:tcPr>
            <w:tcW w:w="1022" w:type="dxa"/>
            <w:shd w:val="clear" w:color="auto" w:fill="CCC0D9" w:themeFill="accent4" w:themeFillTint="66"/>
            <w:hideMark/>
          </w:tcPr>
          <w:p w14:paraId="40045630" w14:textId="241251B4" w:rsidR="001F4823" w:rsidRPr="00406DA3" w:rsidRDefault="001F4823" w:rsidP="00F2615B">
            <w:pPr>
              <w:pStyle w:val="Tabletext"/>
              <w:rPr>
                <w:lang w:eastAsia="en-AU"/>
              </w:rPr>
            </w:pPr>
            <w:r>
              <w:rPr>
                <w:lang w:eastAsia="en-AU"/>
              </w:rPr>
              <w:t>48.5%</w:t>
            </w:r>
          </w:p>
        </w:tc>
        <w:tc>
          <w:tcPr>
            <w:tcW w:w="990" w:type="dxa"/>
          </w:tcPr>
          <w:p w14:paraId="61646256" w14:textId="7DAFD55F" w:rsidR="001F4823" w:rsidRDefault="00D43FCD" w:rsidP="00F2615B">
            <w:pPr>
              <w:pStyle w:val="Tabletext"/>
              <w:rPr>
                <w:lang w:eastAsia="en-AU"/>
              </w:rPr>
            </w:pPr>
            <w:r>
              <w:rPr>
                <w:lang w:eastAsia="en-AU"/>
              </w:rPr>
              <w:t>61.8%</w:t>
            </w:r>
          </w:p>
        </w:tc>
        <w:tc>
          <w:tcPr>
            <w:tcW w:w="986" w:type="dxa"/>
            <w:hideMark/>
          </w:tcPr>
          <w:p w14:paraId="016B3FFD" w14:textId="02CBD985" w:rsidR="001F4823" w:rsidRPr="00406DA3" w:rsidRDefault="001F4823" w:rsidP="00F2615B">
            <w:pPr>
              <w:pStyle w:val="Tabletext"/>
              <w:rPr>
                <w:lang w:eastAsia="en-AU"/>
              </w:rPr>
            </w:pPr>
            <w:r>
              <w:rPr>
                <w:lang w:eastAsia="en-AU"/>
              </w:rPr>
              <w:t>51.3%</w:t>
            </w:r>
          </w:p>
        </w:tc>
        <w:tc>
          <w:tcPr>
            <w:tcW w:w="1349" w:type="dxa"/>
            <w:shd w:val="clear" w:color="auto" w:fill="CCC0D9" w:themeFill="accent4" w:themeFillTint="66"/>
          </w:tcPr>
          <w:p w14:paraId="0A828A81" w14:textId="7B6D76BE" w:rsidR="001F4823" w:rsidRPr="00406DA3" w:rsidRDefault="001F4823" w:rsidP="00F2615B">
            <w:pPr>
              <w:pStyle w:val="Tabletext"/>
              <w:rPr>
                <w:lang w:eastAsia="en-AU"/>
              </w:rPr>
            </w:pPr>
            <w:r>
              <w:rPr>
                <w:rFonts w:cs="Arial"/>
                <w:szCs w:val="21"/>
                <w:lang w:eastAsia="en-AU"/>
              </w:rPr>
              <w:t>+2.8</w:t>
            </w:r>
            <w:r w:rsidR="003245A0">
              <w:rPr>
                <w:rFonts w:cs="Arial"/>
                <w:szCs w:val="21"/>
                <w:lang w:eastAsia="en-AU"/>
              </w:rPr>
              <w:t>pp</w:t>
            </w:r>
          </w:p>
        </w:tc>
        <w:tc>
          <w:tcPr>
            <w:tcW w:w="1687" w:type="dxa"/>
            <w:hideMark/>
          </w:tcPr>
          <w:p w14:paraId="4F135458" w14:textId="6E5BE1D6" w:rsidR="001F4823" w:rsidRPr="00C519DC" w:rsidRDefault="005B6F76" w:rsidP="00F2615B">
            <w:pPr>
              <w:pStyle w:val="Tabletext"/>
              <w:rPr>
                <w:lang w:eastAsia="en-AU"/>
              </w:rPr>
            </w:pPr>
            <w:r>
              <w:rPr>
                <w:rFonts w:cs="Arial"/>
                <w:szCs w:val="21"/>
                <w:lang w:eastAsia="en-AU"/>
              </w:rPr>
              <w:t>Improving</w:t>
            </w:r>
          </w:p>
        </w:tc>
      </w:tr>
      <w:tr w:rsidR="00FA37BD" w:rsidRPr="00406DA3" w14:paraId="763B74F8" w14:textId="77777777" w:rsidTr="00B472D1">
        <w:tc>
          <w:tcPr>
            <w:tcW w:w="2289" w:type="dxa"/>
            <w:hideMark/>
          </w:tcPr>
          <w:p w14:paraId="5A6F959E" w14:textId="27A81864" w:rsidR="001F4823" w:rsidRPr="00406DA3" w:rsidRDefault="001F4823" w:rsidP="00F2615B">
            <w:pPr>
              <w:pStyle w:val="Tabletext"/>
              <w:rPr>
                <w:lang w:eastAsia="en-AU"/>
              </w:rPr>
            </w:pPr>
            <w:r>
              <w:rPr>
                <w:lang w:eastAsia="en-AU"/>
              </w:rPr>
              <w:t>Other</w:t>
            </w:r>
          </w:p>
        </w:tc>
        <w:tc>
          <w:tcPr>
            <w:tcW w:w="975" w:type="dxa"/>
            <w:shd w:val="clear" w:color="auto" w:fill="CCC0D9" w:themeFill="accent4" w:themeFillTint="66"/>
          </w:tcPr>
          <w:p w14:paraId="76D7B39E" w14:textId="344AD30E" w:rsidR="001F4823" w:rsidRDefault="00D43FCD" w:rsidP="00F2615B">
            <w:pPr>
              <w:pStyle w:val="Tabletext"/>
              <w:rPr>
                <w:lang w:eastAsia="en-AU"/>
              </w:rPr>
            </w:pPr>
            <w:r>
              <w:rPr>
                <w:lang w:eastAsia="en-AU"/>
              </w:rPr>
              <w:t>48.3%</w:t>
            </w:r>
          </w:p>
        </w:tc>
        <w:tc>
          <w:tcPr>
            <w:tcW w:w="1022" w:type="dxa"/>
            <w:shd w:val="clear" w:color="auto" w:fill="CCC0D9" w:themeFill="accent4" w:themeFillTint="66"/>
            <w:hideMark/>
          </w:tcPr>
          <w:p w14:paraId="720D51CD" w14:textId="7B5B40F3" w:rsidR="001F4823" w:rsidRPr="00406DA3" w:rsidRDefault="001F4823" w:rsidP="00F2615B">
            <w:pPr>
              <w:pStyle w:val="Tabletext"/>
              <w:rPr>
                <w:lang w:eastAsia="en-AU"/>
              </w:rPr>
            </w:pPr>
            <w:r>
              <w:rPr>
                <w:lang w:eastAsia="en-AU"/>
              </w:rPr>
              <w:t>47.1%</w:t>
            </w:r>
          </w:p>
        </w:tc>
        <w:tc>
          <w:tcPr>
            <w:tcW w:w="990" w:type="dxa"/>
          </w:tcPr>
          <w:p w14:paraId="02F04848" w14:textId="0ADFC67D" w:rsidR="001F4823" w:rsidRDefault="00202C3F" w:rsidP="00F2615B">
            <w:pPr>
              <w:pStyle w:val="Tabletext"/>
              <w:rPr>
                <w:lang w:eastAsia="en-AU"/>
              </w:rPr>
            </w:pPr>
            <w:r>
              <w:rPr>
                <w:lang w:eastAsia="en-AU"/>
              </w:rPr>
              <w:t>48.8%</w:t>
            </w:r>
          </w:p>
        </w:tc>
        <w:tc>
          <w:tcPr>
            <w:tcW w:w="986" w:type="dxa"/>
            <w:hideMark/>
          </w:tcPr>
          <w:p w14:paraId="0408259B" w14:textId="26541682" w:rsidR="001F4823" w:rsidRPr="00406DA3" w:rsidRDefault="001F4823" w:rsidP="00F2615B">
            <w:pPr>
              <w:pStyle w:val="Tabletext"/>
              <w:rPr>
                <w:lang w:eastAsia="en-AU"/>
              </w:rPr>
            </w:pPr>
            <w:r>
              <w:rPr>
                <w:lang w:eastAsia="en-AU"/>
              </w:rPr>
              <w:t>51.0%</w:t>
            </w:r>
          </w:p>
        </w:tc>
        <w:tc>
          <w:tcPr>
            <w:tcW w:w="1349" w:type="dxa"/>
            <w:shd w:val="clear" w:color="auto" w:fill="CCC0D9" w:themeFill="accent4" w:themeFillTint="66"/>
          </w:tcPr>
          <w:p w14:paraId="47974FCC" w14:textId="62D8ED13" w:rsidR="001F4823" w:rsidRPr="00406DA3" w:rsidRDefault="001F4823" w:rsidP="00F2615B">
            <w:pPr>
              <w:pStyle w:val="Tabletext"/>
              <w:rPr>
                <w:lang w:eastAsia="en-AU"/>
              </w:rPr>
            </w:pPr>
            <w:r>
              <w:rPr>
                <w:rFonts w:cs="Arial"/>
                <w:szCs w:val="21"/>
                <w:lang w:eastAsia="en-AU"/>
              </w:rPr>
              <w:t>+3.9</w:t>
            </w:r>
            <w:r w:rsidR="003245A0">
              <w:rPr>
                <w:rFonts w:cs="Arial"/>
                <w:szCs w:val="21"/>
                <w:lang w:eastAsia="en-AU"/>
              </w:rPr>
              <w:t>pp</w:t>
            </w:r>
          </w:p>
        </w:tc>
        <w:tc>
          <w:tcPr>
            <w:tcW w:w="1687" w:type="dxa"/>
            <w:hideMark/>
          </w:tcPr>
          <w:p w14:paraId="4A9CA38F" w14:textId="585C29D3" w:rsidR="001F4823" w:rsidRPr="00C519DC" w:rsidRDefault="0047095D" w:rsidP="00F2615B">
            <w:pPr>
              <w:pStyle w:val="Tabletext"/>
              <w:rPr>
                <w:lang w:eastAsia="en-AU"/>
              </w:rPr>
            </w:pPr>
            <w:r>
              <w:rPr>
                <w:rFonts w:cs="Arial"/>
                <w:szCs w:val="21"/>
                <w:lang w:eastAsia="en-AU"/>
              </w:rPr>
              <w:t>Proportional</w:t>
            </w:r>
          </w:p>
        </w:tc>
      </w:tr>
      <w:tr w:rsidR="00FA37BD" w:rsidRPr="00406DA3" w14:paraId="0A37FA0D" w14:textId="77777777" w:rsidTr="00B472D1">
        <w:tc>
          <w:tcPr>
            <w:tcW w:w="2289" w:type="dxa"/>
            <w:hideMark/>
          </w:tcPr>
          <w:p w14:paraId="62034DFF" w14:textId="77777777" w:rsidR="001F4823" w:rsidRPr="00406DA3" w:rsidRDefault="001F4823" w:rsidP="00F2615B">
            <w:pPr>
              <w:pStyle w:val="Tabletext"/>
              <w:rPr>
                <w:lang w:eastAsia="en-AU"/>
              </w:rPr>
            </w:pPr>
            <w:r w:rsidRPr="00406DA3">
              <w:rPr>
                <w:lang w:eastAsia="en-AU"/>
              </w:rPr>
              <w:t>Police and emergency services</w:t>
            </w:r>
          </w:p>
        </w:tc>
        <w:tc>
          <w:tcPr>
            <w:tcW w:w="975" w:type="dxa"/>
            <w:shd w:val="clear" w:color="auto" w:fill="CCC0D9" w:themeFill="accent4" w:themeFillTint="66"/>
          </w:tcPr>
          <w:p w14:paraId="1B17573B" w14:textId="5404B9C8" w:rsidR="001F4823" w:rsidRDefault="00202C3F" w:rsidP="00F2615B">
            <w:pPr>
              <w:pStyle w:val="Tabletext"/>
              <w:rPr>
                <w:lang w:eastAsia="en-AU"/>
              </w:rPr>
            </w:pPr>
            <w:r>
              <w:rPr>
                <w:lang w:eastAsia="en-AU"/>
              </w:rPr>
              <w:t>38.0%</w:t>
            </w:r>
          </w:p>
        </w:tc>
        <w:tc>
          <w:tcPr>
            <w:tcW w:w="1022" w:type="dxa"/>
            <w:shd w:val="clear" w:color="auto" w:fill="CCC0D9" w:themeFill="accent4" w:themeFillTint="66"/>
            <w:hideMark/>
          </w:tcPr>
          <w:p w14:paraId="68D85ADA" w14:textId="6D9C2A80" w:rsidR="001F4823" w:rsidRPr="00406DA3" w:rsidRDefault="001F4823" w:rsidP="00F2615B">
            <w:pPr>
              <w:pStyle w:val="Tabletext"/>
              <w:rPr>
                <w:lang w:eastAsia="en-AU"/>
              </w:rPr>
            </w:pPr>
            <w:r>
              <w:rPr>
                <w:lang w:eastAsia="en-AU"/>
              </w:rPr>
              <w:t>26.2%</w:t>
            </w:r>
          </w:p>
        </w:tc>
        <w:tc>
          <w:tcPr>
            <w:tcW w:w="990" w:type="dxa"/>
          </w:tcPr>
          <w:p w14:paraId="038D49BE" w14:textId="1E53664F" w:rsidR="001F4823" w:rsidRDefault="00BB4920" w:rsidP="00F2615B">
            <w:pPr>
              <w:pStyle w:val="Tabletext"/>
              <w:rPr>
                <w:lang w:eastAsia="en-AU"/>
              </w:rPr>
            </w:pPr>
            <w:r>
              <w:rPr>
                <w:lang w:eastAsia="en-AU"/>
              </w:rPr>
              <w:t>38.2%</w:t>
            </w:r>
          </w:p>
        </w:tc>
        <w:tc>
          <w:tcPr>
            <w:tcW w:w="986" w:type="dxa"/>
            <w:hideMark/>
          </w:tcPr>
          <w:p w14:paraId="4F224C2A" w14:textId="0DDA1CBD" w:rsidR="001F4823" w:rsidRPr="00406DA3" w:rsidRDefault="001F4823" w:rsidP="00F2615B">
            <w:pPr>
              <w:pStyle w:val="Tabletext"/>
              <w:rPr>
                <w:lang w:eastAsia="en-AU"/>
              </w:rPr>
            </w:pPr>
            <w:r>
              <w:rPr>
                <w:lang w:eastAsia="en-AU"/>
              </w:rPr>
              <w:t>27.0%</w:t>
            </w:r>
          </w:p>
        </w:tc>
        <w:tc>
          <w:tcPr>
            <w:tcW w:w="1349" w:type="dxa"/>
            <w:shd w:val="clear" w:color="auto" w:fill="CCC0D9" w:themeFill="accent4" w:themeFillTint="66"/>
          </w:tcPr>
          <w:p w14:paraId="71D0C178" w14:textId="5F70B1B2" w:rsidR="001F4823" w:rsidRPr="00406DA3" w:rsidRDefault="001F4823" w:rsidP="00F2615B">
            <w:pPr>
              <w:pStyle w:val="Tabletext"/>
              <w:rPr>
                <w:lang w:eastAsia="en-AU"/>
              </w:rPr>
            </w:pPr>
            <w:r>
              <w:rPr>
                <w:lang w:eastAsia="en-AU"/>
              </w:rPr>
              <w:t>+0.9</w:t>
            </w:r>
            <w:r w:rsidR="003245A0">
              <w:rPr>
                <w:lang w:eastAsia="en-AU"/>
              </w:rPr>
              <w:t>pp</w:t>
            </w:r>
          </w:p>
        </w:tc>
        <w:tc>
          <w:tcPr>
            <w:tcW w:w="1687" w:type="dxa"/>
            <w:hideMark/>
          </w:tcPr>
          <w:p w14:paraId="0752B009" w14:textId="5FC196C5" w:rsidR="001F4823" w:rsidRPr="00C519DC" w:rsidRDefault="005B6F76" w:rsidP="00F2615B">
            <w:pPr>
              <w:pStyle w:val="Tabletext"/>
              <w:rPr>
                <w:lang w:eastAsia="en-AU"/>
              </w:rPr>
            </w:pPr>
            <w:r>
              <w:rPr>
                <w:rFonts w:cs="Arial"/>
                <w:szCs w:val="21"/>
                <w:lang w:eastAsia="en-AU"/>
              </w:rPr>
              <w:t xml:space="preserve">Improving </w:t>
            </w:r>
          </w:p>
        </w:tc>
      </w:tr>
      <w:tr w:rsidR="00FA37BD" w:rsidRPr="00406DA3" w14:paraId="69A91387" w14:textId="77777777" w:rsidTr="00B472D1">
        <w:tc>
          <w:tcPr>
            <w:tcW w:w="2289" w:type="dxa"/>
          </w:tcPr>
          <w:p w14:paraId="60841106" w14:textId="165F15CF" w:rsidR="001F4823" w:rsidRPr="00406DA3" w:rsidRDefault="001F4823" w:rsidP="00F2615B">
            <w:pPr>
              <w:pStyle w:val="Tabletext"/>
              <w:rPr>
                <w:lang w:eastAsia="en-AU"/>
              </w:rPr>
            </w:pPr>
            <w:r w:rsidRPr="00406DA3">
              <w:rPr>
                <w:lang w:eastAsia="en-AU"/>
              </w:rPr>
              <w:t>Public health care</w:t>
            </w:r>
          </w:p>
        </w:tc>
        <w:tc>
          <w:tcPr>
            <w:tcW w:w="975" w:type="dxa"/>
            <w:shd w:val="clear" w:color="auto" w:fill="CCC0D9" w:themeFill="accent4" w:themeFillTint="66"/>
          </w:tcPr>
          <w:p w14:paraId="32FE0465" w14:textId="4531CFF3" w:rsidR="001F4823" w:rsidRDefault="00BB4920" w:rsidP="00F2615B">
            <w:pPr>
              <w:pStyle w:val="Tabletext"/>
              <w:rPr>
                <w:lang w:eastAsia="en-AU"/>
              </w:rPr>
            </w:pPr>
            <w:r>
              <w:rPr>
                <w:lang w:eastAsia="en-AU"/>
              </w:rPr>
              <w:t>77.3%</w:t>
            </w:r>
          </w:p>
        </w:tc>
        <w:tc>
          <w:tcPr>
            <w:tcW w:w="1022" w:type="dxa"/>
            <w:shd w:val="clear" w:color="auto" w:fill="CCC0D9" w:themeFill="accent4" w:themeFillTint="66"/>
          </w:tcPr>
          <w:p w14:paraId="742623D1" w14:textId="0EF6F412" w:rsidR="001F4823" w:rsidRPr="000F4937" w:rsidRDefault="001F4823" w:rsidP="00F2615B">
            <w:pPr>
              <w:pStyle w:val="Tabletext"/>
              <w:rPr>
                <w:lang w:eastAsia="en-AU"/>
              </w:rPr>
            </w:pPr>
            <w:r>
              <w:rPr>
                <w:lang w:eastAsia="en-AU"/>
              </w:rPr>
              <w:t>63.8%</w:t>
            </w:r>
          </w:p>
        </w:tc>
        <w:tc>
          <w:tcPr>
            <w:tcW w:w="990" w:type="dxa"/>
          </w:tcPr>
          <w:p w14:paraId="1B8F5382" w14:textId="52A17E2D" w:rsidR="001F4823" w:rsidRDefault="006D1058" w:rsidP="00F2615B">
            <w:pPr>
              <w:pStyle w:val="Tabletext"/>
              <w:rPr>
                <w:lang w:eastAsia="en-AU"/>
              </w:rPr>
            </w:pPr>
            <w:r>
              <w:rPr>
                <w:lang w:eastAsia="en-AU"/>
              </w:rPr>
              <w:t>77.0%</w:t>
            </w:r>
          </w:p>
        </w:tc>
        <w:tc>
          <w:tcPr>
            <w:tcW w:w="986" w:type="dxa"/>
          </w:tcPr>
          <w:p w14:paraId="7639041B" w14:textId="3CDA3E28" w:rsidR="001F4823" w:rsidRPr="00406DA3" w:rsidRDefault="001F4823" w:rsidP="00F2615B">
            <w:pPr>
              <w:pStyle w:val="Tabletext"/>
              <w:rPr>
                <w:lang w:eastAsia="en-AU"/>
              </w:rPr>
            </w:pPr>
            <w:r>
              <w:rPr>
                <w:lang w:eastAsia="en-AU"/>
              </w:rPr>
              <w:t>68.1%</w:t>
            </w:r>
          </w:p>
        </w:tc>
        <w:tc>
          <w:tcPr>
            <w:tcW w:w="1349" w:type="dxa"/>
            <w:shd w:val="clear" w:color="auto" w:fill="CCC0D9" w:themeFill="accent4" w:themeFillTint="66"/>
          </w:tcPr>
          <w:p w14:paraId="045F7154" w14:textId="0A424E1D" w:rsidR="001F4823" w:rsidRPr="00406DA3" w:rsidRDefault="001F4823" w:rsidP="00F2615B">
            <w:pPr>
              <w:pStyle w:val="Tabletext"/>
              <w:rPr>
                <w:lang w:eastAsia="en-AU"/>
              </w:rPr>
            </w:pPr>
            <w:r>
              <w:rPr>
                <w:rFonts w:cs="Arial"/>
                <w:szCs w:val="21"/>
                <w:lang w:eastAsia="en-AU"/>
              </w:rPr>
              <w:t>+4.3</w:t>
            </w:r>
            <w:r w:rsidR="003245A0">
              <w:rPr>
                <w:rFonts w:cs="Arial"/>
                <w:szCs w:val="21"/>
                <w:lang w:eastAsia="en-AU"/>
              </w:rPr>
              <w:t>pp</w:t>
            </w:r>
          </w:p>
        </w:tc>
        <w:tc>
          <w:tcPr>
            <w:tcW w:w="1687" w:type="dxa"/>
          </w:tcPr>
          <w:p w14:paraId="5C8B5E2F" w14:textId="7ED1919E" w:rsidR="001F4823" w:rsidRPr="00C519DC" w:rsidRDefault="00084208" w:rsidP="00F2615B">
            <w:pPr>
              <w:pStyle w:val="Tabletext"/>
              <w:rPr>
                <w:lang w:eastAsia="en-AU"/>
              </w:rPr>
            </w:pPr>
            <w:r>
              <w:rPr>
                <w:rFonts w:cs="Arial"/>
                <w:szCs w:val="21"/>
                <w:lang w:eastAsia="en-AU"/>
              </w:rPr>
              <w:t>Improving</w:t>
            </w:r>
          </w:p>
        </w:tc>
      </w:tr>
      <w:tr w:rsidR="00FA37BD" w:rsidRPr="00406DA3" w14:paraId="0765639C" w14:textId="77777777" w:rsidTr="00B472D1">
        <w:tc>
          <w:tcPr>
            <w:tcW w:w="2289" w:type="dxa"/>
            <w:hideMark/>
          </w:tcPr>
          <w:p w14:paraId="208081B7" w14:textId="77777777" w:rsidR="001F4823" w:rsidRPr="00406DA3" w:rsidRDefault="001F4823" w:rsidP="00F2615B">
            <w:pPr>
              <w:pStyle w:val="Tabletext"/>
              <w:rPr>
                <w:lang w:eastAsia="en-AU"/>
              </w:rPr>
            </w:pPr>
            <w:r w:rsidRPr="00406DA3">
              <w:rPr>
                <w:lang w:eastAsia="en-AU"/>
              </w:rPr>
              <w:t>TAFE and other education</w:t>
            </w:r>
          </w:p>
        </w:tc>
        <w:tc>
          <w:tcPr>
            <w:tcW w:w="975" w:type="dxa"/>
            <w:shd w:val="clear" w:color="auto" w:fill="CCC0D9" w:themeFill="accent4" w:themeFillTint="66"/>
          </w:tcPr>
          <w:p w14:paraId="2922FF4A" w14:textId="39F61BAE" w:rsidR="001F4823" w:rsidRDefault="006D1058" w:rsidP="00F2615B">
            <w:pPr>
              <w:pStyle w:val="Tabletext"/>
              <w:rPr>
                <w:lang w:eastAsia="en-AU"/>
              </w:rPr>
            </w:pPr>
            <w:r>
              <w:rPr>
                <w:lang w:eastAsia="en-AU"/>
              </w:rPr>
              <w:t>60.0%</w:t>
            </w:r>
          </w:p>
        </w:tc>
        <w:tc>
          <w:tcPr>
            <w:tcW w:w="1022" w:type="dxa"/>
            <w:shd w:val="clear" w:color="auto" w:fill="CCC0D9" w:themeFill="accent4" w:themeFillTint="66"/>
            <w:hideMark/>
          </w:tcPr>
          <w:p w14:paraId="156C1C09" w14:textId="46E70E78" w:rsidR="001F4823" w:rsidRPr="00406DA3" w:rsidRDefault="001F4823" w:rsidP="00F2615B">
            <w:pPr>
              <w:pStyle w:val="Tabletext"/>
              <w:rPr>
                <w:lang w:eastAsia="en-AU"/>
              </w:rPr>
            </w:pPr>
            <w:r>
              <w:rPr>
                <w:lang w:eastAsia="en-AU"/>
              </w:rPr>
              <w:t>54.8%</w:t>
            </w:r>
          </w:p>
        </w:tc>
        <w:tc>
          <w:tcPr>
            <w:tcW w:w="990" w:type="dxa"/>
          </w:tcPr>
          <w:p w14:paraId="719E96C0" w14:textId="765CAED8" w:rsidR="001F4823" w:rsidRDefault="006D1058" w:rsidP="00F2615B">
            <w:pPr>
              <w:pStyle w:val="Tabletext"/>
              <w:rPr>
                <w:lang w:eastAsia="en-AU"/>
              </w:rPr>
            </w:pPr>
            <w:r>
              <w:rPr>
                <w:lang w:eastAsia="en-AU"/>
              </w:rPr>
              <w:t>60.0%</w:t>
            </w:r>
          </w:p>
        </w:tc>
        <w:tc>
          <w:tcPr>
            <w:tcW w:w="986" w:type="dxa"/>
            <w:hideMark/>
          </w:tcPr>
          <w:p w14:paraId="6F7C3658" w14:textId="3FC7DE0E" w:rsidR="001F4823" w:rsidRPr="00406DA3" w:rsidRDefault="001F4823" w:rsidP="00F2615B">
            <w:pPr>
              <w:pStyle w:val="Tabletext"/>
              <w:rPr>
                <w:lang w:eastAsia="en-AU"/>
              </w:rPr>
            </w:pPr>
            <w:r>
              <w:rPr>
                <w:lang w:eastAsia="en-AU"/>
              </w:rPr>
              <w:t>50.8%</w:t>
            </w:r>
          </w:p>
        </w:tc>
        <w:tc>
          <w:tcPr>
            <w:tcW w:w="1349" w:type="dxa"/>
            <w:shd w:val="clear" w:color="auto" w:fill="CCC0D9" w:themeFill="accent4" w:themeFillTint="66"/>
          </w:tcPr>
          <w:p w14:paraId="0B3DCD33" w14:textId="2B0251E5" w:rsidR="001F4823" w:rsidRPr="00406DA3" w:rsidRDefault="001F4823" w:rsidP="00F2615B">
            <w:pPr>
              <w:pStyle w:val="Tabletext"/>
              <w:rPr>
                <w:lang w:eastAsia="en-AU"/>
              </w:rPr>
            </w:pPr>
            <w:r>
              <w:rPr>
                <w:rFonts w:cs="Arial"/>
                <w:szCs w:val="21"/>
                <w:lang w:eastAsia="en-AU"/>
              </w:rPr>
              <w:t>-4.0</w:t>
            </w:r>
            <w:r w:rsidR="003245A0">
              <w:rPr>
                <w:rFonts w:cs="Arial"/>
                <w:szCs w:val="21"/>
                <w:lang w:eastAsia="en-AU"/>
              </w:rPr>
              <w:t>pp</w:t>
            </w:r>
          </w:p>
        </w:tc>
        <w:tc>
          <w:tcPr>
            <w:tcW w:w="1687" w:type="dxa"/>
            <w:hideMark/>
          </w:tcPr>
          <w:p w14:paraId="5FD84895" w14:textId="16C2BB9E" w:rsidR="001F4823" w:rsidRPr="00C519DC" w:rsidRDefault="00084208" w:rsidP="00F2615B">
            <w:pPr>
              <w:pStyle w:val="Tabletext"/>
              <w:rPr>
                <w:lang w:eastAsia="en-AU"/>
              </w:rPr>
            </w:pPr>
            <w:r>
              <w:rPr>
                <w:rFonts w:cs="Arial"/>
                <w:szCs w:val="21"/>
                <w:lang w:eastAsia="en-AU"/>
              </w:rPr>
              <w:t>Worsening</w:t>
            </w:r>
          </w:p>
        </w:tc>
      </w:tr>
      <w:tr w:rsidR="00FA37BD" w:rsidRPr="00406DA3" w14:paraId="7259853B" w14:textId="77777777" w:rsidTr="004444B7">
        <w:tc>
          <w:tcPr>
            <w:tcW w:w="2289" w:type="dxa"/>
          </w:tcPr>
          <w:p w14:paraId="4E201F68" w14:textId="109320CC" w:rsidR="001F4823" w:rsidRPr="00406DA3" w:rsidRDefault="001F4823" w:rsidP="00F2615B">
            <w:pPr>
              <w:pStyle w:val="Tabletext"/>
              <w:rPr>
                <w:lang w:eastAsia="en-AU"/>
              </w:rPr>
            </w:pPr>
            <w:r>
              <w:rPr>
                <w:lang w:eastAsia="en-AU"/>
              </w:rPr>
              <w:t>Transport</w:t>
            </w:r>
          </w:p>
        </w:tc>
        <w:tc>
          <w:tcPr>
            <w:tcW w:w="975" w:type="dxa"/>
            <w:shd w:val="clear" w:color="auto" w:fill="CCC0D9" w:themeFill="accent4" w:themeFillTint="66"/>
          </w:tcPr>
          <w:p w14:paraId="2C6F1E1B" w14:textId="4AD33160" w:rsidR="001F4823" w:rsidRDefault="006D1058" w:rsidP="00F2615B">
            <w:pPr>
              <w:pStyle w:val="Tabletext"/>
              <w:rPr>
                <w:lang w:eastAsia="en-AU"/>
              </w:rPr>
            </w:pPr>
            <w:r>
              <w:rPr>
                <w:lang w:eastAsia="en-AU"/>
              </w:rPr>
              <w:t>27.3%</w:t>
            </w:r>
          </w:p>
        </w:tc>
        <w:tc>
          <w:tcPr>
            <w:tcW w:w="1022" w:type="dxa"/>
            <w:shd w:val="clear" w:color="auto" w:fill="CCC0D9" w:themeFill="accent4" w:themeFillTint="66"/>
          </w:tcPr>
          <w:p w14:paraId="5A0326F8" w14:textId="16469281" w:rsidR="001F4823" w:rsidRPr="000F4937" w:rsidRDefault="001F4823" w:rsidP="00F2615B">
            <w:pPr>
              <w:pStyle w:val="Tabletext"/>
              <w:rPr>
                <w:lang w:eastAsia="en-AU"/>
              </w:rPr>
            </w:pPr>
            <w:r>
              <w:rPr>
                <w:lang w:eastAsia="en-AU"/>
              </w:rPr>
              <w:t>35.3%</w:t>
            </w:r>
          </w:p>
        </w:tc>
        <w:tc>
          <w:tcPr>
            <w:tcW w:w="990" w:type="dxa"/>
          </w:tcPr>
          <w:p w14:paraId="2C876740" w14:textId="122D1870" w:rsidR="001F4823" w:rsidRDefault="00204481" w:rsidP="00F2615B">
            <w:pPr>
              <w:pStyle w:val="Tabletext"/>
              <w:rPr>
                <w:lang w:eastAsia="en-AU"/>
              </w:rPr>
            </w:pPr>
            <w:r>
              <w:rPr>
                <w:lang w:eastAsia="en-AU"/>
              </w:rPr>
              <w:t>29.4%</w:t>
            </w:r>
          </w:p>
        </w:tc>
        <w:tc>
          <w:tcPr>
            <w:tcW w:w="986" w:type="dxa"/>
          </w:tcPr>
          <w:p w14:paraId="45FAE69D" w14:textId="3D742A4B" w:rsidR="001F4823" w:rsidRPr="00406DA3" w:rsidRDefault="001F4823" w:rsidP="00F2615B">
            <w:pPr>
              <w:pStyle w:val="Tabletext"/>
              <w:rPr>
                <w:lang w:eastAsia="en-AU"/>
              </w:rPr>
            </w:pPr>
            <w:r>
              <w:rPr>
                <w:lang w:eastAsia="en-AU"/>
              </w:rPr>
              <w:t>35.0%</w:t>
            </w:r>
          </w:p>
        </w:tc>
        <w:tc>
          <w:tcPr>
            <w:tcW w:w="1349" w:type="dxa"/>
            <w:shd w:val="clear" w:color="auto" w:fill="CCC0D9" w:themeFill="accent4" w:themeFillTint="66"/>
          </w:tcPr>
          <w:p w14:paraId="456DEBCD" w14:textId="63837FE9" w:rsidR="001F4823" w:rsidRPr="00406DA3" w:rsidRDefault="001F4823" w:rsidP="00F2615B">
            <w:pPr>
              <w:pStyle w:val="Tabletext"/>
              <w:rPr>
                <w:lang w:eastAsia="en-AU"/>
              </w:rPr>
            </w:pPr>
            <w:r>
              <w:rPr>
                <w:rFonts w:cs="Arial"/>
                <w:szCs w:val="21"/>
                <w:lang w:eastAsia="en-AU"/>
              </w:rPr>
              <w:t>-0.3</w:t>
            </w:r>
            <w:r w:rsidR="003245A0">
              <w:rPr>
                <w:rFonts w:cs="Arial"/>
                <w:szCs w:val="21"/>
                <w:lang w:eastAsia="en-AU"/>
              </w:rPr>
              <w:t>pp</w:t>
            </w:r>
          </w:p>
        </w:tc>
        <w:tc>
          <w:tcPr>
            <w:tcW w:w="1687" w:type="dxa"/>
            <w:shd w:val="clear" w:color="auto" w:fill="BFBFBF" w:themeFill="background1" w:themeFillShade="BF"/>
          </w:tcPr>
          <w:p w14:paraId="24FBFE5A" w14:textId="3C5292C7" w:rsidR="001F4823" w:rsidRPr="00C519DC" w:rsidRDefault="006C5402" w:rsidP="00F2615B">
            <w:pPr>
              <w:pStyle w:val="Tabletext"/>
              <w:rPr>
                <w:lang w:eastAsia="en-AU"/>
              </w:rPr>
            </w:pPr>
            <w:r>
              <w:rPr>
                <w:rFonts w:cs="Arial"/>
                <w:szCs w:val="21"/>
                <w:lang w:eastAsia="en-AU"/>
              </w:rPr>
              <w:t>n/a</w:t>
            </w:r>
            <w:r>
              <w:rPr>
                <w:rStyle w:val="FootnoteReference"/>
                <w:rFonts w:cs="Arial"/>
                <w:szCs w:val="21"/>
                <w:lang w:eastAsia="en-AU"/>
              </w:rPr>
              <w:footnoteReference w:id="2"/>
            </w:r>
          </w:p>
        </w:tc>
      </w:tr>
      <w:tr w:rsidR="00FA37BD" w:rsidRPr="00406DA3" w14:paraId="55DED04C" w14:textId="77777777" w:rsidTr="00B472D1">
        <w:tc>
          <w:tcPr>
            <w:tcW w:w="2289" w:type="dxa"/>
            <w:hideMark/>
          </w:tcPr>
          <w:p w14:paraId="57AB053A" w14:textId="77777777" w:rsidR="001F4823" w:rsidRPr="00406DA3" w:rsidRDefault="001F4823" w:rsidP="00F2615B">
            <w:pPr>
              <w:pStyle w:val="Tabletext"/>
              <w:rPr>
                <w:lang w:eastAsia="en-AU"/>
              </w:rPr>
            </w:pPr>
            <w:r w:rsidRPr="00406DA3">
              <w:rPr>
                <w:lang w:eastAsia="en-AU"/>
              </w:rPr>
              <w:t>Universities</w:t>
            </w:r>
          </w:p>
        </w:tc>
        <w:tc>
          <w:tcPr>
            <w:tcW w:w="975" w:type="dxa"/>
            <w:shd w:val="clear" w:color="auto" w:fill="CCC0D9" w:themeFill="accent4" w:themeFillTint="66"/>
          </w:tcPr>
          <w:p w14:paraId="46675DA8" w14:textId="79BED0B7" w:rsidR="001F4823" w:rsidRDefault="00204481" w:rsidP="00F2615B">
            <w:pPr>
              <w:pStyle w:val="Tabletext"/>
              <w:rPr>
                <w:lang w:eastAsia="en-AU"/>
              </w:rPr>
            </w:pPr>
            <w:r>
              <w:rPr>
                <w:lang w:eastAsia="en-AU"/>
              </w:rPr>
              <w:t>59.6%</w:t>
            </w:r>
          </w:p>
        </w:tc>
        <w:tc>
          <w:tcPr>
            <w:tcW w:w="1022" w:type="dxa"/>
            <w:shd w:val="clear" w:color="auto" w:fill="CCC0D9" w:themeFill="accent4" w:themeFillTint="66"/>
            <w:hideMark/>
          </w:tcPr>
          <w:p w14:paraId="79FAAE58" w14:textId="322EBF23" w:rsidR="001F4823" w:rsidRPr="00406DA3" w:rsidRDefault="001F4823" w:rsidP="00F2615B">
            <w:pPr>
              <w:pStyle w:val="Tabletext"/>
              <w:rPr>
                <w:lang w:eastAsia="en-AU"/>
              </w:rPr>
            </w:pPr>
            <w:r>
              <w:rPr>
                <w:lang w:eastAsia="en-AU"/>
              </w:rPr>
              <w:t>53.7%</w:t>
            </w:r>
          </w:p>
        </w:tc>
        <w:tc>
          <w:tcPr>
            <w:tcW w:w="990" w:type="dxa"/>
          </w:tcPr>
          <w:p w14:paraId="122AE467" w14:textId="31FF77E5" w:rsidR="001F4823" w:rsidRDefault="00421ADF" w:rsidP="00F2615B">
            <w:pPr>
              <w:pStyle w:val="Tabletext"/>
              <w:rPr>
                <w:lang w:eastAsia="en-AU"/>
              </w:rPr>
            </w:pPr>
            <w:r>
              <w:rPr>
                <w:lang w:eastAsia="en-AU"/>
              </w:rPr>
              <w:t>59.6%</w:t>
            </w:r>
          </w:p>
        </w:tc>
        <w:tc>
          <w:tcPr>
            <w:tcW w:w="986" w:type="dxa"/>
            <w:hideMark/>
          </w:tcPr>
          <w:p w14:paraId="20FF6353" w14:textId="56E45F5A" w:rsidR="001F4823" w:rsidRPr="00406DA3" w:rsidRDefault="001F4823" w:rsidP="00F2615B">
            <w:pPr>
              <w:pStyle w:val="Tabletext"/>
              <w:rPr>
                <w:lang w:eastAsia="en-AU"/>
              </w:rPr>
            </w:pPr>
            <w:r>
              <w:rPr>
                <w:lang w:eastAsia="en-AU"/>
              </w:rPr>
              <w:t>55.8%</w:t>
            </w:r>
          </w:p>
        </w:tc>
        <w:tc>
          <w:tcPr>
            <w:tcW w:w="1349" w:type="dxa"/>
            <w:shd w:val="clear" w:color="auto" w:fill="CCC0D9" w:themeFill="accent4" w:themeFillTint="66"/>
          </w:tcPr>
          <w:p w14:paraId="00923CA6" w14:textId="0DB99D69" w:rsidR="001F4823" w:rsidRPr="00406DA3" w:rsidRDefault="001F4823" w:rsidP="00F2615B">
            <w:pPr>
              <w:pStyle w:val="Tabletext"/>
              <w:rPr>
                <w:lang w:eastAsia="en-AU"/>
              </w:rPr>
            </w:pPr>
            <w:r>
              <w:rPr>
                <w:rFonts w:cs="Arial"/>
                <w:szCs w:val="21"/>
                <w:lang w:eastAsia="en-AU"/>
              </w:rPr>
              <w:t>+2.1</w:t>
            </w:r>
            <w:r w:rsidR="003245A0">
              <w:rPr>
                <w:rFonts w:cs="Arial"/>
                <w:szCs w:val="21"/>
                <w:lang w:eastAsia="en-AU"/>
              </w:rPr>
              <w:t>pp</w:t>
            </w:r>
          </w:p>
        </w:tc>
        <w:tc>
          <w:tcPr>
            <w:tcW w:w="1687" w:type="dxa"/>
            <w:hideMark/>
          </w:tcPr>
          <w:p w14:paraId="3A331CA6" w14:textId="231CEAA6" w:rsidR="001F4823" w:rsidRPr="00C519DC" w:rsidRDefault="0047095D" w:rsidP="00F2615B">
            <w:pPr>
              <w:pStyle w:val="Tabletext"/>
              <w:rPr>
                <w:lang w:eastAsia="en-AU"/>
              </w:rPr>
            </w:pPr>
            <w:r>
              <w:rPr>
                <w:rFonts w:cs="Arial"/>
                <w:szCs w:val="21"/>
                <w:lang w:eastAsia="en-AU"/>
              </w:rPr>
              <w:t>Proportional</w:t>
            </w:r>
          </w:p>
        </w:tc>
      </w:tr>
      <w:tr w:rsidR="00FA37BD" w:rsidRPr="00406DA3" w14:paraId="1F6D274E" w14:textId="77777777" w:rsidTr="00B472D1">
        <w:tc>
          <w:tcPr>
            <w:tcW w:w="2289" w:type="dxa"/>
            <w:hideMark/>
          </w:tcPr>
          <w:p w14:paraId="5FE9D2D7" w14:textId="1526841B" w:rsidR="001F4823" w:rsidRPr="00406DA3" w:rsidRDefault="001F4823" w:rsidP="00F2615B">
            <w:pPr>
              <w:pStyle w:val="Tabletext"/>
              <w:rPr>
                <w:lang w:eastAsia="en-AU"/>
              </w:rPr>
            </w:pPr>
            <w:r w:rsidRPr="00406DA3">
              <w:rPr>
                <w:lang w:eastAsia="en-AU"/>
              </w:rPr>
              <w:t xml:space="preserve">Victorian </w:t>
            </w:r>
            <w:r w:rsidR="00E77DB3">
              <w:rPr>
                <w:lang w:eastAsia="en-AU"/>
              </w:rPr>
              <w:t>P</w:t>
            </w:r>
            <w:r w:rsidRPr="00406DA3">
              <w:rPr>
                <w:lang w:eastAsia="en-AU"/>
              </w:rPr>
              <w:t xml:space="preserve">ublic </w:t>
            </w:r>
            <w:r w:rsidR="00E77DB3">
              <w:rPr>
                <w:lang w:eastAsia="en-AU"/>
              </w:rPr>
              <w:t>S</w:t>
            </w:r>
            <w:r w:rsidRPr="00406DA3">
              <w:rPr>
                <w:lang w:eastAsia="en-AU"/>
              </w:rPr>
              <w:t>ervice</w:t>
            </w:r>
          </w:p>
        </w:tc>
        <w:tc>
          <w:tcPr>
            <w:tcW w:w="975" w:type="dxa"/>
            <w:shd w:val="clear" w:color="auto" w:fill="CCC0D9" w:themeFill="accent4" w:themeFillTint="66"/>
          </w:tcPr>
          <w:p w14:paraId="7196A365" w14:textId="71053255" w:rsidR="001F4823" w:rsidRDefault="00421ADF" w:rsidP="00F2615B">
            <w:pPr>
              <w:pStyle w:val="Tabletext"/>
              <w:rPr>
                <w:lang w:eastAsia="en-AU"/>
              </w:rPr>
            </w:pPr>
            <w:r>
              <w:rPr>
                <w:lang w:eastAsia="en-AU"/>
              </w:rPr>
              <w:t>69.7%</w:t>
            </w:r>
          </w:p>
        </w:tc>
        <w:tc>
          <w:tcPr>
            <w:tcW w:w="1022" w:type="dxa"/>
            <w:shd w:val="clear" w:color="auto" w:fill="CCC0D9" w:themeFill="accent4" w:themeFillTint="66"/>
            <w:hideMark/>
          </w:tcPr>
          <w:p w14:paraId="4CAF8B4B" w14:textId="68D29478" w:rsidR="001F4823" w:rsidRPr="00406DA3" w:rsidRDefault="001F4823" w:rsidP="00F2615B">
            <w:pPr>
              <w:pStyle w:val="Tabletext"/>
              <w:rPr>
                <w:lang w:eastAsia="en-AU"/>
              </w:rPr>
            </w:pPr>
            <w:r>
              <w:rPr>
                <w:lang w:eastAsia="en-AU"/>
              </w:rPr>
              <w:t>55.1%</w:t>
            </w:r>
          </w:p>
        </w:tc>
        <w:tc>
          <w:tcPr>
            <w:tcW w:w="990" w:type="dxa"/>
          </w:tcPr>
          <w:p w14:paraId="4190030D" w14:textId="7F80C259" w:rsidR="001F4823" w:rsidRDefault="006B308F" w:rsidP="00F2615B">
            <w:pPr>
              <w:pStyle w:val="Tabletext"/>
              <w:rPr>
                <w:lang w:eastAsia="en-AU"/>
              </w:rPr>
            </w:pPr>
            <w:r>
              <w:rPr>
                <w:lang w:eastAsia="en-AU"/>
              </w:rPr>
              <w:t>69.5%</w:t>
            </w:r>
          </w:p>
        </w:tc>
        <w:tc>
          <w:tcPr>
            <w:tcW w:w="986" w:type="dxa"/>
            <w:hideMark/>
          </w:tcPr>
          <w:p w14:paraId="057FA573" w14:textId="411AF0AD" w:rsidR="001F4823" w:rsidRPr="00406DA3" w:rsidRDefault="001F4823" w:rsidP="00F2615B">
            <w:pPr>
              <w:pStyle w:val="Tabletext"/>
              <w:rPr>
                <w:lang w:eastAsia="en-AU"/>
              </w:rPr>
            </w:pPr>
            <w:r>
              <w:rPr>
                <w:lang w:eastAsia="en-AU"/>
              </w:rPr>
              <w:t>58.4%</w:t>
            </w:r>
          </w:p>
        </w:tc>
        <w:tc>
          <w:tcPr>
            <w:tcW w:w="1349" w:type="dxa"/>
            <w:shd w:val="clear" w:color="auto" w:fill="CCC0D9" w:themeFill="accent4" w:themeFillTint="66"/>
          </w:tcPr>
          <w:p w14:paraId="0CFAE128" w14:textId="1E3F4CF4" w:rsidR="001F4823" w:rsidRPr="00406DA3" w:rsidRDefault="001F4823" w:rsidP="00F2615B">
            <w:pPr>
              <w:pStyle w:val="Tabletext"/>
              <w:rPr>
                <w:lang w:eastAsia="en-AU"/>
              </w:rPr>
            </w:pPr>
            <w:r>
              <w:rPr>
                <w:rFonts w:cs="Arial"/>
                <w:szCs w:val="21"/>
                <w:lang w:eastAsia="en-AU"/>
              </w:rPr>
              <w:t>+3.3</w:t>
            </w:r>
            <w:r w:rsidR="003245A0">
              <w:rPr>
                <w:rFonts w:cs="Arial"/>
                <w:szCs w:val="21"/>
                <w:lang w:eastAsia="en-AU"/>
              </w:rPr>
              <w:t>pp</w:t>
            </w:r>
          </w:p>
        </w:tc>
        <w:tc>
          <w:tcPr>
            <w:tcW w:w="1687" w:type="dxa"/>
            <w:hideMark/>
          </w:tcPr>
          <w:p w14:paraId="7F2A9398" w14:textId="1F846C8B" w:rsidR="001F4823" w:rsidRPr="00C519DC" w:rsidRDefault="00066D74" w:rsidP="00F2615B">
            <w:pPr>
              <w:pStyle w:val="Tabletext"/>
              <w:rPr>
                <w:lang w:eastAsia="en-AU"/>
              </w:rPr>
            </w:pPr>
            <w:r>
              <w:rPr>
                <w:rFonts w:cs="Arial"/>
                <w:szCs w:val="21"/>
                <w:lang w:eastAsia="en-AU"/>
              </w:rPr>
              <w:t>Improving</w:t>
            </w:r>
          </w:p>
        </w:tc>
      </w:tr>
      <w:tr w:rsidR="00FA37BD" w:rsidRPr="00406DA3" w14:paraId="0493A6ED" w14:textId="77777777" w:rsidTr="00B472D1">
        <w:tc>
          <w:tcPr>
            <w:tcW w:w="2289" w:type="dxa"/>
            <w:hideMark/>
          </w:tcPr>
          <w:p w14:paraId="3989A331" w14:textId="749CC519" w:rsidR="001F4823" w:rsidRPr="00406DA3" w:rsidRDefault="001F4823" w:rsidP="00F2615B">
            <w:pPr>
              <w:pStyle w:val="Tabletext"/>
              <w:rPr>
                <w:lang w:eastAsia="en-AU"/>
              </w:rPr>
            </w:pPr>
            <w:r w:rsidRPr="00406DA3">
              <w:rPr>
                <w:lang w:eastAsia="en-AU"/>
              </w:rPr>
              <w:t>Water and land management</w:t>
            </w:r>
          </w:p>
        </w:tc>
        <w:tc>
          <w:tcPr>
            <w:tcW w:w="975" w:type="dxa"/>
            <w:shd w:val="clear" w:color="auto" w:fill="CCC0D9" w:themeFill="accent4" w:themeFillTint="66"/>
          </w:tcPr>
          <w:p w14:paraId="2139894A" w14:textId="03ABB292" w:rsidR="001F4823" w:rsidRDefault="009A1D40" w:rsidP="00F2615B">
            <w:pPr>
              <w:pStyle w:val="Tabletext"/>
              <w:rPr>
                <w:lang w:eastAsia="en-AU"/>
              </w:rPr>
            </w:pPr>
            <w:r>
              <w:rPr>
                <w:lang w:eastAsia="en-AU"/>
              </w:rPr>
              <w:t>43.0%</w:t>
            </w:r>
          </w:p>
        </w:tc>
        <w:tc>
          <w:tcPr>
            <w:tcW w:w="1022" w:type="dxa"/>
            <w:shd w:val="clear" w:color="auto" w:fill="CCC0D9" w:themeFill="accent4" w:themeFillTint="66"/>
            <w:hideMark/>
          </w:tcPr>
          <w:p w14:paraId="5945C072" w14:textId="17227D9C" w:rsidR="001F4823" w:rsidRPr="00406DA3" w:rsidRDefault="001F4823" w:rsidP="00F2615B">
            <w:pPr>
              <w:pStyle w:val="Tabletext"/>
              <w:rPr>
                <w:lang w:eastAsia="en-AU"/>
              </w:rPr>
            </w:pPr>
            <w:r>
              <w:rPr>
                <w:lang w:eastAsia="en-AU"/>
              </w:rPr>
              <w:t>42.6%</w:t>
            </w:r>
          </w:p>
        </w:tc>
        <w:tc>
          <w:tcPr>
            <w:tcW w:w="990" w:type="dxa"/>
          </w:tcPr>
          <w:p w14:paraId="06C85446" w14:textId="11374E7E" w:rsidR="001F4823" w:rsidRDefault="0060583D" w:rsidP="00F2615B">
            <w:pPr>
              <w:pStyle w:val="Tabletext"/>
              <w:rPr>
                <w:lang w:eastAsia="en-AU"/>
              </w:rPr>
            </w:pPr>
            <w:r>
              <w:rPr>
                <w:lang w:eastAsia="en-AU"/>
              </w:rPr>
              <w:t>42.9%</w:t>
            </w:r>
          </w:p>
        </w:tc>
        <w:tc>
          <w:tcPr>
            <w:tcW w:w="986" w:type="dxa"/>
            <w:hideMark/>
          </w:tcPr>
          <w:p w14:paraId="63F4BCE3" w14:textId="49F63E7E" w:rsidR="001F4823" w:rsidRPr="00406DA3" w:rsidRDefault="001F4823" w:rsidP="00F2615B">
            <w:pPr>
              <w:pStyle w:val="Tabletext"/>
              <w:rPr>
                <w:lang w:eastAsia="en-AU"/>
              </w:rPr>
            </w:pPr>
            <w:r>
              <w:rPr>
                <w:lang w:eastAsia="en-AU"/>
              </w:rPr>
              <w:t>41.4%</w:t>
            </w:r>
          </w:p>
        </w:tc>
        <w:tc>
          <w:tcPr>
            <w:tcW w:w="1349" w:type="dxa"/>
            <w:shd w:val="clear" w:color="auto" w:fill="CCC0D9" w:themeFill="accent4" w:themeFillTint="66"/>
          </w:tcPr>
          <w:p w14:paraId="3EFF4AC0" w14:textId="7FEB365F" w:rsidR="001F4823" w:rsidRPr="00406DA3" w:rsidRDefault="001F4823" w:rsidP="00F2615B">
            <w:pPr>
              <w:pStyle w:val="Tabletext"/>
              <w:rPr>
                <w:lang w:eastAsia="en-AU"/>
              </w:rPr>
            </w:pPr>
            <w:r>
              <w:rPr>
                <w:rFonts w:cs="Arial"/>
                <w:szCs w:val="21"/>
                <w:lang w:eastAsia="en-AU"/>
              </w:rPr>
              <w:t>-1.2</w:t>
            </w:r>
            <w:r w:rsidR="003245A0">
              <w:rPr>
                <w:rFonts w:cs="Arial"/>
                <w:szCs w:val="21"/>
                <w:lang w:eastAsia="en-AU"/>
              </w:rPr>
              <w:t>pp</w:t>
            </w:r>
          </w:p>
        </w:tc>
        <w:tc>
          <w:tcPr>
            <w:tcW w:w="1687" w:type="dxa"/>
            <w:hideMark/>
          </w:tcPr>
          <w:p w14:paraId="49B374C6" w14:textId="3A259699" w:rsidR="001F4823" w:rsidRPr="00C519DC" w:rsidRDefault="0047095D" w:rsidP="00F2615B">
            <w:pPr>
              <w:pStyle w:val="Tabletext"/>
              <w:rPr>
                <w:lang w:eastAsia="en-AU"/>
              </w:rPr>
            </w:pPr>
            <w:r>
              <w:rPr>
                <w:rFonts w:cs="Arial"/>
                <w:szCs w:val="21"/>
                <w:lang w:eastAsia="en-AU"/>
              </w:rPr>
              <w:t>Proportional</w:t>
            </w:r>
          </w:p>
        </w:tc>
      </w:tr>
    </w:tbl>
    <w:p w14:paraId="0C47D860" w14:textId="1A4498E7" w:rsidR="00AE2BAB" w:rsidRDefault="00AE2BAB" w:rsidP="009B4DCB">
      <w:pPr>
        <w:pStyle w:val="Tablefigurenote"/>
      </w:pPr>
      <w:r w:rsidRPr="00136D6E">
        <w:t xml:space="preserve">Source: Workplace gender audit workforce data, </w:t>
      </w:r>
      <w:r>
        <w:t>2023 and 2025.</w:t>
      </w:r>
    </w:p>
    <w:p w14:paraId="74D67100" w14:textId="3F914A0F" w:rsidR="00C02973" w:rsidRDefault="009B4DCB" w:rsidP="005F688D">
      <w:pPr>
        <w:pStyle w:val="Tablefigurenote"/>
        <w:rPr>
          <w:b/>
          <w:lang w:eastAsia="en-AU"/>
        </w:rPr>
      </w:pPr>
      <w:r w:rsidRPr="00C27278">
        <w:t xml:space="preserve">Notes: </w:t>
      </w:r>
      <w:r w:rsidR="009D5E45" w:rsidRPr="00A2089E">
        <w:rPr>
          <w:rFonts w:cs="Arial"/>
          <w:szCs w:val="21"/>
        </w:rPr>
        <w:t>To understand how to interpret the different types of progress ratings</w:t>
      </w:r>
      <w:r w:rsidR="009D5E45">
        <w:rPr>
          <w:rFonts w:cs="Arial"/>
          <w:szCs w:val="21"/>
        </w:rPr>
        <w:t>,</w:t>
      </w:r>
      <w:r w:rsidR="009D5E45" w:rsidRPr="00A2089E">
        <w:rPr>
          <w:rFonts w:cs="Arial"/>
          <w:szCs w:val="21"/>
        </w:rPr>
        <w:t xml:space="preserve"> see </w:t>
      </w:r>
      <w:hyperlink w:anchor="_Data_measures" w:history="1">
        <w:r w:rsidR="00AD5F51">
          <w:rPr>
            <w:rStyle w:val="Hyperlink"/>
            <w:rFonts w:cs="Times New Roman"/>
          </w:rPr>
          <w:t>Data measures</w:t>
        </w:r>
      </w:hyperlink>
      <w:r w:rsidR="00AD5F51">
        <w:t xml:space="preserve"> in </w:t>
      </w:r>
      <w:r w:rsidR="009D5E45" w:rsidRPr="00A2089E">
        <w:t>Appendix 1</w:t>
      </w:r>
      <w:r>
        <w:t>.</w:t>
      </w:r>
      <w:r w:rsidR="00277FED">
        <w:t xml:space="preserve"> </w:t>
      </w:r>
      <w:r w:rsidR="00277FED" w:rsidRPr="00AE1037">
        <w:t xml:space="preserve">The </w:t>
      </w:r>
      <w:r w:rsidR="00277FED">
        <w:t xml:space="preserve">percentage point </w:t>
      </w:r>
      <w:r w:rsidR="00277FED" w:rsidRPr="00AE1037">
        <w:t>change column may not always reflect the exact difference between years due to rounding</w:t>
      </w:r>
      <w:r w:rsidR="00277FED">
        <w:t>.</w:t>
      </w:r>
    </w:p>
    <w:p w14:paraId="685FECE9" w14:textId="09095FA6" w:rsidR="00DB5AAC" w:rsidRDefault="00B92F35" w:rsidP="00DB5AAC">
      <w:pPr>
        <w:pStyle w:val="Heading3"/>
      </w:pPr>
      <w:r w:rsidRPr="00B92F35">
        <w:lastRenderedPageBreak/>
        <w:t xml:space="preserve">Signs of </w:t>
      </w:r>
      <w:r w:rsidR="00DB5AAC">
        <w:t>progress</w:t>
      </w:r>
    </w:p>
    <w:p w14:paraId="07BAD925" w14:textId="0E20D0CD" w:rsidR="002A1DF0" w:rsidRPr="008C1EDA" w:rsidRDefault="002A1DF0" w:rsidP="002A1DF0">
      <w:pPr>
        <w:spacing w:before="100" w:beforeAutospacing="1" w:after="100" w:afterAutospacing="1" w:line="240" w:lineRule="auto"/>
        <w:rPr>
          <w:rStyle w:val="Heading4Char"/>
        </w:rPr>
      </w:pPr>
      <w:r w:rsidRPr="008C1EDA">
        <w:rPr>
          <w:rStyle w:val="Heading4Char"/>
        </w:rPr>
        <w:t>More women work</w:t>
      </w:r>
      <w:r w:rsidR="003F6BA5">
        <w:rPr>
          <w:rStyle w:val="Heading4Char"/>
        </w:rPr>
        <w:t>ed</w:t>
      </w:r>
      <w:r w:rsidRPr="008C1EDA">
        <w:rPr>
          <w:rStyle w:val="Heading4Char"/>
        </w:rPr>
        <w:t xml:space="preserve"> in senior </w:t>
      </w:r>
      <w:r w:rsidRPr="00C27278">
        <w:rPr>
          <w:rStyle w:val="Heading4Char"/>
        </w:rPr>
        <w:t>leader</w:t>
      </w:r>
      <w:r>
        <w:rPr>
          <w:rStyle w:val="Heading4Char"/>
        </w:rPr>
        <w:t xml:space="preserve"> roles</w:t>
      </w:r>
      <w:r w:rsidR="003F6BA5">
        <w:rPr>
          <w:rStyle w:val="Heading4Char"/>
        </w:rPr>
        <w:t xml:space="preserve"> in 2025</w:t>
      </w:r>
    </w:p>
    <w:p w14:paraId="7C20E7C8" w14:textId="132B8D06" w:rsidR="0018412D" w:rsidRPr="0018412D" w:rsidRDefault="0018412D" w:rsidP="0078531C">
      <w:pPr>
        <w:pStyle w:val="BodyText"/>
        <w:rPr>
          <w:lang w:eastAsia="en-AU"/>
        </w:rPr>
      </w:pPr>
      <w:r w:rsidRPr="0018412D">
        <w:rPr>
          <w:lang w:eastAsia="en-AU"/>
        </w:rPr>
        <w:t>While overall workforce composition stayed stable, women</w:t>
      </w:r>
      <w:r w:rsidR="002F55AB">
        <w:rPr>
          <w:lang w:eastAsia="en-AU"/>
        </w:rPr>
        <w:t>’</w:t>
      </w:r>
      <w:r w:rsidRPr="0018412D">
        <w:rPr>
          <w:lang w:eastAsia="en-AU"/>
        </w:rPr>
        <w:t xml:space="preserve">s representation in senior leadership grew. In 2025, women held 57.3% of senior leader roles, up 4.2 percentage points from 53.1% in </w:t>
      </w:r>
      <w:r w:rsidRPr="00041CCA">
        <w:t>2023</w:t>
      </w:r>
      <w:r w:rsidRPr="0018412D">
        <w:rPr>
          <w:lang w:eastAsia="en-AU"/>
        </w:rPr>
        <w:t>. This brought the composition of senior leaders close</w:t>
      </w:r>
      <w:r>
        <w:rPr>
          <w:lang w:eastAsia="en-AU"/>
        </w:rPr>
        <w:t>r</w:t>
      </w:r>
      <w:r w:rsidRPr="0018412D">
        <w:rPr>
          <w:lang w:eastAsia="en-AU"/>
        </w:rPr>
        <w:t xml:space="preserve"> to the overall composition of the public sector workforce, which was around two-thirds women.</w:t>
      </w:r>
    </w:p>
    <w:p w14:paraId="1568D061" w14:textId="4C49B3BE" w:rsidR="0018412D" w:rsidRPr="0018412D" w:rsidRDefault="0018412D" w:rsidP="0078531C">
      <w:pPr>
        <w:pStyle w:val="BodyText"/>
        <w:rPr>
          <w:lang w:eastAsia="en-AU"/>
        </w:rPr>
      </w:pPr>
      <w:r w:rsidRPr="0018412D">
        <w:rPr>
          <w:lang w:eastAsia="en-AU"/>
        </w:rPr>
        <w:t xml:space="preserve">This is a positive shift towards proportional representation, and it is consistent with organisations strengthening pathways into leadership and addressing barriers to progression. </w:t>
      </w:r>
      <w:r w:rsidR="00202C9D">
        <w:rPr>
          <w:lang w:eastAsia="en-AU"/>
        </w:rPr>
        <w:t>While</w:t>
      </w:r>
      <w:r w:rsidRPr="0018412D">
        <w:rPr>
          <w:lang w:eastAsia="en-AU"/>
        </w:rPr>
        <w:t xml:space="preserve"> audit data shows the movement clearly, it cannot on its own identify the specific changes inside organisations that produced it.</w:t>
      </w:r>
    </w:p>
    <w:p w14:paraId="1E48A627" w14:textId="5467DB93" w:rsidR="009C3E4F" w:rsidRPr="0018412D" w:rsidRDefault="009C3E4F" w:rsidP="004444B7">
      <w:r w:rsidRPr="00B052F8">
        <w:t xml:space="preserve">As </w:t>
      </w:r>
      <w:hyperlink w:anchor="_Indicator_3:_Gender" w:history="1">
        <w:r w:rsidRPr="00B26A00">
          <w:rPr>
            <w:rStyle w:val="Hyperlink"/>
            <w:rFonts w:cs="Times New Roman"/>
          </w:rPr>
          <w:t>Indicator 3</w:t>
        </w:r>
        <w:r w:rsidR="00B26A00" w:rsidRPr="00B26A00">
          <w:rPr>
            <w:rStyle w:val="Hyperlink"/>
            <w:rFonts w:cs="Times New Roman"/>
          </w:rPr>
          <w:t>: Gender pay gaps</w:t>
        </w:r>
      </w:hyperlink>
      <w:r w:rsidRPr="00B052F8">
        <w:t xml:space="preserve"> </w:t>
      </w:r>
      <w:r w:rsidR="00CF6BDE">
        <w:t>explains</w:t>
      </w:r>
      <w:r>
        <w:t xml:space="preserve"> in more detail</w:t>
      </w:r>
      <w:r w:rsidRPr="00B052F8">
        <w:t xml:space="preserve">, this </w:t>
      </w:r>
      <w:r w:rsidR="00CF6BDE">
        <w:t>increase</w:t>
      </w:r>
      <w:r w:rsidRPr="00B052F8">
        <w:t xml:space="preserve"> in women</w:t>
      </w:r>
      <w:r w:rsidR="00450C09">
        <w:t>’</w:t>
      </w:r>
      <w:r w:rsidRPr="00B052F8">
        <w:t xml:space="preserve">s representation </w:t>
      </w:r>
      <w:r w:rsidR="00CF6BDE">
        <w:t xml:space="preserve">in </w:t>
      </w:r>
      <w:r w:rsidRPr="00B052F8">
        <w:t xml:space="preserve">senior leadership has not been </w:t>
      </w:r>
      <w:r w:rsidR="00CF6BDE">
        <w:t>accompanied</w:t>
      </w:r>
      <w:r w:rsidRPr="00B052F8">
        <w:t xml:space="preserve"> by </w:t>
      </w:r>
      <w:r w:rsidR="00CF6BDE">
        <w:t xml:space="preserve">improved </w:t>
      </w:r>
      <w:r w:rsidRPr="00B052F8">
        <w:t xml:space="preserve">pay </w:t>
      </w:r>
      <w:r w:rsidR="0090312F">
        <w:t>equity</w:t>
      </w:r>
      <w:r>
        <w:t xml:space="preserve">. </w:t>
      </w:r>
      <w:r w:rsidR="00640EBE" w:rsidRPr="00640EBE">
        <w:t>In fact, the gender pay gap among</w:t>
      </w:r>
      <w:r w:rsidRPr="00B052F8">
        <w:t xml:space="preserve"> senior </w:t>
      </w:r>
      <w:r w:rsidR="00640EBE" w:rsidRPr="00640EBE">
        <w:t xml:space="preserve">leaders widened </w:t>
      </w:r>
      <w:r w:rsidR="000A76F6">
        <w:t>between 2021 and 2025</w:t>
      </w:r>
      <w:r w:rsidR="00640EBE" w:rsidRPr="00640EBE">
        <w:t>.</w:t>
      </w:r>
      <w:r>
        <w:t xml:space="preserve"> This highlights </w:t>
      </w:r>
      <w:r w:rsidR="00183C74" w:rsidRPr="00183C74">
        <w:t>that increasing women</w:t>
      </w:r>
      <w:r w:rsidR="000A76F6">
        <w:t>’</w:t>
      </w:r>
      <w:r w:rsidR="00183C74" w:rsidRPr="00183C74">
        <w:t>s representation alone</w:t>
      </w:r>
      <w:r>
        <w:t xml:space="preserve"> is </w:t>
      </w:r>
      <w:r w:rsidR="00183C74" w:rsidRPr="00183C74">
        <w:t>not enough. Progress on</w:t>
      </w:r>
      <w:r>
        <w:t xml:space="preserve"> </w:t>
      </w:r>
      <w:r w:rsidRPr="00B052F8">
        <w:t xml:space="preserve">representation and remuneration </w:t>
      </w:r>
      <w:r w:rsidR="00183C74" w:rsidRPr="00183C74">
        <w:t xml:space="preserve">must occur </w:t>
      </w:r>
      <w:r>
        <w:t xml:space="preserve">in tandem </w:t>
      </w:r>
      <w:r w:rsidR="00183C74" w:rsidRPr="00183C74">
        <w:t>if</w:t>
      </w:r>
      <w:r>
        <w:t xml:space="preserve"> gender equality</w:t>
      </w:r>
      <w:r w:rsidR="00183C74" w:rsidRPr="00183C74">
        <w:t xml:space="preserve"> is to be achieved</w:t>
      </w:r>
      <w:r>
        <w:t xml:space="preserve">. </w:t>
      </w:r>
    </w:p>
    <w:p w14:paraId="710EE24A" w14:textId="108712E7" w:rsidR="0018412D" w:rsidRPr="0018412D" w:rsidRDefault="00983850" w:rsidP="0078531C">
      <w:pPr>
        <w:pStyle w:val="BodyText"/>
        <w:rPr>
          <w:lang w:eastAsia="en-AU"/>
        </w:rPr>
      </w:pPr>
      <w:r>
        <w:rPr>
          <w:lang w:eastAsia="en-AU"/>
        </w:rPr>
        <w:t xml:space="preserve">It is important to </w:t>
      </w:r>
      <w:r w:rsidR="0018412D" w:rsidRPr="0018412D">
        <w:rPr>
          <w:lang w:eastAsia="en-AU"/>
        </w:rPr>
        <w:t xml:space="preserve">note </w:t>
      </w:r>
      <w:r>
        <w:rPr>
          <w:lang w:eastAsia="en-AU"/>
        </w:rPr>
        <w:t>that</w:t>
      </w:r>
      <w:r w:rsidR="0018412D" w:rsidRPr="0018412D">
        <w:rPr>
          <w:lang w:eastAsia="en-AU"/>
        </w:rPr>
        <w:t xml:space="preserve"> in gender-balanced organisations, the goal for senior leadership is a 45:45:10 split. In women-concentrated organisations, the goal is for leadership to mirror the broader workforce. Because the public sector is majority-women, movement towards women holding a proportional share of leadership – rather than men remaining overrepresented at the top – is the relevant measure of progress here.</w:t>
      </w:r>
      <w:r w:rsidR="00F62686">
        <w:rPr>
          <w:lang w:eastAsia="en-AU"/>
        </w:rPr>
        <w:t xml:space="preserve"> </w:t>
      </w:r>
      <w:r w:rsidR="00F62686" w:rsidRPr="00F62686">
        <w:rPr>
          <w:lang w:eastAsia="en-AU"/>
        </w:rPr>
        <w:t>This should be understood alongside the equally important goal of increasing men</w:t>
      </w:r>
      <w:r w:rsidR="0035486F">
        <w:rPr>
          <w:lang w:eastAsia="en-AU"/>
        </w:rPr>
        <w:t>’</w:t>
      </w:r>
      <w:r w:rsidR="00F62686" w:rsidRPr="00F62686">
        <w:rPr>
          <w:lang w:eastAsia="en-AU"/>
        </w:rPr>
        <w:t>s representation in women-concentrated occupations and industries across the public sector, so that the workforce as a whole becomes more gender balanced.</w:t>
      </w:r>
    </w:p>
    <w:p w14:paraId="6E53B092" w14:textId="67667ACE" w:rsidR="005839DB" w:rsidRDefault="00D205FE" w:rsidP="005839DB">
      <w:pPr>
        <w:pStyle w:val="Heading4"/>
        <w:rPr>
          <w:lang w:eastAsia="en-AU"/>
        </w:rPr>
      </w:pPr>
      <w:r>
        <w:rPr>
          <w:lang w:eastAsia="en-AU"/>
        </w:rPr>
        <w:t>Four</w:t>
      </w:r>
      <w:r w:rsidR="005839DB">
        <w:rPr>
          <w:lang w:eastAsia="en-AU"/>
        </w:rPr>
        <w:t xml:space="preserve"> out of 11 industries achieved proportional representation of women in leadership</w:t>
      </w:r>
    </w:p>
    <w:p w14:paraId="1BA9BF90" w14:textId="2E8FB091" w:rsidR="005839DB" w:rsidRDefault="005839DB" w:rsidP="0078531C">
      <w:pPr>
        <w:pStyle w:val="BodyText"/>
        <w:rPr>
          <w:lang w:eastAsia="en-AU"/>
        </w:rPr>
      </w:pPr>
      <w:r>
        <w:rPr>
          <w:lang w:eastAsia="en-AU"/>
        </w:rPr>
        <w:t xml:space="preserve">Most industries </w:t>
      </w:r>
      <w:r w:rsidR="00220146" w:rsidRPr="00220146">
        <w:rPr>
          <w:lang w:eastAsia="en-AU"/>
        </w:rPr>
        <w:t>shifted</w:t>
      </w:r>
      <w:r>
        <w:rPr>
          <w:lang w:eastAsia="en-AU"/>
        </w:rPr>
        <w:t xml:space="preserve"> towards proportional representation of women in leadership between 2023 and 2025. </w:t>
      </w:r>
      <w:r w:rsidR="00220146" w:rsidRPr="00220146">
        <w:rPr>
          <w:lang w:eastAsia="en-AU"/>
        </w:rPr>
        <w:t xml:space="preserve">Four </w:t>
      </w:r>
      <w:r w:rsidR="00031065">
        <w:rPr>
          <w:lang w:eastAsia="en-AU"/>
        </w:rPr>
        <w:t>industries</w:t>
      </w:r>
      <w:r w:rsidR="00220146" w:rsidRPr="00220146">
        <w:rPr>
          <w:lang w:eastAsia="en-AU"/>
        </w:rPr>
        <w:t xml:space="preserve"> of 11 reached it in 2025, up from </w:t>
      </w:r>
      <w:r w:rsidR="00350E3C">
        <w:rPr>
          <w:lang w:eastAsia="en-AU"/>
        </w:rPr>
        <w:t>2</w:t>
      </w:r>
      <w:r w:rsidR="00220146" w:rsidRPr="00220146">
        <w:rPr>
          <w:lang w:eastAsia="en-AU"/>
        </w:rPr>
        <w:t xml:space="preserve"> in 2023</w:t>
      </w:r>
      <w:r w:rsidR="0096212C">
        <w:rPr>
          <w:lang w:eastAsia="en-AU"/>
        </w:rPr>
        <w:t xml:space="preserve">. </w:t>
      </w:r>
      <w:r>
        <w:rPr>
          <w:lang w:eastAsia="en-AU"/>
        </w:rPr>
        <w:t xml:space="preserve">These were: </w:t>
      </w:r>
    </w:p>
    <w:p w14:paraId="5A26A7CA" w14:textId="77777777" w:rsidR="005839DB" w:rsidRDefault="005839DB" w:rsidP="005839DB">
      <w:pPr>
        <w:pStyle w:val="Bullet1"/>
        <w:rPr>
          <w:lang w:eastAsia="en-AU"/>
        </w:rPr>
      </w:pPr>
      <w:r>
        <w:rPr>
          <w:lang w:eastAsia="en-AU"/>
        </w:rPr>
        <w:t xml:space="preserve">community and cultural services </w:t>
      </w:r>
    </w:p>
    <w:p w14:paraId="17FFDE3B" w14:textId="77777777" w:rsidR="005839DB" w:rsidRDefault="005839DB" w:rsidP="005839DB">
      <w:pPr>
        <w:pStyle w:val="Bullet1"/>
        <w:rPr>
          <w:lang w:eastAsia="en-AU"/>
        </w:rPr>
      </w:pPr>
      <w:r>
        <w:rPr>
          <w:lang w:eastAsia="en-AU"/>
        </w:rPr>
        <w:t>other</w:t>
      </w:r>
    </w:p>
    <w:p w14:paraId="4DFD3BD9" w14:textId="77777777" w:rsidR="005839DB" w:rsidRDefault="005839DB" w:rsidP="005839DB">
      <w:pPr>
        <w:pStyle w:val="Bullet1"/>
        <w:rPr>
          <w:lang w:eastAsia="en-AU"/>
        </w:rPr>
      </w:pPr>
      <w:r>
        <w:rPr>
          <w:lang w:eastAsia="en-AU"/>
        </w:rPr>
        <w:t xml:space="preserve">universities </w:t>
      </w:r>
    </w:p>
    <w:p w14:paraId="06EDD970" w14:textId="77777777" w:rsidR="005839DB" w:rsidRDefault="005839DB" w:rsidP="005839DB">
      <w:pPr>
        <w:pStyle w:val="Bullet1"/>
        <w:rPr>
          <w:lang w:eastAsia="en-AU"/>
        </w:rPr>
      </w:pPr>
      <w:r>
        <w:rPr>
          <w:lang w:eastAsia="en-AU"/>
        </w:rPr>
        <w:t>water and land management.</w:t>
      </w:r>
    </w:p>
    <w:p w14:paraId="6DBB5CD9" w14:textId="674F200E" w:rsidR="005839DB" w:rsidRDefault="005839DB" w:rsidP="005839DB">
      <w:pPr>
        <w:pStyle w:val="Bodyafterbullets"/>
        <w:rPr>
          <w:lang w:eastAsia="en-AU"/>
        </w:rPr>
      </w:pPr>
      <w:r>
        <w:rPr>
          <w:lang w:eastAsia="en-AU"/>
        </w:rPr>
        <w:t xml:space="preserve">Women </w:t>
      </w:r>
      <w:r w:rsidRPr="00C27278">
        <w:rPr>
          <w:lang w:eastAsia="en-AU"/>
        </w:rPr>
        <w:t>remain</w:t>
      </w:r>
      <w:r>
        <w:rPr>
          <w:lang w:eastAsia="en-AU"/>
        </w:rPr>
        <w:t xml:space="preserve">ed underrepresented in senior </w:t>
      </w:r>
      <w:r w:rsidRPr="00C27278">
        <w:rPr>
          <w:lang w:eastAsia="en-AU"/>
        </w:rPr>
        <w:t>leader</w:t>
      </w:r>
      <w:r>
        <w:rPr>
          <w:lang w:eastAsia="en-AU"/>
        </w:rPr>
        <w:t xml:space="preserve"> roles in </w:t>
      </w:r>
      <w:r w:rsidR="005E670A">
        <w:rPr>
          <w:lang w:eastAsia="en-AU"/>
        </w:rPr>
        <w:t>6</w:t>
      </w:r>
      <w:r>
        <w:rPr>
          <w:lang w:eastAsia="en-AU"/>
        </w:rPr>
        <w:t xml:space="preserve"> out of 11 industries. In 2025, </w:t>
      </w:r>
      <w:r w:rsidR="00101EBA">
        <w:rPr>
          <w:lang w:eastAsia="en-AU"/>
        </w:rPr>
        <w:t>women’s</w:t>
      </w:r>
      <w:r>
        <w:rPr>
          <w:lang w:eastAsia="en-AU"/>
        </w:rPr>
        <w:t xml:space="preserve"> underrepresentation was most pronounced in:</w:t>
      </w:r>
    </w:p>
    <w:p w14:paraId="47E5F5C1" w14:textId="4C45831A" w:rsidR="005839DB" w:rsidRDefault="005839DB" w:rsidP="005839DB">
      <w:pPr>
        <w:pStyle w:val="Bullet1"/>
        <w:rPr>
          <w:lang w:eastAsia="en-AU"/>
        </w:rPr>
      </w:pPr>
      <w:r>
        <w:rPr>
          <w:lang w:eastAsia="en-AU"/>
        </w:rPr>
        <w:t>finance and insurance (64.</w:t>
      </w:r>
      <w:r w:rsidR="00BD3FDD">
        <w:rPr>
          <w:lang w:eastAsia="en-AU"/>
        </w:rPr>
        <w:t>3</w:t>
      </w:r>
      <w:r>
        <w:rPr>
          <w:lang w:eastAsia="en-AU"/>
        </w:rPr>
        <w:t>% total women, 52.1% women senior leaders)</w:t>
      </w:r>
    </w:p>
    <w:p w14:paraId="5C11CFF1" w14:textId="77777777" w:rsidR="005839DB" w:rsidRDefault="005839DB" w:rsidP="005839DB">
      <w:pPr>
        <w:pStyle w:val="Bullet1"/>
        <w:rPr>
          <w:lang w:eastAsia="en-AU"/>
        </w:rPr>
      </w:pPr>
      <w:r>
        <w:rPr>
          <w:lang w:eastAsia="en-AU"/>
        </w:rPr>
        <w:t>police and emergency services (38.2% total women, 27.0% women senior leaders)</w:t>
      </w:r>
    </w:p>
    <w:p w14:paraId="326340CB" w14:textId="5F812CCA" w:rsidR="005839DB" w:rsidRDefault="005839DB" w:rsidP="005839DB">
      <w:pPr>
        <w:pStyle w:val="Bullet1"/>
        <w:rPr>
          <w:lang w:eastAsia="en-AU"/>
        </w:rPr>
      </w:pPr>
      <w:r>
        <w:rPr>
          <w:lang w:eastAsia="en-AU"/>
        </w:rPr>
        <w:t xml:space="preserve">Victorian </w:t>
      </w:r>
      <w:r w:rsidR="00E77DB3">
        <w:rPr>
          <w:lang w:eastAsia="en-AU"/>
        </w:rPr>
        <w:t>P</w:t>
      </w:r>
      <w:r>
        <w:rPr>
          <w:lang w:eastAsia="en-AU"/>
        </w:rPr>
        <w:t xml:space="preserve">ublic </w:t>
      </w:r>
      <w:r w:rsidR="00E77DB3">
        <w:rPr>
          <w:lang w:eastAsia="en-AU"/>
        </w:rPr>
        <w:t>S</w:t>
      </w:r>
      <w:r>
        <w:rPr>
          <w:lang w:eastAsia="en-AU"/>
        </w:rPr>
        <w:t>ervice (69.5% total women, 58.4% women senior leaders)</w:t>
      </w:r>
    </w:p>
    <w:p w14:paraId="24B98955" w14:textId="221DBBA4" w:rsidR="005839DB" w:rsidRDefault="00236F66" w:rsidP="005839DB">
      <w:pPr>
        <w:pStyle w:val="Bullet1"/>
        <w:rPr>
          <w:lang w:eastAsia="en-AU"/>
        </w:rPr>
      </w:pPr>
      <w:r>
        <w:rPr>
          <w:lang w:eastAsia="en-AU"/>
        </w:rPr>
        <w:t>l</w:t>
      </w:r>
      <w:r w:rsidR="005839DB">
        <w:rPr>
          <w:lang w:eastAsia="en-AU"/>
        </w:rPr>
        <w:t>ocal government (61.8% total women, 51.3% women senior leaders)</w:t>
      </w:r>
      <w:r w:rsidR="005F096C">
        <w:rPr>
          <w:lang w:eastAsia="en-AU"/>
        </w:rPr>
        <w:t>.</w:t>
      </w:r>
    </w:p>
    <w:p w14:paraId="7BA24E2D" w14:textId="6F01F9AC" w:rsidR="00072A3E" w:rsidRDefault="00B51A20">
      <w:pPr>
        <w:pStyle w:val="Bodyafterbullets"/>
        <w:rPr>
          <w:lang w:eastAsia="en-AU"/>
        </w:rPr>
      </w:pPr>
      <w:r w:rsidRPr="00B51A20">
        <w:rPr>
          <w:lang w:eastAsia="en-AU"/>
        </w:rPr>
        <w:t>One</w:t>
      </w:r>
      <w:r w:rsidR="005839DB" w:rsidRPr="00C27278">
        <w:rPr>
          <w:lang w:eastAsia="en-AU"/>
        </w:rPr>
        <w:t xml:space="preserve"> industr</w:t>
      </w:r>
      <w:r w:rsidR="005839DB">
        <w:rPr>
          <w:lang w:eastAsia="en-AU"/>
        </w:rPr>
        <w:t>y</w:t>
      </w:r>
      <w:r w:rsidR="005839DB" w:rsidRPr="00C27278">
        <w:rPr>
          <w:lang w:eastAsia="en-AU"/>
        </w:rPr>
        <w:t xml:space="preserve"> </w:t>
      </w:r>
      <w:r w:rsidR="005839DB">
        <w:rPr>
          <w:lang w:eastAsia="en-AU"/>
        </w:rPr>
        <w:t xml:space="preserve">was </w:t>
      </w:r>
      <w:r w:rsidRPr="00B51A20">
        <w:rPr>
          <w:lang w:eastAsia="en-AU"/>
        </w:rPr>
        <w:t xml:space="preserve">rated </w:t>
      </w:r>
      <w:r w:rsidR="002F55AB">
        <w:rPr>
          <w:lang w:eastAsia="en-AU"/>
        </w:rPr>
        <w:t>‘</w:t>
      </w:r>
      <w:r w:rsidRPr="00B51A20">
        <w:rPr>
          <w:lang w:eastAsia="en-AU"/>
        </w:rPr>
        <w:t>worsening</w:t>
      </w:r>
      <w:r w:rsidR="002F55AB">
        <w:rPr>
          <w:lang w:eastAsia="en-AU"/>
        </w:rPr>
        <w:t>’</w:t>
      </w:r>
      <w:r w:rsidRPr="00B51A20">
        <w:rPr>
          <w:lang w:eastAsia="en-AU"/>
        </w:rPr>
        <w:t xml:space="preserve">: in </w:t>
      </w:r>
      <w:r w:rsidR="005839DB">
        <w:rPr>
          <w:lang w:eastAsia="en-AU"/>
        </w:rPr>
        <w:t xml:space="preserve">TAFE and other education, women </w:t>
      </w:r>
      <w:r w:rsidRPr="00B51A20">
        <w:rPr>
          <w:lang w:eastAsia="en-AU"/>
        </w:rPr>
        <w:t>were</w:t>
      </w:r>
      <w:r w:rsidR="005839DB">
        <w:rPr>
          <w:lang w:eastAsia="en-AU"/>
        </w:rPr>
        <w:t xml:space="preserve"> 60</w:t>
      </w:r>
      <w:r w:rsidRPr="00B51A20">
        <w:rPr>
          <w:lang w:eastAsia="en-AU"/>
        </w:rPr>
        <w:t>.0</w:t>
      </w:r>
      <w:r w:rsidR="005839DB">
        <w:rPr>
          <w:lang w:eastAsia="en-AU"/>
        </w:rPr>
        <w:t xml:space="preserve">% of the </w:t>
      </w:r>
      <w:r w:rsidRPr="00B51A20">
        <w:rPr>
          <w:lang w:eastAsia="en-AU"/>
        </w:rPr>
        <w:t>workforce</w:t>
      </w:r>
      <w:r w:rsidR="005839DB">
        <w:rPr>
          <w:lang w:eastAsia="en-AU"/>
        </w:rPr>
        <w:t xml:space="preserve"> but only 50.8% of senior </w:t>
      </w:r>
      <w:r w:rsidRPr="00B51A20">
        <w:rPr>
          <w:lang w:eastAsia="en-AU"/>
        </w:rPr>
        <w:t>leaders in 2025, down</w:t>
      </w:r>
      <w:r w:rsidR="005839DB">
        <w:rPr>
          <w:lang w:eastAsia="en-AU"/>
        </w:rPr>
        <w:t xml:space="preserve"> 4</w:t>
      </w:r>
      <w:r w:rsidRPr="00B51A20">
        <w:rPr>
          <w:lang w:eastAsia="en-AU"/>
        </w:rPr>
        <w:t>.0</w:t>
      </w:r>
      <w:r w:rsidR="005839DB">
        <w:rPr>
          <w:lang w:eastAsia="en-AU"/>
        </w:rPr>
        <w:t xml:space="preserve"> percentage points</w:t>
      </w:r>
      <w:r w:rsidRPr="00B51A20">
        <w:rPr>
          <w:lang w:eastAsia="en-AU"/>
        </w:rPr>
        <w:t xml:space="preserve">. </w:t>
      </w:r>
    </w:p>
    <w:p w14:paraId="0F295E1A" w14:textId="39D429DB" w:rsidR="005839DB" w:rsidRDefault="005839DB">
      <w:pPr>
        <w:pStyle w:val="Bodyafterbullets"/>
        <w:rPr>
          <w:lang w:eastAsia="en-AU"/>
        </w:rPr>
      </w:pPr>
      <w:r>
        <w:rPr>
          <w:lang w:eastAsia="en-AU"/>
        </w:rPr>
        <w:t xml:space="preserve">There is still work to </w:t>
      </w:r>
      <w:r w:rsidR="00B51A20" w:rsidRPr="00B51A20">
        <w:rPr>
          <w:lang w:eastAsia="en-AU"/>
        </w:rPr>
        <w:t>do</w:t>
      </w:r>
      <w:r>
        <w:rPr>
          <w:lang w:eastAsia="en-AU"/>
        </w:rPr>
        <w:t xml:space="preserve"> to ensure </w:t>
      </w:r>
      <w:r w:rsidR="00B51A20" w:rsidRPr="00B51A20">
        <w:rPr>
          <w:lang w:eastAsia="en-AU"/>
        </w:rPr>
        <w:t>women</w:t>
      </w:r>
      <w:r w:rsidR="002F55AB">
        <w:rPr>
          <w:lang w:eastAsia="en-AU"/>
        </w:rPr>
        <w:t>’</w:t>
      </w:r>
      <w:r w:rsidR="00B51A20" w:rsidRPr="00B51A20">
        <w:rPr>
          <w:lang w:eastAsia="en-AU"/>
        </w:rPr>
        <w:t>s share</w:t>
      </w:r>
      <w:r w:rsidR="007A0774">
        <w:rPr>
          <w:lang w:eastAsia="en-AU"/>
        </w:rPr>
        <w:t xml:space="preserve"> of </w:t>
      </w:r>
      <w:r>
        <w:rPr>
          <w:lang w:eastAsia="en-AU"/>
        </w:rPr>
        <w:t xml:space="preserve">senior leadership mirrors the </w:t>
      </w:r>
      <w:r w:rsidR="00B51A20" w:rsidRPr="00B51A20">
        <w:rPr>
          <w:lang w:eastAsia="en-AU"/>
        </w:rPr>
        <w:t>workforce in</w:t>
      </w:r>
      <w:r>
        <w:rPr>
          <w:lang w:eastAsia="en-AU"/>
        </w:rPr>
        <w:t xml:space="preserve"> most industries.</w:t>
      </w:r>
    </w:p>
    <w:p w14:paraId="7AC88901" w14:textId="371CE5D5" w:rsidR="001C6CB2" w:rsidRPr="00D849F9" w:rsidRDefault="001C6CB2" w:rsidP="001C6CB2">
      <w:pPr>
        <w:pStyle w:val="Heading4"/>
      </w:pPr>
      <w:r>
        <w:lastRenderedPageBreak/>
        <w:t>The</w:t>
      </w:r>
      <w:r w:rsidRPr="00D849F9">
        <w:t xml:space="preserve"> proportion </w:t>
      </w:r>
      <w:r>
        <w:t xml:space="preserve">of men </w:t>
      </w:r>
      <w:r w:rsidRPr="00D849F9">
        <w:t>working part</w:t>
      </w:r>
      <w:r>
        <w:t xml:space="preserve"> </w:t>
      </w:r>
      <w:r w:rsidRPr="00D849F9">
        <w:t>time increased</w:t>
      </w:r>
      <w:r>
        <w:t>,</w:t>
      </w:r>
      <w:r w:rsidRPr="00D849F9">
        <w:t xml:space="preserve"> </w:t>
      </w:r>
      <w:r>
        <w:t>and the gender gap in part</w:t>
      </w:r>
      <w:r w:rsidR="00AB2B79">
        <w:t xml:space="preserve">-time work </w:t>
      </w:r>
      <w:r w:rsidR="00F61DF9">
        <w:t>narrowed</w:t>
      </w:r>
    </w:p>
    <w:p w14:paraId="7A3CDE00" w14:textId="49F20758" w:rsidR="001C6CB2" w:rsidRDefault="001C6CB2" w:rsidP="004444B7">
      <w:pPr>
        <w:pStyle w:val="BodyText"/>
        <w:rPr>
          <w:rFonts w:cs="Arial"/>
          <w:lang w:eastAsia="en-AU"/>
        </w:rPr>
      </w:pPr>
      <w:r>
        <w:rPr>
          <w:rFonts w:cs="Arial"/>
          <w:lang w:eastAsia="en-AU"/>
        </w:rPr>
        <w:t>In 2021, 5</w:t>
      </w:r>
      <w:r w:rsidR="00E42D04">
        <w:rPr>
          <w:rFonts w:cs="Arial"/>
          <w:lang w:eastAsia="en-AU"/>
        </w:rPr>
        <w:t>4</w:t>
      </w:r>
      <w:r>
        <w:rPr>
          <w:rFonts w:cs="Arial"/>
          <w:lang w:eastAsia="en-AU"/>
        </w:rPr>
        <w:t>.</w:t>
      </w:r>
      <w:r w:rsidR="00E42D04">
        <w:rPr>
          <w:rFonts w:cs="Arial"/>
          <w:lang w:eastAsia="en-AU"/>
        </w:rPr>
        <w:t>8</w:t>
      </w:r>
      <w:r>
        <w:rPr>
          <w:rFonts w:cs="Arial"/>
          <w:lang w:eastAsia="en-AU"/>
        </w:rPr>
        <w:t xml:space="preserve">% of women worked part time, with this number lowering slightly in 2025 to 54.1%. At the same time, the </w:t>
      </w:r>
      <w:r w:rsidR="003E25CA">
        <w:rPr>
          <w:rFonts w:cs="Arial"/>
          <w:lang w:eastAsia="en-AU"/>
        </w:rPr>
        <w:t>proportion</w:t>
      </w:r>
      <w:r>
        <w:rPr>
          <w:rFonts w:cs="Arial"/>
          <w:lang w:eastAsia="en-AU"/>
        </w:rPr>
        <w:t xml:space="preserve"> of men working part time </w:t>
      </w:r>
      <w:r w:rsidR="007B6730">
        <w:rPr>
          <w:rFonts w:cs="Arial"/>
          <w:lang w:eastAsia="en-AU"/>
        </w:rPr>
        <w:t>increased slightly</w:t>
      </w:r>
      <w:r>
        <w:rPr>
          <w:rFonts w:cs="Arial"/>
          <w:lang w:eastAsia="en-AU"/>
        </w:rPr>
        <w:t xml:space="preserve"> (2</w:t>
      </w:r>
      <w:r w:rsidR="004631DB">
        <w:rPr>
          <w:rFonts w:cs="Arial"/>
          <w:lang w:eastAsia="en-AU"/>
        </w:rPr>
        <w:t>6</w:t>
      </w:r>
      <w:r>
        <w:rPr>
          <w:rFonts w:cs="Arial"/>
          <w:lang w:eastAsia="en-AU"/>
        </w:rPr>
        <w:t>.1% in 2021, and 27.9% in 2025). As a result, t</w:t>
      </w:r>
      <w:r>
        <w:rPr>
          <w:lang w:eastAsia="en-AU"/>
        </w:rPr>
        <w:t>he gender gap in part-time work reduced by 2.</w:t>
      </w:r>
      <w:r w:rsidR="00BD4EF9">
        <w:rPr>
          <w:lang w:eastAsia="en-AU"/>
        </w:rPr>
        <w:t xml:space="preserve">5 </w:t>
      </w:r>
      <w:r w:rsidRPr="00310DE6">
        <w:rPr>
          <w:lang w:eastAsia="en-AU"/>
        </w:rPr>
        <w:t>percentage points</w:t>
      </w:r>
      <w:r>
        <w:rPr>
          <w:lang w:eastAsia="en-AU"/>
        </w:rPr>
        <w:t xml:space="preserve"> (from </w:t>
      </w:r>
      <w:r w:rsidR="00E42429">
        <w:rPr>
          <w:lang w:eastAsia="en-AU"/>
        </w:rPr>
        <w:t>28.7</w:t>
      </w:r>
      <w:r w:rsidR="0046741B">
        <w:rPr>
          <w:lang w:eastAsia="en-AU"/>
        </w:rPr>
        <w:t>%</w:t>
      </w:r>
      <w:r>
        <w:rPr>
          <w:lang w:eastAsia="en-AU"/>
        </w:rPr>
        <w:t xml:space="preserve"> in 2021 to 26.2</w:t>
      </w:r>
      <w:r w:rsidR="0046741B">
        <w:rPr>
          <w:lang w:eastAsia="en-AU"/>
        </w:rPr>
        <w:t>%</w:t>
      </w:r>
      <w:r>
        <w:rPr>
          <w:lang w:eastAsia="en-AU"/>
        </w:rPr>
        <w:t xml:space="preserve"> in 2025).</w:t>
      </w:r>
      <w:r w:rsidR="00DA52F0">
        <w:rPr>
          <w:lang w:eastAsia="en-AU"/>
        </w:rPr>
        <w:t xml:space="preserve"> </w:t>
      </w:r>
      <w:r w:rsidR="00FB399B" w:rsidRPr="00FB399B">
        <w:rPr>
          <w:lang w:eastAsia="en-AU"/>
        </w:rPr>
        <w:t xml:space="preserve">The Commission assigned a holistic progress rating of </w:t>
      </w:r>
      <w:r w:rsidR="002F55AB">
        <w:rPr>
          <w:lang w:eastAsia="en-AU"/>
        </w:rPr>
        <w:t>‘</w:t>
      </w:r>
      <w:r w:rsidR="00FB399B" w:rsidRPr="00FB399B">
        <w:rPr>
          <w:lang w:eastAsia="en-AU"/>
        </w:rPr>
        <w:t>moderate</w:t>
      </w:r>
      <w:r w:rsidR="002F55AB">
        <w:rPr>
          <w:lang w:eastAsia="en-AU"/>
        </w:rPr>
        <w:t>’</w:t>
      </w:r>
      <w:r w:rsidR="00FB399B" w:rsidRPr="00FB399B">
        <w:rPr>
          <w:lang w:eastAsia="en-AU"/>
        </w:rPr>
        <w:t xml:space="preserve"> to part-time work.</w:t>
      </w:r>
    </w:p>
    <w:p w14:paraId="74C640BD" w14:textId="529C6F23" w:rsidR="00C87578" w:rsidRDefault="00421C53" w:rsidP="004444B7">
      <w:pPr>
        <w:pStyle w:val="BodyText"/>
        <w:rPr>
          <w:lang w:eastAsia="en-AU"/>
        </w:rPr>
      </w:pPr>
      <w:r w:rsidRPr="00421C53">
        <w:rPr>
          <w:rFonts w:cs="Arial"/>
          <w:lang w:eastAsia="en-AU"/>
        </w:rPr>
        <w:t>Both shifts are encouraging, but they sit within a more complex picture. Higher rates of part-time work among women are partly explained by the flexible conditions the public sector offers (Dangar et al. 2023)</w:t>
      </w:r>
      <w:r w:rsidR="00C62E57">
        <w:rPr>
          <w:rFonts w:cs="Arial"/>
          <w:lang w:eastAsia="en-AU"/>
        </w:rPr>
        <w:t>. T</w:t>
      </w:r>
      <w:r w:rsidRPr="00421C53">
        <w:rPr>
          <w:rFonts w:cs="Arial"/>
          <w:lang w:eastAsia="en-AU"/>
        </w:rPr>
        <w:t xml:space="preserve">he </w:t>
      </w:r>
      <w:r w:rsidR="008F0C2B">
        <w:rPr>
          <w:rFonts w:cs="Arial"/>
          <w:lang w:eastAsia="en-AU"/>
        </w:rPr>
        <w:t>sector’s</w:t>
      </w:r>
      <w:r w:rsidRPr="00421C53">
        <w:rPr>
          <w:rFonts w:cs="Arial"/>
          <w:lang w:eastAsia="en-AU"/>
        </w:rPr>
        <w:t xml:space="preserve"> ability to help people balance paid work and care is a genuine strength</w:t>
      </w:r>
      <w:r w:rsidR="00956143">
        <w:rPr>
          <w:rFonts w:cs="Arial"/>
          <w:lang w:eastAsia="en-AU"/>
        </w:rPr>
        <w:t>. I</w:t>
      </w:r>
      <w:r w:rsidRPr="00421C53">
        <w:rPr>
          <w:rFonts w:cs="Arial"/>
          <w:lang w:eastAsia="en-AU"/>
        </w:rPr>
        <w:t>t supports many women</w:t>
      </w:r>
      <w:r w:rsidR="002F55AB">
        <w:rPr>
          <w:rFonts w:cs="Arial"/>
          <w:lang w:eastAsia="en-AU"/>
        </w:rPr>
        <w:t>’</w:t>
      </w:r>
      <w:r w:rsidRPr="00421C53">
        <w:rPr>
          <w:rFonts w:cs="Arial"/>
          <w:lang w:eastAsia="en-AU"/>
        </w:rPr>
        <w:t xml:space="preserve">s ongoing participation in paid work and benefits their </w:t>
      </w:r>
      <w:r w:rsidR="00A24F97">
        <w:rPr>
          <w:rFonts w:cs="Arial"/>
          <w:lang w:eastAsia="en-AU"/>
        </w:rPr>
        <w:t>broader</w:t>
      </w:r>
      <w:r w:rsidR="00A24F97" w:rsidRPr="00421C53">
        <w:rPr>
          <w:rFonts w:cs="Arial"/>
          <w:lang w:eastAsia="en-AU"/>
        </w:rPr>
        <w:t xml:space="preserve"> </w:t>
      </w:r>
      <w:r w:rsidRPr="00421C53">
        <w:rPr>
          <w:rFonts w:cs="Arial"/>
          <w:lang w:eastAsia="en-AU"/>
        </w:rPr>
        <w:t xml:space="preserve">wellbeing. </w:t>
      </w:r>
    </w:p>
    <w:p w14:paraId="2E09BCEA" w14:textId="752696B3" w:rsidR="001C6CB2" w:rsidRDefault="00421C53" w:rsidP="004444B7">
      <w:pPr>
        <w:pStyle w:val="BodyText"/>
        <w:rPr>
          <w:rStyle w:val="Heading4Char"/>
          <w:rFonts w:eastAsia="Times"/>
          <w:b w:val="0"/>
          <w:bCs w:val="0"/>
          <w:color w:val="auto"/>
          <w:sz w:val="21"/>
          <w:szCs w:val="20"/>
          <w:lang w:eastAsia="en-AU"/>
        </w:rPr>
      </w:pPr>
      <w:r w:rsidRPr="00421C53">
        <w:rPr>
          <w:rFonts w:cs="Arial"/>
          <w:lang w:eastAsia="en-AU"/>
        </w:rPr>
        <w:t xml:space="preserve">The challenge is twofold: to protect those valued flexible conditions, while also supporting more men to take up part-time and flexible options, so that care is shared more equally and part-time work is not treated as something </w:t>
      </w:r>
      <w:r w:rsidR="00951D4A">
        <w:rPr>
          <w:rFonts w:cs="Arial"/>
          <w:lang w:eastAsia="en-AU"/>
        </w:rPr>
        <w:t xml:space="preserve">primarily </w:t>
      </w:r>
      <w:r w:rsidR="002F55AB">
        <w:rPr>
          <w:rFonts w:cs="Arial"/>
          <w:lang w:eastAsia="en-AU"/>
        </w:rPr>
        <w:t>‘</w:t>
      </w:r>
      <w:r w:rsidRPr="00421C53">
        <w:rPr>
          <w:rFonts w:cs="Arial"/>
          <w:lang w:eastAsia="en-AU"/>
        </w:rPr>
        <w:t>for women</w:t>
      </w:r>
      <w:r w:rsidR="002F55AB">
        <w:rPr>
          <w:rFonts w:cs="Arial"/>
          <w:lang w:eastAsia="en-AU"/>
        </w:rPr>
        <w:t>’</w:t>
      </w:r>
      <w:r w:rsidRPr="00421C53">
        <w:rPr>
          <w:rFonts w:cs="Arial"/>
          <w:lang w:eastAsia="en-AU"/>
        </w:rPr>
        <w:t>. Visible role-modelling of job sharing and flexible arrangements at all levels, including senior levels, is part of how that shift happens</w:t>
      </w:r>
      <w:r w:rsidR="001C6CB2">
        <w:rPr>
          <w:rFonts w:cs="Arial"/>
          <w:lang w:eastAsia="en-AU"/>
        </w:rPr>
        <w:t>.</w:t>
      </w:r>
    </w:p>
    <w:p w14:paraId="74C65AB0" w14:textId="1C40C427" w:rsidR="00DB5AAC" w:rsidRDefault="00280AAC" w:rsidP="005F688D">
      <w:pPr>
        <w:pStyle w:val="Heading3"/>
      </w:pPr>
      <w:r>
        <w:t>Areas for attention</w:t>
      </w:r>
    </w:p>
    <w:p w14:paraId="348A0A24" w14:textId="4EBC6783" w:rsidR="00A83ECC" w:rsidRPr="00D849F9" w:rsidRDefault="00C37128" w:rsidP="00D849F9">
      <w:pPr>
        <w:pStyle w:val="Heading4"/>
      </w:pPr>
      <w:r w:rsidRPr="00D849F9">
        <w:t>Women continue</w:t>
      </w:r>
      <w:r w:rsidR="003F6BA5">
        <w:t>d</w:t>
      </w:r>
      <w:r w:rsidRPr="00D849F9">
        <w:t xml:space="preserve"> to outnumber men</w:t>
      </w:r>
      <w:r w:rsidR="00A83ECC" w:rsidRPr="00D849F9">
        <w:t xml:space="preserve"> both sector-wide and in </w:t>
      </w:r>
      <w:r w:rsidR="002A7D64" w:rsidRPr="00D849F9">
        <w:t>most</w:t>
      </w:r>
      <w:r w:rsidR="00A83ECC" w:rsidRPr="00D849F9">
        <w:t xml:space="preserve"> industr</w:t>
      </w:r>
      <w:r w:rsidR="002A7D64" w:rsidRPr="00D849F9">
        <w:t>ies</w:t>
      </w:r>
    </w:p>
    <w:p w14:paraId="549EAE3C" w14:textId="383CA961" w:rsidR="00F31762" w:rsidRPr="00F31762" w:rsidRDefault="00F31762" w:rsidP="004444B7">
      <w:pPr>
        <w:pStyle w:val="BodyText"/>
        <w:rPr>
          <w:lang w:eastAsia="en-AU"/>
        </w:rPr>
      </w:pPr>
      <w:r w:rsidRPr="00F31762">
        <w:rPr>
          <w:lang w:eastAsia="en-AU"/>
        </w:rPr>
        <w:t xml:space="preserve">In 2025, the overall composition of the Victorian public sector workforce was 66.1% women, 33.1% men and 0.8% people of self-described gender. </w:t>
      </w:r>
      <w:r w:rsidR="00EA21CC">
        <w:rPr>
          <w:lang w:eastAsia="en-AU"/>
        </w:rPr>
        <w:t>Since</w:t>
      </w:r>
      <w:r w:rsidRPr="00F31762">
        <w:rPr>
          <w:lang w:eastAsia="en-AU"/>
        </w:rPr>
        <w:t xml:space="preserve"> 2021</w:t>
      </w:r>
      <w:r w:rsidR="00EA21CC">
        <w:rPr>
          <w:lang w:eastAsia="en-AU"/>
        </w:rPr>
        <w:t>, w</w:t>
      </w:r>
      <w:r w:rsidRPr="00F31762">
        <w:rPr>
          <w:lang w:eastAsia="en-AU"/>
        </w:rPr>
        <w:t>omen</w:t>
      </w:r>
      <w:r w:rsidR="002F55AB">
        <w:rPr>
          <w:lang w:eastAsia="en-AU"/>
        </w:rPr>
        <w:t>’</w:t>
      </w:r>
      <w:r w:rsidRPr="00F31762">
        <w:rPr>
          <w:lang w:eastAsia="en-AU"/>
        </w:rPr>
        <w:t xml:space="preserve">s share </w:t>
      </w:r>
      <w:r w:rsidR="00D12F87">
        <w:rPr>
          <w:lang w:eastAsia="en-AU"/>
        </w:rPr>
        <w:t xml:space="preserve">of the workforce </w:t>
      </w:r>
      <w:r w:rsidR="00F1370A">
        <w:rPr>
          <w:lang w:eastAsia="en-AU"/>
        </w:rPr>
        <w:t>remained relatively st</w:t>
      </w:r>
      <w:r w:rsidR="00746168">
        <w:rPr>
          <w:lang w:eastAsia="en-AU"/>
        </w:rPr>
        <w:t>eady</w:t>
      </w:r>
      <w:r w:rsidRPr="00F31762">
        <w:rPr>
          <w:lang w:eastAsia="en-AU"/>
        </w:rPr>
        <w:t>, men</w:t>
      </w:r>
      <w:r w:rsidR="002F55AB">
        <w:rPr>
          <w:lang w:eastAsia="en-AU"/>
        </w:rPr>
        <w:t>’</w:t>
      </w:r>
      <w:r w:rsidRPr="00F31762">
        <w:rPr>
          <w:lang w:eastAsia="en-AU"/>
        </w:rPr>
        <w:t>s fell 0.</w:t>
      </w:r>
      <w:r w:rsidR="00D33BB1">
        <w:rPr>
          <w:lang w:eastAsia="en-AU"/>
        </w:rPr>
        <w:t>8</w:t>
      </w:r>
      <w:r w:rsidRPr="00F31762">
        <w:rPr>
          <w:lang w:eastAsia="en-AU"/>
        </w:rPr>
        <w:t xml:space="preserve"> points, and people of self-described gender</w:t>
      </w:r>
      <w:r w:rsidR="008A14D7">
        <w:rPr>
          <w:lang w:eastAsia="en-AU"/>
        </w:rPr>
        <w:t>’s</w:t>
      </w:r>
      <w:r w:rsidRPr="00F31762">
        <w:rPr>
          <w:lang w:eastAsia="en-AU"/>
        </w:rPr>
        <w:t xml:space="preserve"> rose 0.7 points.</w:t>
      </w:r>
    </w:p>
    <w:p w14:paraId="668F0A7D" w14:textId="026244A3" w:rsidR="00F31762" w:rsidRPr="00F31762" w:rsidRDefault="00DD49CD" w:rsidP="004444B7">
      <w:pPr>
        <w:pStyle w:val="BodyText"/>
        <w:rPr>
          <w:lang w:eastAsia="en-AU"/>
        </w:rPr>
      </w:pPr>
      <w:r w:rsidRPr="00F31762">
        <w:rPr>
          <w:lang w:eastAsia="en-AU"/>
        </w:rPr>
        <w:t xml:space="preserve">The long-term challenge is to attract and retain </w:t>
      </w:r>
      <w:r w:rsidR="00F31762" w:rsidRPr="00F31762">
        <w:rPr>
          <w:lang w:eastAsia="en-AU"/>
        </w:rPr>
        <w:t>more men across the sector, while protecting the flexible, supportive</w:t>
      </w:r>
      <w:r w:rsidR="000955B4" w:rsidRPr="00F31762">
        <w:rPr>
          <w:lang w:eastAsia="en-AU"/>
        </w:rPr>
        <w:t xml:space="preserve"> conditions that </w:t>
      </w:r>
      <w:r w:rsidR="00F31762" w:rsidRPr="00F31762">
        <w:rPr>
          <w:lang w:eastAsia="en-AU"/>
        </w:rPr>
        <w:t>draw many</w:t>
      </w:r>
      <w:r w:rsidR="000955B4" w:rsidRPr="00F31762">
        <w:rPr>
          <w:lang w:eastAsia="en-AU"/>
        </w:rPr>
        <w:t xml:space="preserve"> women to </w:t>
      </w:r>
      <w:r w:rsidR="00F31762" w:rsidRPr="00F31762">
        <w:rPr>
          <w:lang w:eastAsia="en-AU"/>
        </w:rPr>
        <w:t>public sector work in the first place</w:t>
      </w:r>
      <w:r w:rsidR="00657822">
        <w:rPr>
          <w:lang w:eastAsia="en-AU"/>
        </w:rPr>
        <w:t>. T</w:t>
      </w:r>
      <w:r w:rsidR="00F31762" w:rsidRPr="00F31762">
        <w:rPr>
          <w:lang w:eastAsia="en-AU"/>
        </w:rPr>
        <w:t>hese are not competing goals.</w:t>
      </w:r>
      <w:r w:rsidR="002C5C16">
        <w:rPr>
          <w:lang w:eastAsia="en-AU"/>
        </w:rPr>
        <w:t xml:space="preserve"> Changing the gender composition across the sector and in industries is a long-term challenge</w:t>
      </w:r>
      <w:r w:rsidR="00C0493F">
        <w:rPr>
          <w:lang w:eastAsia="en-AU"/>
        </w:rPr>
        <w:t>. I</w:t>
      </w:r>
      <w:r w:rsidR="00AD1309">
        <w:rPr>
          <w:lang w:eastAsia="en-AU"/>
        </w:rPr>
        <w:t>ndustry</w:t>
      </w:r>
      <w:r w:rsidR="00582420">
        <w:rPr>
          <w:lang w:eastAsia="en-AU"/>
        </w:rPr>
        <w:t xml:space="preserve"> and sector composition </w:t>
      </w:r>
      <w:r w:rsidR="001917DB">
        <w:rPr>
          <w:lang w:eastAsia="en-AU"/>
        </w:rPr>
        <w:t>are unlikely</w:t>
      </w:r>
      <w:r w:rsidR="00582420">
        <w:rPr>
          <w:lang w:eastAsia="en-AU"/>
        </w:rPr>
        <w:t xml:space="preserve"> </w:t>
      </w:r>
      <w:r w:rsidR="00256A1B">
        <w:rPr>
          <w:lang w:eastAsia="en-AU"/>
        </w:rPr>
        <w:t xml:space="preserve">to </w:t>
      </w:r>
      <w:r w:rsidR="00582420">
        <w:rPr>
          <w:lang w:eastAsia="en-AU"/>
        </w:rPr>
        <w:t xml:space="preserve">change </w:t>
      </w:r>
      <w:r w:rsidR="009E6199">
        <w:rPr>
          <w:lang w:eastAsia="en-AU"/>
        </w:rPr>
        <w:t>markedly</w:t>
      </w:r>
      <w:r w:rsidR="00582420">
        <w:rPr>
          <w:lang w:eastAsia="en-AU"/>
        </w:rPr>
        <w:t xml:space="preserve"> </w:t>
      </w:r>
      <w:r w:rsidR="001917DB">
        <w:rPr>
          <w:lang w:eastAsia="en-AU"/>
        </w:rPr>
        <w:t xml:space="preserve">in a </w:t>
      </w:r>
      <w:r w:rsidR="009E6199">
        <w:rPr>
          <w:lang w:eastAsia="en-AU"/>
        </w:rPr>
        <w:t>few</w:t>
      </w:r>
      <w:r w:rsidR="001917DB">
        <w:rPr>
          <w:lang w:eastAsia="en-AU"/>
        </w:rPr>
        <w:t xml:space="preserve"> years</w:t>
      </w:r>
      <w:r w:rsidR="00240CA3">
        <w:rPr>
          <w:lang w:eastAsia="en-AU"/>
        </w:rPr>
        <w:t xml:space="preserve">. </w:t>
      </w:r>
      <w:r w:rsidR="00F31762" w:rsidRPr="00F31762">
        <w:rPr>
          <w:lang w:eastAsia="en-AU"/>
        </w:rPr>
        <w:t>But the gains</w:t>
      </w:r>
      <w:r w:rsidR="00004461">
        <w:rPr>
          <w:lang w:eastAsia="en-AU"/>
        </w:rPr>
        <w:t xml:space="preserve"> in senior leadership and </w:t>
      </w:r>
      <w:r w:rsidR="00E11FCE">
        <w:rPr>
          <w:lang w:eastAsia="en-AU"/>
        </w:rPr>
        <w:t xml:space="preserve">part-time work show </w:t>
      </w:r>
      <w:r w:rsidR="00F31762" w:rsidRPr="00F31762">
        <w:rPr>
          <w:lang w:eastAsia="en-AU"/>
        </w:rPr>
        <w:t>that meaningful movement</w:t>
      </w:r>
      <w:r w:rsidR="00E11FCE">
        <w:rPr>
          <w:lang w:eastAsia="en-AU"/>
        </w:rPr>
        <w:t xml:space="preserve"> is possible</w:t>
      </w:r>
      <w:r w:rsidR="003011C9">
        <w:rPr>
          <w:lang w:eastAsia="en-AU"/>
        </w:rPr>
        <w:t xml:space="preserve"> and </w:t>
      </w:r>
      <w:r w:rsidR="00F31762" w:rsidRPr="00F31762">
        <w:rPr>
          <w:lang w:eastAsia="en-AU"/>
        </w:rPr>
        <w:t xml:space="preserve">is </w:t>
      </w:r>
      <w:r w:rsidR="003011C9">
        <w:rPr>
          <w:lang w:eastAsia="en-AU"/>
        </w:rPr>
        <w:t>already underway</w:t>
      </w:r>
      <w:r w:rsidR="00F31762" w:rsidRPr="00F31762">
        <w:rPr>
          <w:lang w:eastAsia="en-AU"/>
        </w:rPr>
        <w:t>.</w:t>
      </w:r>
    </w:p>
    <w:tbl>
      <w:tblPr>
        <w:tblStyle w:val="TableGrid"/>
        <w:tblW w:w="0" w:type="auto"/>
        <w:tblLook w:val="04A0" w:firstRow="1" w:lastRow="0" w:firstColumn="1" w:lastColumn="0" w:noHBand="0" w:noVBand="1"/>
      </w:tblPr>
      <w:tblGrid>
        <w:gridCol w:w="9288"/>
      </w:tblGrid>
      <w:tr w:rsidR="00996678" w14:paraId="10370B93" w14:textId="77777777" w:rsidTr="005F688D">
        <w:tc>
          <w:tcPr>
            <w:tcW w:w="9288" w:type="dxa"/>
            <w:tcBorders>
              <w:top w:val="nil"/>
              <w:left w:val="nil"/>
              <w:bottom w:val="nil"/>
              <w:right w:val="nil"/>
            </w:tcBorders>
            <w:shd w:val="clear" w:color="auto" w:fill="E3F3F9"/>
          </w:tcPr>
          <w:p w14:paraId="2764BCCC" w14:textId="77777777" w:rsidR="00996678" w:rsidRDefault="00996678" w:rsidP="004444B7">
            <w:pPr>
              <w:pStyle w:val="Heading2"/>
            </w:pPr>
            <w:bookmarkStart w:id="23" w:name="_Toc237259517"/>
            <w:r>
              <w:lastRenderedPageBreak/>
              <w:t>Commissioner expectations</w:t>
            </w:r>
            <w:bookmarkEnd w:id="23"/>
          </w:p>
          <w:p w14:paraId="56F7C9CA" w14:textId="7A2237B1" w:rsidR="00BB2835" w:rsidRPr="00BB2835" w:rsidRDefault="00BB2835" w:rsidP="0078531C">
            <w:pPr>
              <w:pStyle w:val="BodyText"/>
            </w:pPr>
            <w:r w:rsidRPr="00BB2835">
              <w:t>The Commissioner expects steady progress towards gender balance across the workforce, including efforts to attract and retain a diverse workforce. This may involve working with education and training partners and focusing on workplace culture in gender-concentrated roles and organisations.</w:t>
            </w:r>
          </w:p>
          <w:p w14:paraId="66B4904C" w14:textId="34128CAF" w:rsidR="007503FF" w:rsidRDefault="00BB2835" w:rsidP="0078531C">
            <w:pPr>
              <w:pStyle w:val="BodyText"/>
            </w:pPr>
            <w:r w:rsidRPr="00BB2835">
              <w:t xml:space="preserve">Progress starts with understanding </w:t>
            </w:r>
            <w:r w:rsidR="00FA77CE">
              <w:t>the organisation’s</w:t>
            </w:r>
            <w:r w:rsidRPr="00BB2835">
              <w:t xml:space="preserve"> starting position. For women-concentrated organisations, hiring more women is not itself a signal of progress</w:t>
            </w:r>
            <w:r w:rsidR="00F06612">
              <w:t>,</w:t>
            </w:r>
            <w:r w:rsidR="00B42256">
              <w:t xml:space="preserve"> because</w:t>
            </w:r>
            <w:r w:rsidRPr="00BB2835">
              <w:t xml:space="preserve"> the goal is balance at all levels. </w:t>
            </w:r>
          </w:p>
          <w:p w14:paraId="70C40747" w14:textId="1AA06AEC" w:rsidR="007503FF" w:rsidRPr="00A55EF8" w:rsidRDefault="00BB2835" w:rsidP="0078531C">
            <w:pPr>
              <w:pStyle w:val="BodyText"/>
            </w:pPr>
            <w:r w:rsidRPr="00BB2835">
              <w:t xml:space="preserve">Composition is hard to shift in historically </w:t>
            </w:r>
            <w:r w:rsidR="0061156E">
              <w:t>segregated</w:t>
            </w:r>
            <w:r w:rsidR="0061156E" w:rsidRPr="00BB2835">
              <w:t xml:space="preserve"> </w:t>
            </w:r>
            <w:r w:rsidRPr="00BB2835">
              <w:t>industries, so organisations should focus on the strategies that make the biggest difference. Look at composition level by level to see how representation plays out across the workforce</w:t>
            </w:r>
            <w:r w:rsidR="00484FA7">
              <w:t>. F</w:t>
            </w:r>
            <w:r w:rsidRPr="00BB2835">
              <w:t>ocus in particular on pathways to leadership, so representation is equitable at senior levels.</w:t>
            </w:r>
            <w:r w:rsidR="00A55EF8">
              <w:t xml:space="preserve"> </w:t>
            </w:r>
            <w:r w:rsidRPr="00A55EF8">
              <w:t xml:space="preserve">Culture matters as much as numbers. Organisations should ask: </w:t>
            </w:r>
          </w:p>
          <w:p w14:paraId="7C118E40" w14:textId="121505AF" w:rsidR="007503FF" w:rsidRPr="00A55EF8" w:rsidRDefault="00100255" w:rsidP="00CA05A6">
            <w:pPr>
              <w:pStyle w:val="Bullet1"/>
            </w:pPr>
            <w:r>
              <w:t>ar</w:t>
            </w:r>
            <w:r w:rsidR="00BB2835" w:rsidRPr="00A55EF8">
              <w:t>e women-concentrated roles and organisations attractive to men</w:t>
            </w:r>
            <w:r w:rsidR="007503FF" w:rsidRPr="00A55EF8">
              <w:t>?</w:t>
            </w:r>
          </w:p>
          <w:p w14:paraId="18D73884" w14:textId="41F43F7B" w:rsidR="007503FF" w:rsidRPr="00A55EF8" w:rsidRDefault="00100255" w:rsidP="00CA05A6">
            <w:pPr>
              <w:pStyle w:val="Bullet1"/>
            </w:pPr>
            <w:r>
              <w:t>a</w:t>
            </w:r>
            <w:r w:rsidR="00BB2835" w:rsidRPr="00A55EF8">
              <w:t xml:space="preserve">re men-concentrated </w:t>
            </w:r>
            <w:r w:rsidR="00A55EF8">
              <w:t>roles and organisations</w:t>
            </w:r>
            <w:r w:rsidR="00BB2835" w:rsidRPr="00A55EF8">
              <w:t xml:space="preserve"> safe and welcoming for women? </w:t>
            </w:r>
          </w:p>
          <w:p w14:paraId="508CAD81" w14:textId="2831F358" w:rsidR="0034649D" w:rsidRPr="00A55EF8" w:rsidRDefault="00100255" w:rsidP="00CA05A6">
            <w:pPr>
              <w:pStyle w:val="Bullet1"/>
            </w:pPr>
            <w:r>
              <w:t>w</w:t>
            </w:r>
            <w:r w:rsidR="00BB2835" w:rsidRPr="00A55EF8">
              <w:t xml:space="preserve">hat part-time and flexible options exist for people with caring responsibilities, and are men encouraged to use them – recognising that a policy alone will not change culture? </w:t>
            </w:r>
          </w:p>
          <w:p w14:paraId="0FBB8B57" w14:textId="145907FA" w:rsidR="00BB2835" w:rsidRPr="00A55EF8" w:rsidRDefault="00100255" w:rsidP="00CA05A6">
            <w:pPr>
              <w:pStyle w:val="Bullet1"/>
            </w:pPr>
            <w:r>
              <w:t>d</w:t>
            </w:r>
            <w:r w:rsidR="0034649D" w:rsidRPr="00A55EF8">
              <w:t>o</w:t>
            </w:r>
            <w:r w:rsidR="00BB2835" w:rsidRPr="00A55EF8">
              <w:t xml:space="preserve"> people working part time or flexibly have genuinely equal access to career development?</w:t>
            </w:r>
          </w:p>
          <w:p w14:paraId="3777F677" w14:textId="6628645C" w:rsidR="00996678" w:rsidRDefault="00BB2835" w:rsidP="004444B7">
            <w:pPr>
              <w:pStyle w:val="Bodyafterbullets"/>
            </w:pPr>
            <w:r w:rsidRPr="00BB2835">
              <w:t>Attractive</w:t>
            </w:r>
            <w:r w:rsidR="002F6CC4" w:rsidRPr="00BB2835">
              <w:t xml:space="preserve"> part-time and flexible conditions </w:t>
            </w:r>
            <w:r w:rsidRPr="00BB2835">
              <w:t>are a strength of the</w:t>
            </w:r>
            <w:r w:rsidR="002F6CC4" w:rsidRPr="00BB2835">
              <w:t xml:space="preserve"> sector, </w:t>
            </w:r>
            <w:r w:rsidRPr="00BB2835">
              <w:t>but they</w:t>
            </w:r>
            <w:r w:rsidR="008802DF" w:rsidRPr="00BB2835">
              <w:t xml:space="preserve"> should </w:t>
            </w:r>
            <w:r w:rsidRPr="00BB2835">
              <w:t>never become a barrier to progression, and they</w:t>
            </w:r>
            <w:r w:rsidR="0071500F" w:rsidRPr="00BB2835">
              <w:t xml:space="preserve"> should not be </w:t>
            </w:r>
            <w:r w:rsidRPr="00BB2835">
              <w:t>seen</w:t>
            </w:r>
            <w:r w:rsidR="0071500F" w:rsidRPr="00BB2835">
              <w:t xml:space="preserve"> as </w:t>
            </w:r>
            <w:r w:rsidR="002F55AB">
              <w:t>‘</w:t>
            </w:r>
            <w:r w:rsidRPr="00BB2835">
              <w:t>for women</w:t>
            </w:r>
            <w:r w:rsidR="002F55AB">
              <w:t>’</w:t>
            </w:r>
            <w:r w:rsidR="0071500F" w:rsidRPr="00BB2835">
              <w:t xml:space="preserve"> alone. </w:t>
            </w:r>
            <w:r w:rsidR="004C0ED2" w:rsidRPr="00BB2835">
              <w:t>Attracting and retaining men</w:t>
            </w:r>
            <w:r w:rsidR="009F4C11" w:rsidRPr="00BB2835">
              <w:t xml:space="preserve">, and </w:t>
            </w:r>
            <w:r w:rsidRPr="00BB2835">
              <w:t>supporting</w:t>
            </w:r>
            <w:r w:rsidR="009F4C11" w:rsidRPr="00BB2835">
              <w:t xml:space="preserve"> them to </w:t>
            </w:r>
            <w:r w:rsidRPr="00BB2835">
              <w:t xml:space="preserve">work </w:t>
            </w:r>
            <w:r w:rsidR="009F4C11" w:rsidRPr="00BB2835">
              <w:t>part</w:t>
            </w:r>
            <w:r w:rsidRPr="00BB2835">
              <w:t xml:space="preserve"> </w:t>
            </w:r>
            <w:r w:rsidR="009F4C11" w:rsidRPr="00BB2835">
              <w:t>time</w:t>
            </w:r>
            <w:r w:rsidRPr="00BB2835">
              <w:t>, matters just as much</w:t>
            </w:r>
            <w:r w:rsidR="008542E6" w:rsidRPr="00BB2835">
              <w:t xml:space="preserve"> </w:t>
            </w:r>
            <w:r w:rsidR="009B06F8">
              <w:t>for</w:t>
            </w:r>
            <w:r w:rsidR="008542E6" w:rsidRPr="00BB2835">
              <w:t xml:space="preserve"> achieving gender equality </w:t>
            </w:r>
            <w:r w:rsidRPr="00BB2835">
              <w:t xml:space="preserve">– </w:t>
            </w:r>
            <w:r w:rsidR="00C75CFF" w:rsidRPr="00BB2835">
              <w:t>at work and at home</w:t>
            </w:r>
            <w:r w:rsidR="008542E6" w:rsidRPr="00BB2835">
              <w:t>.</w:t>
            </w:r>
          </w:p>
        </w:tc>
      </w:tr>
    </w:tbl>
    <w:p w14:paraId="2909FD81" w14:textId="4765FF67" w:rsidR="00972AC3" w:rsidRDefault="00972AC3" w:rsidP="00972AC3">
      <w:pPr>
        <w:pStyle w:val="Heading1"/>
      </w:pPr>
      <w:bookmarkStart w:id="24" w:name="_Toc237259518"/>
      <w:r>
        <w:t xml:space="preserve">Indicator 2: </w:t>
      </w:r>
      <w:r w:rsidR="007B6873" w:rsidRPr="009C57F5">
        <w:t xml:space="preserve">Gender </w:t>
      </w:r>
      <w:r w:rsidR="008B475A">
        <w:t>c</w:t>
      </w:r>
      <w:r w:rsidR="007B6873" w:rsidRPr="009C57F5">
        <w:t xml:space="preserve">omposition of </w:t>
      </w:r>
      <w:r w:rsidR="008B475A">
        <w:t>g</w:t>
      </w:r>
      <w:r w:rsidR="007B6873" w:rsidRPr="009C57F5">
        <w:t xml:space="preserve">overning </w:t>
      </w:r>
      <w:r w:rsidR="008B475A">
        <w:t>b</w:t>
      </w:r>
      <w:r w:rsidR="007B6873" w:rsidRPr="009C57F5">
        <w:t>odies</w:t>
      </w:r>
      <w:bookmarkEnd w:id="24"/>
    </w:p>
    <w:p w14:paraId="7F4F0365" w14:textId="77777777" w:rsidR="00972AC3" w:rsidRDefault="00972AC3" w:rsidP="00972AC3">
      <w:pPr>
        <w:pStyle w:val="Heading2"/>
      </w:pPr>
      <w:bookmarkStart w:id="25" w:name="_Why_this_matters"/>
      <w:bookmarkStart w:id="26" w:name="_Toc237259519"/>
      <w:bookmarkEnd w:id="25"/>
      <w:r w:rsidRPr="00ED1F0F">
        <w:t>Why this matters</w:t>
      </w:r>
      <w:bookmarkEnd w:id="26"/>
    </w:p>
    <w:p w14:paraId="53F298B8" w14:textId="0350C7AF" w:rsidR="00E2192B" w:rsidRPr="00E2192B" w:rsidRDefault="00E2192B" w:rsidP="004444B7">
      <w:pPr>
        <w:pStyle w:val="BodyText"/>
        <w:rPr>
          <w:rFonts w:cs="Arial"/>
          <w:lang w:eastAsia="en-AU"/>
        </w:rPr>
      </w:pPr>
      <w:r w:rsidRPr="00E2192B">
        <w:rPr>
          <w:rFonts w:cs="Arial"/>
          <w:lang w:eastAsia="en-AU"/>
        </w:rPr>
        <w:t>Public sector boards and governing bodies are not only internal decision-makers</w:t>
      </w:r>
      <w:r w:rsidR="00F32013">
        <w:rPr>
          <w:rFonts w:cs="Arial"/>
          <w:lang w:eastAsia="en-AU"/>
        </w:rPr>
        <w:t>, t</w:t>
      </w:r>
      <w:r w:rsidRPr="00E2192B">
        <w:rPr>
          <w:rFonts w:cs="Arial"/>
          <w:lang w:eastAsia="en-AU"/>
        </w:rPr>
        <w:t xml:space="preserve">hey </w:t>
      </w:r>
      <w:r w:rsidR="00F32013">
        <w:rPr>
          <w:rFonts w:cs="Arial"/>
          <w:lang w:eastAsia="en-AU"/>
        </w:rPr>
        <w:t xml:space="preserve">also </w:t>
      </w:r>
      <w:r w:rsidRPr="00E2192B">
        <w:rPr>
          <w:rFonts w:cs="Arial"/>
          <w:lang w:eastAsia="en-AU"/>
        </w:rPr>
        <w:t xml:space="preserve">set the strategic direction of the organisations that deliver essential services to Victorians. </w:t>
      </w:r>
      <w:r w:rsidR="001C7C2D">
        <w:rPr>
          <w:rFonts w:cs="Arial"/>
          <w:lang w:eastAsia="en-AU"/>
        </w:rPr>
        <w:t>Boards of h</w:t>
      </w:r>
      <w:r w:rsidRPr="00E2192B">
        <w:rPr>
          <w:rFonts w:cs="Arial"/>
          <w:lang w:eastAsia="en-AU"/>
        </w:rPr>
        <w:t>ospital and health service</w:t>
      </w:r>
      <w:r w:rsidR="001C7C2D">
        <w:rPr>
          <w:rFonts w:cs="Arial"/>
          <w:lang w:eastAsia="en-AU"/>
        </w:rPr>
        <w:t>s</w:t>
      </w:r>
      <w:r w:rsidRPr="00E2192B">
        <w:rPr>
          <w:rFonts w:cs="Arial"/>
          <w:lang w:eastAsia="en-AU"/>
        </w:rPr>
        <w:t xml:space="preserve">, water authorities, TAFEs, councils and statutory bodies make decisions that shape the care, infrastructure, education and local services </w:t>
      </w:r>
      <w:r w:rsidR="00222C25">
        <w:rPr>
          <w:rFonts w:cs="Arial"/>
          <w:lang w:eastAsia="en-AU"/>
        </w:rPr>
        <w:t xml:space="preserve">that </w:t>
      </w:r>
      <w:r w:rsidRPr="00E2192B">
        <w:rPr>
          <w:rFonts w:cs="Arial"/>
          <w:lang w:eastAsia="en-AU"/>
        </w:rPr>
        <w:t xml:space="preserve">communities rely on every day. Who sits around those tables influences whose needs are anticipated, whose experiences are understood, whose interests are </w:t>
      </w:r>
      <w:r w:rsidR="009E472A">
        <w:rPr>
          <w:rFonts w:cs="Arial"/>
          <w:lang w:eastAsia="en-AU"/>
        </w:rPr>
        <w:t>considered</w:t>
      </w:r>
      <w:r w:rsidR="009E472A" w:rsidRPr="00E2192B">
        <w:rPr>
          <w:rFonts w:cs="Arial"/>
          <w:lang w:eastAsia="en-AU"/>
        </w:rPr>
        <w:t xml:space="preserve"> </w:t>
      </w:r>
      <w:r w:rsidRPr="00E2192B">
        <w:rPr>
          <w:rFonts w:cs="Arial"/>
          <w:lang w:eastAsia="en-AU"/>
        </w:rPr>
        <w:t>when those decisions are made</w:t>
      </w:r>
      <w:r w:rsidR="00AC69EF">
        <w:rPr>
          <w:rFonts w:cs="Arial"/>
          <w:lang w:eastAsia="en-AU"/>
        </w:rPr>
        <w:t xml:space="preserve">, and how resources are distributed. </w:t>
      </w:r>
    </w:p>
    <w:p w14:paraId="2BEF28A3" w14:textId="57385772" w:rsidR="00AA02D3" w:rsidRPr="00E2192B" w:rsidRDefault="00067D5B" w:rsidP="004444B7">
      <w:pPr>
        <w:pStyle w:val="BodyText"/>
        <w:rPr>
          <w:rFonts w:cs="Arial"/>
          <w:lang w:eastAsia="en-AU"/>
        </w:rPr>
      </w:pPr>
      <w:r>
        <w:rPr>
          <w:rFonts w:cs="Arial"/>
          <w:lang w:eastAsia="en-AU"/>
        </w:rPr>
        <w:t>Having a</w:t>
      </w:r>
      <w:r w:rsidR="00E2192B" w:rsidRPr="00E2192B">
        <w:rPr>
          <w:rFonts w:cs="Arial"/>
          <w:lang w:eastAsia="en-AU"/>
        </w:rPr>
        <w:t xml:space="preserve"> gender</w:t>
      </w:r>
      <w:r w:rsidR="003E0895">
        <w:rPr>
          <w:rFonts w:cs="Arial"/>
          <w:lang w:eastAsia="en-AU"/>
        </w:rPr>
        <w:t>-</w:t>
      </w:r>
      <w:r w:rsidR="00E2192B" w:rsidRPr="00E2192B">
        <w:rPr>
          <w:rFonts w:cs="Arial"/>
          <w:lang w:eastAsia="en-AU"/>
        </w:rPr>
        <w:t>balance</w:t>
      </w:r>
      <w:r>
        <w:rPr>
          <w:rFonts w:cs="Arial"/>
          <w:lang w:eastAsia="en-AU"/>
        </w:rPr>
        <w:t>d</w:t>
      </w:r>
      <w:r w:rsidR="00E2192B" w:rsidRPr="00E2192B">
        <w:rPr>
          <w:rFonts w:cs="Arial"/>
          <w:lang w:eastAsia="en-AU"/>
        </w:rPr>
        <w:t xml:space="preserve"> governing bod</w:t>
      </w:r>
      <w:r>
        <w:rPr>
          <w:rFonts w:cs="Arial"/>
          <w:lang w:eastAsia="en-AU"/>
        </w:rPr>
        <w:t>y</w:t>
      </w:r>
      <w:r w:rsidR="00E2192B" w:rsidRPr="00E2192B">
        <w:rPr>
          <w:rFonts w:cs="Arial"/>
          <w:lang w:eastAsia="en-AU"/>
        </w:rPr>
        <w:t xml:space="preserve"> means a wider range of perspectives and lived experience informs how an organisation operates and what it delivers for the public. </w:t>
      </w:r>
      <w:r w:rsidR="004B1744">
        <w:rPr>
          <w:rFonts w:cs="Arial"/>
          <w:lang w:eastAsia="en-AU"/>
        </w:rPr>
        <w:t>B</w:t>
      </w:r>
      <w:r w:rsidR="00E2192B" w:rsidRPr="00E2192B">
        <w:rPr>
          <w:rFonts w:cs="Arial"/>
          <w:lang w:eastAsia="en-AU"/>
        </w:rPr>
        <w:t xml:space="preserve">oards </w:t>
      </w:r>
      <w:r w:rsidR="00D22E1F">
        <w:rPr>
          <w:rFonts w:cs="Arial"/>
          <w:lang w:eastAsia="en-AU"/>
        </w:rPr>
        <w:t>that reflect</w:t>
      </w:r>
      <w:r w:rsidR="00E2192B" w:rsidRPr="00E2192B">
        <w:rPr>
          <w:rFonts w:cs="Arial"/>
          <w:lang w:eastAsia="en-AU"/>
        </w:rPr>
        <w:t xml:space="preserve"> the communities they serve are better placed to identify risks and design services that work for everyone. For organisations whose decisions have a direct and significant public impact, this connects squarely to their obligations under the Act to consider gender in the programs, policies and services they provide.</w:t>
      </w:r>
    </w:p>
    <w:p w14:paraId="673EA056" w14:textId="7B98D068" w:rsidR="00E2192B" w:rsidRPr="00E2192B" w:rsidRDefault="00E2192B" w:rsidP="0078531C">
      <w:pPr>
        <w:pStyle w:val="BodyText"/>
        <w:rPr>
          <w:lang w:eastAsia="en-AU"/>
        </w:rPr>
      </w:pPr>
      <w:r w:rsidRPr="00E2192B">
        <w:rPr>
          <w:lang w:eastAsia="en-AU"/>
        </w:rPr>
        <w:lastRenderedPageBreak/>
        <w:t>A gender</w:t>
      </w:r>
      <w:r w:rsidR="003E0895">
        <w:rPr>
          <w:lang w:eastAsia="en-AU"/>
        </w:rPr>
        <w:t>-</w:t>
      </w:r>
      <w:r w:rsidRPr="00E2192B">
        <w:rPr>
          <w:lang w:eastAsia="en-AU"/>
        </w:rPr>
        <w:t>balance</w:t>
      </w:r>
      <w:r w:rsidR="00262AFC">
        <w:rPr>
          <w:lang w:eastAsia="en-AU"/>
        </w:rPr>
        <w:t>d governing body</w:t>
      </w:r>
      <w:r w:rsidRPr="00E2192B">
        <w:rPr>
          <w:lang w:eastAsia="en-AU"/>
        </w:rPr>
        <w:t xml:space="preserve"> also strengthens organisations internally. It </w:t>
      </w:r>
      <w:r w:rsidR="00826E0E">
        <w:rPr>
          <w:lang w:eastAsia="en-AU"/>
        </w:rPr>
        <w:t xml:space="preserve">increases the likelihood </w:t>
      </w:r>
      <w:r w:rsidR="00DA24FB">
        <w:rPr>
          <w:lang w:eastAsia="en-AU"/>
        </w:rPr>
        <w:t>of</w:t>
      </w:r>
      <w:r w:rsidRPr="00E2192B">
        <w:rPr>
          <w:lang w:eastAsia="en-AU"/>
        </w:rPr>
        <w:t xml:space="preserve"> inclusive policies and practices that work for employees of all genders</w:t>
      </w:r>
      <w:r w:rsidR="00215293">
        <w:rPr>
          <w:lang w:eastAsia="en-AU"/>
        </w:rPr>
        <w:t>.</w:t>
      </w:r>
      <w:r w:rsidRPr="00E2192B">
        <w:rPr>
          <w:lang w:eastAsia="en-AU"/>
        </w:rPr>
        <w:t xml:space="preserve"> </w:t>
      </w:r>
      <w:r w:rsidR="00BC29FC">
        <w:rPr>
          <w:lang w:eastAsia="en-AU"/>
        </w:rPr>
        <w:t>And it</w:t>
      </w:r>
      <w:r w:rsidRPr="00E2192B">
        <w:rPr>
          <w:lang w:eastAsia="en-AU"/>
        </w:rPr>
        <w:t xml:space="preserve"> sends a clear signal</w:t>
      </w:r>
      <w:r w:rsidR="00215293">
        <w:rPr>
          <w:lang w:eastAsia="en-AU"/>
        </w:rPr>
        <w:t>,</w:t>
      </w:r>
      <w:r w:rsidRPr="00E2192B">
        <w:rPr>
          <w:lang w:eastAsia="en-AU"/>
        </w:rPr>
        <w:t xml:space="preserve"> to staff and to the public</w:t>
      </w:r>
      <w:r w:rsidR="00215293">
        <w:rPr>
          <w:lang w:eastAsia="en-AU"/>
        </w:rPr>
        <w:t>,</w:t>
      </w:r>
      <w:r w:rsidRPr="00E2192B">
        <w:rPr>
          <w:lang w:eastAsia="en-AU"/>
        </w:rPr>
        <w:t xml:space="preserve"> about an organisation</w:t>
      </w:r>
      <w:r w:rsidR="002F55AB">
        <w:rPr>
          <w:lang w:eastAsia="en-AU"/>
        </w:rPr>
        <w:t>’</w:t>
      </w:r>
      <w:r w:rsidRPr="00E2192B">
        <w:rPr>
          <w:lang w:eastAsia="en-AU"/>
        </w:rPr>
        <w:t>s commitment to gender equality.</w:t>
      </w:r>
    </w:p>
    <w:p w14:paraId="1213B004" w14:textId="6F498FEF" w:rsidR="00B96D25" w:rsidRPr="0069246F" w:rsidRDefault="00B96D25" w:rsidP="0078531C">
      <w:pPr>
        <w:pStyle w:val="BodyText"/>
      </w:pPr>
      <w:r w:rsidRPr="0069246F">
        <w:t xml:space="preserve">In addition to </w:t>
      </w:r>
      <w:r w:rsidR="00C8269D" w:rsidRPr="0069246F">
        <w:t>enabling a more</w:t>
      </w:r>
      <w:r w:rsidR="00F71B00" w:rsidRPr="0069246F">
        <w:t xml:space="preserve"> inclusive workplace culture, </w:t>
      </w:r>
      <w:r w:rsidR="00BB5ED8" w:rsidRPr="0069246F">
        <w:t xml:space="preserve">analysis from </w:t>
      </w:r>
      <w:r w:rsidR="0006644A" w:rsidRPr="0069246F">
        <w:t>the Workplace Gender Equality Agency (</w:t>
      </w:r>
      <w:r w:rsidR="00BB5ED8" w:rsidRPr="0069246F">
        <w:t>WGEA</w:t>
      </w:r>
      <w:r w:rsidR="0006644A" w:rsidRPr="0069246F">
        <w:t>)</w:t>
      </w:r>
      <w:r w:rsidR="00565FFF" w:rsidRPr="0069246F">
        <w:t xml:space="preserve"> and </w:t>
      </w:r>
      <w:r w:rsidR="00A33A99" w:rsidRPr="0069246F">
        <w:t>the Bankwest Curtain Economics Centre</w:t>
      </w:r>
      <w:r w:rsidR="00735C9F" w:rsidRPr="0069246F">
        <w:t xml:space="preserve"> </w:t>
      </w:r>
      <w:r w:rsidR="00BB5ED8" w:rsidRPr="0069246F">
        <w:t xml:space="preserve">shows that </w:t>
      </w:r>
      <w:r w:rsidR="00F71B00" w:rsidRPr="0069246F">
        <w:t xml:space="preserve">governing bodies </w:t>
      </w:r>
      <w:r w:rsidR="005D62F2">
        <w:t>with</w:t>
      </w:r>
      <w:r w:rsidR="00BB5ED8" w:rsidRPr="0069246F">
        <w:t xml:space="preserve"> more women are </w:t>
      </w:r>
      <w:r w:rsidR="0008419E">
        <w:t>associated with better performance</w:t>
      </w:r>
      <w:r w:rsidR="00BF0474" w:rsidRPr="0069246F">
        <w:t xml:space="preserve"> </w:t>
      </w:r>
      <w:r w:rsidR="00A33A99" w:rsidRPr="0069246F">
        <w:t>(Cassells and Duncan 2020, p.27)</w:t>
      </w:r>
      <w:r w:rsidR="00BF0474" w:rsidRPr="0069246F">
        <w:t xml:space="preserve">. </w:t>
      </w:r>
      <w:r w:rsidR="00F52E54" w:rsidRPr="0069246F">
        <w:t xml:space="preserve">When a third of </w:t>
      </w:r>
      <w:r w:rsidR="003A30D2" w:rsidRPr="0069246F">
        <w:t>b</w:t>
      </w:r>
      <w:r w:rsidR="00F52E54" w:rsidRPr="0069246F">
        <w:t xml:space="preserve">oard members are women, </w:t>
      </w:r>
      <w:r w:rsidR="00F44E45" w:rsidRPr="0069246F">
        <w:t>around one-fifth of firms outperform their peers</w:t>
      </w:r>
      <w:r w:rsidR="003A30D2" w:rsidRPr="0069246F">
        <w:t xml:space="preserve"> </w:t>
      </w:r>
      <w:r w:rsidR="006D1091" w:rsidRPr="0069246F">
        <w:t>(</w:t>
      </w:r>
      <w:r w:rsidR="003A30D2" w:rsidRPr="0069246F">
        <w:t xml:space="preserve">compared to only 8% </w:t>
      </w:r>
      <w:r w:rsidR="002A5614" w:rsidRPr="0069246F">
        <w:t>of</w:t>
      </w:r>
      <w:r w:rsidR="003A30D2" w:rsidRPr="0069246F">
        <w:t xml:space="preserve"> firms that have no women on the board</w:t>
      </w:r>
      <w:r w:rsidR="006D1091" w:rsidRPr="0069246F">
        <w:t>)</w:t>
      </w:r>
      <w:r w:rsidR="003A30D2" w:rsidRPr="0069246F">
        <w:t xml:space="preserve">. This finding is consistent across all </w:t>
      </w:r>
      <w:r w:rsidR="00DB61D5" w:rsidRPr="0069246F">
        <w:t>of WGEA</w:t>
      </w:r>
      <w:r w:rsidR="0087150F" w:rsidRPr="0069246F">
        <w:t>’</w:t>
      </w:r>
      <w:r w:rsidR="00DB61D5" w:rsidRPr="0069246F">
        <w:t>s reporting data</w:t>
      </w:r>
      <w:r w:rsidR="00BB357F">
        <w:t xml:space="preserve"> – strong</w:t>
      </w:r>
      <w:r w:rsidR="00A16460">
        <w:t xml:space="preserve"> evidence</w:t>
      </w:r>
      <w:r w:rsidR="00735C9F" w:rsidRPr="0069246F">
        <w:t xml:space="preserve"> </w:t>
      </w:r>
      <w:r w:rsidR="00CE7129">
        <w:t>of</w:t>
      </w:r>
      <w:r w:rsidR="00735C9F">
        <w:t xml:space="preserve"> </w:t>
      </w:r>
      <w:r w:rsidR="00735C9F" w:rsidRPr="0069246F">
        <w:t>the business case for gender</w:t>
      </w:r>
      <w:r w:rsidR="005E5715" w:rsidRPr="0069246F">
        <w:t>-</w:t>
      </w:r>
      <w:r w:rsidR="00735C9F" w:rsidRPr="0069246F">
        <w:t xml:space="preserve">balanced governing bodies. </w:t>
      </w:r>
    </w:p>
    <w:p w14:paraId="298E4394" w14:textId="5701C5F9" w:rsidR="00B628DE" w:rsidRDefault="00025F8C" w:rsidP="0078531C">
      <w:pPr>
        <w:pStyle w:val="BodyText"/>
        <w:rPr>
          <w:rFonts w:cs="Arial"/>
          <w:lang w:eastAsia="en-AU"/>
        </w:rPr>
      </w:pPr>
      <w:r>
        <w:rPr>
          <w:rFonts w:cs="Arial"/>
          <w:lang w:eastAsia="en-AU"/>
        </w:rPr>
        <w:t xml:space="preserve">You can read more about the importance of </w:t>
      </w:r>
      <w:r w:rsidR="00E2192B" w:rsidRPr="00E2192B">
        <w:rPr>
          <w:rFonts w:cs="Arial"/>
          <w:lang w:eastAsia="en-AU"/>
        </w:rPr>
        <w:t>gender-balanced governing bodies</w:t>
      </w:r>
      <w:r w:rsidR="00AA5E59">
        <w:rPr>
          <w:rFonts w:cs="Arial"/>
          <w:lang w:eastAsia="en-AU"/>
        </w:rPr>
        <w:t xml:space="preserve"> in </w:t>
      </w:r>
      <w:r w:rsidR="00AA5E59">
        <w:t xml:space="preserve">the </w:t>
      </w:r>
      <w:hyperlink r:id="rId27" w:history="1">
        <w:r w:rsidR="00AA5E59" w:rsidRPr="00F136B5">
          <w:rPr>
            <w:rStyle w:val="Hyperlink"/>
          </w:rPr>
          <w:t>Baseline report</w:t>
        </w:r>
      </w:hyperlink>
      <w:r w:rsidR="00AA5E59" w:rsidRPr="004444B7">
        <w:rPr>
          <w:rStyle w:val="Hyperlink"/>
        </w:rPr>
        <w:t xml:space="preserve"> </w:t>
      </w:r>
      <w:r w:rsidR="00AA5E59">
        <w:t xml:space="preserve">(2021, pp. </w:t>
      </w:r>
      <w:r w:rsidR="00256310">
        <w:t>22</w:t>
      </w:r>
      <w:r w:rsidR="00AA5E59">
        <w:t>-23).</w:t>
      </w:r>
    </w:p>
    <w:p w14:paraId="262FF4E9" w14:textId="77777777" w:rsidR="00972AC3" w:rsidRDefault="00972AC3" w:rsidP="00972AC3">
      <w:pPr>
        <w:pStyle w:val="Heading2"/>
      </w:pPr>
      <w:bookmarkStart w:id="27" w:name="_Toc237259520"/>
      <w:r>
        <w:t>How we define progress</w:t>
      </w:r>
      <w:bookmarkEnd w:id="27"/>
    </w:p>
    <w:p w14:paraId="4C0AEE9C" w14:textId="1B3B650C" w:rsidR="00966328" w:rsidRDefault="00D22823" w:rsidP="0078531C">
      <w:pPr>
        <w:pStyle w:val="BodyText"/>
        <w:rPr>
          <w:rFonts w:cs="Arial"/>
          <w:lang w:eastAsia="en-AU"/>
        </w:rPr>
      </w:pPr>
      <w:r w:rsidRPr="00842693">
        <w:t>Introduced</w:t>
      </w:r>
      <w:r w:rsidR="00E0097C">
        <w:t xml:space="preserve"> </w:t>
      </w:r>
      <w:r w:rsidR="0024680B">
        <w:t>more than</w:t>
      </w:r>
      <w:r w:rsidR="00E0097C">
        <w:t xml:space="preserve"> 10 years ago, t</w:t>
      </w:r>
      <w:r w:rsidR="00ED38FB">
        <w:t xml:space="preserve">he Victorian </w:t>
      </w:r>
      <w:r w:rsidRPr="00842693">
        <w:t>Government</w:t>
      </w:r>
      <w:r w:rsidR="002F55AB">
        <w:t>’</w:t>
      </w:r>
      <w:r w:rsidRPr="00842693">
        <w:t>s</w:t>
      </w:r>
      <w:r w:rsidR="00ED38FB">
        <w:t xml:space="preserve"> </w:t>
      </w:r>
      <w:hyperlink r:id="rId28" w:history="1">
        <w:r w:rsidR="00E5198B" w:rsidRPr="00842693">
          <w:rPr>
            <w:rStyle w:val="Hyperlink"/>
            <w:rFonts w:cs="Times New Roman"/>
            <w:color w:val="auto"/>
            <w:u w:val="none"/>
          </w:rPr>
          <w:t>Women on Boards commitment</w:t>
        </w:r>
      </w:hyperlink>
      <w:r w:rsidR="00E5198B">
        <w:t xml:space="preserve"> </w:t>
      </w:r>
      <w:r w:rsidR="00E0097C">
        <w:t xml:space="preserve">requires that </w:t>
      </w:r>
      <w:r w:rsidR="00DD337A">
        <w:t xml:space="preserve">women </w:t>
      </w:r>
      <w:r w:rsidR="00A664CD">
        <w:t xml:space="preserve">make up </w:t>
      </w:r>
      <w:r w:rsidR="00E0097C">
        <w:t>at</w:t>
      </w:r>
      <w:r w:rsidR="00E0097C" w:rsidRPr="00EA6685">
        <w:rPr>
          <w:rFonts w:cs="Arial"/>
          <w:lang w:eastAsia="en-AU"/>
        </w:rPr>
        <w:t xml:space="preserve"> least 50% of all new appointments to courts and paid government boards.</w:t>
      </w:r>
      <w:r w:rsidR="00E0097C">
        <w:rPr>
          <w:rFonts w:cs="Arial"/>
          <w:lang w:eastAsia="en-AU"/>
        </w:rPr>
        <w:t xml:space="preserve"> This commitment was renewed </w:t>
      </w:r>
      <w:r w:rsidR="0094565A">
        <w:rPr>
          <w:rFonts w:cs="Arial"/>
          <w:lang w:eastAsia="en-AU"/>
        </w:rPr>
        <w:t xml:space="preserve">in 2023 </w:t>
      </w:r>
      <w:r w:rsidR="00E0097C">
        <w:rPr>
          <w:rFonts w:cs="Arial"/>
          <w:lang w:eastAsia="en-AU"/>
        </w:rPr>
        <w:t>as part</w:t>
      </w:r>
      <w:r w:rsidR="004F6EA8">
        <w:t xml:space="preserve"> of </w:t>
      </w:r>
      <w:r w:rsidR="00BA01FE">
        <w:t>Victoria</w:t>
      </w:r>
      <w:r w:rsidR="002F55AB">
        <w:t>’</w:t>
      </w:r>
      <w:r w:rsidR="00BA01FE">
        <w:t>s</w:t>
      </w:r>
      <w:r w:rsidR="00BA01FE" w:rsidRPr="00C27278">
        <w:t xml:space="preserve"> second</w:t>
      </w:r>
      <w:r w:rsidR="004F6EA8">
        <w:t xml:space="preserve"> statewide gender equality action plan</w:t>
      </w:r>
      <w:r w:rsidR="008331EB">
        <w:t>,</w:t>
      </w:r>
      <w:r w:rsidR="004F6EA8">
        <w:t xml:space="preserve"> </w:t>
      </w:r>
      <w:hyperlink r:id="rId29" w:history="1">
        <w:r w:rsidR="004F6EA8" w:rsidRPr="00376507">
          <w:rPr>
            <w:rStyle w:val="Hyperlink"/>
            <w:rFonts w:cs="Times New Roman"/>
            <w:i/>
            <w:iCs/>
            <w:color w:val="auto"/>
            <w:u w:val="none"/>
          </w:rPr>
          <w:t xml:space="preserve">Our </w:t>
        </w:r>
        <w:r w:rsidR="009A1E77">
          <w:rPr>
            <w:rStyle w:val="Hyperlink"/>
            <w:rFonts w:cs="Times New Roman"/>
            <w:i/>
            <w:iCs/>
            <w:color w:val="auto"/>
            <w:u w:val="none"/>
          </w:rPr>
          <w:t>e</w:t>
        </w:r>
        <w:r w:rsidR="004F6EA8" w:rsidRPr="00376507">
          <w:rPr>
            <w:rStyle w:val="Hyperlink"/>
            <w:rFonts w:cs="Times New Roman"/>
            <w:i/>
            <w:iCs/>
            <w:color w:val="auto"/>
            <w:u w:val="none"/>
          </w:rPr>
          <w:t xml:space="preserve">qual </w:t>
        </w:r>
        <w:r w:rsidR="009A1E77">
          <w:rPr>
            <w:rStyle w:val="Hyperlink"/>
            <w:rFonts w:cs="Times New Roman"/>
            <w:i/>
            <w:iCs/>
            <w:color w:val="auto"/>
            <w:u w:val="none"/>
          </w:rPr>
          <w:t>s</w:t>
        </w:r>
        <w:r w:rsidR="004F6EA8" w:rsidRPr="00376507">
          <w:rPr>
            <w:rStyle w:val="Hyperlink"/>
            <w:rFonts w:cs="Times New Roman"/>
            <w:i/>
            <w:iCs/>
            <w:color w:val="auto"/>
            <w:u w:val="none"/>
          </w:rPr>
          <w:t>tate</w:t>
        </w:r>
      </w:hyperlink>
      <w:r w:rsidR="00E0097C">
        <w:t>.</w:t>
      </w:r>
    </w:p>
    <w:p w14:paraId="685FA205" w14:textId="07A369EE" w:rsidR="00DC3098" w:rsidRDefault="00067AB2" w:rsidP="0078531C">
      <w:pPr>
        <w:pStyle w:val="BodyText"/>
        <w:rPr>
          <w:lang w:eastAsia="en-AU"/>
        </w:rPr>
      </w:pPr>
      <w:r w:rsidRPr="00067AB2">
        <w:rPr>
          <w:lang w:eastAsia="en-AU"/>
        </w:rPr>
        <w:t>The Commission supports the Victorian Government</w:t>
      </w:r>
      <w:r w:rsidR="00DE3FE6">
        <w:rPr>
          <w:lang w:eastAsia="en-AU"/>
        </w:rPr>
        <w:t>’</w:t>
      </w:r>
      <w:r w:rsidRPr="00067AB2">
        <w:rPr>
          <w:lang w:eastAsia="en-AU"/>
        </w:rPr>
        <w:t xml:space="preserve">s commitment to gender parity on boards. </w:t>
      </w:r>
      <w:r w:rsidR="00DE3FE6">
        <w:rPr>
          <w:lang w:eastAsia="en-AU"/>
        </w:rPr>
        <w:t>To</w:t>
      </w:r>
      <w:r w:rsidRPr="00067AB2">
        <w:rPr>
          <w:lang w:eastAsia="en-AU"/>
        </w:rPr>
        <w:t xml:space="preserve"> assess progress under the Gender Equality Act, the Commission uses a complementary</w:t>
      </w:r>
      <w:r w:rsidR="00F44D92" w:rsidRPr="009C57F5">
        <w:rPr>
          <w:lang w:eastAsia="en-AU"/>
        </w:rPr>
        <w:t xml:space="preserve"> 45:45:10 framework (45% women, 45% men, 10% any gender)</w:t>
      </w:r>
      <w:r w:rsidR="00F44D92">
        <w:rPr>
          <w:lang w:eastAsia="en-AU"/>
        </w:rPr>
        <w:t xml:space="preserve"> </w:t>
      </w:r>
      <w:r w:rsidR="002C30A5">
        <w:rPr>
          <w:lang w:eastAsia="en-AU"/>
        </w:rPr>
        <w:t xml:space="preserve">to define balance </w:t>
      </w:r>
      <w:r w:rsidR="00966328">
        <w:rPr>
          <w:lang w:eastAsia="en-AU"/>
        </w:rPr>
        <w:t>on</w:t>
      </w:r>
      <w:r w:rsidR="001245C9">
        <w:rPr>
          <w:lang w:eastAsia="en-AU"/>
        </w:rPr>
        <w:t xml:space="preserve"> governing bodies.</w:t>
      </w:r>
      <w:r w:rsidR="004F3673">
        <w:rPr>
          <w:lang w:eastAsia="en-AU"/>
        </w:rPr>
        <w:t xml:space="preserve"> </w:t>
      </w:r>
      <w:r w:rsidR="00FA4676" w:rsidRPr="00FA4676">
        <w:rPr>
          <w:lang w:eastAsia="en-AU"/>
        </w:rPr>
        <w:t>The 45:45:10 framing gives duty holders room to:</w:t>
      </w:r>
    </w:p>
    <w:p w14:paraId="02921B8F" w14:textId="1F13DF6D" w:rsidR="00AD6B08" w:rsidRDefault="00DE0B98" w:rsidP="00AD6B08">
      <w:pPr>
        <w:pStyle w:val="Bullet1"/>
      </w:pPr>
      <w:r>
        <w:rPr>
          <w:rFonts w:cs="Arial"/>
          <w:lang w:eastAsia="en-AU"/>
        </w:rPr>
        <w:t>c</w:t>
      </w:r>
      <w:r w:rsidR="00620E3D">
        <w:rPr>
          <w:rFonts w:cs="Arial"/>
          <w:lang w:eastAsia="en-AU"/>
        </w:rPr>
        <w:t xml:space="preserve">ount people of diverse </w:t>
      </w:r>
      <w:r w:rsidR="00620E3D" w:rsidRPr="00C27278">
        <w:rPr>
          <w:rFonts w:cs="Arial"/>
          <w:lang w:eastAsia="en-AU"/>
        </w:rPr>
        <w:t>gender</w:t>
      </w:r>
      <w:r w:rsidR="00CC6BCB" w:rsidRPr="00C27278">
        <w:rPr>
          <w:rFonts w:cs="Arial"/>
          <w:lang w:eastAsia="en-AU"/>
        </w:rPr>
        <w:t>s</w:t>
      </w:r>
    </w:p>
    <w:p w14:paraId="702E4A3A" w14:textId="7E42B45D" w:rsidR="00AD6B08" w:rsidRDefault="00DE0B98" w:rsidP="00AD6B08">
      <w:pPr>
        <w:pStyle w:val="Bullet1"/>
      </w:pPr>
      <w:r>
        <w:t>a</w:t>
      </w:r>
      <w:r w:rsidR="007B65F2">
        <w:t>ccount for small num</w:t>
      </w:r>
      <w:r w:rsidR="00761ADF">
        <w:t xml:space="preserve">erical shifts </w:t>
      </w:r>
      <w:r w:rsidR="00320407" w:rsidRPr="00320407">
        <w:t>that can appear</w:t>
      </w:r>
      <w:r w:rsidR="00761ADF">
        <w:t xml:space="preserve"> as</w:t>
      </w:r>
      <w:r w:rsidR="00856853">
        <w:t xml:space="preserve"> </w:t>
      </w:r>
      <w:r w:rsidR="00A25A46">
        <w:t>notable</w:t>
      </w:r>
      <w:r w:rsidR="00856853">
        <w:t xml:space="preserve"> </w:t>
      </w:r>
      <w:r w:rsidR="00A03423" w:rsidRPr="00C27278">
        <w:t xml:space="preserve">percentage </w:t>
      </w:r>
      <w:r w:rsidR="00320407" w:rsidRPr="00320407">
        <w:t>swings on a small board</w:t>
      </w:r>
      <w:r w:rsidR="00856853">
        <w:t xml:space="preserve"> </w:t>
      </w:r>
    </w:p>
    <w:p w14:paraId="7B6BDD66" w14:textId="54F4B8DB" w:rsidR="00A154D3" w:rsidRDefault="00A03423" w:rsidP="00A154D3">
      <w:pPr>
        <w:pStyle w:val="Bullet1"/>
      </w:pPr>
      <w:r w:rsidRPr="00C27278">
        <w:rPr>
          <w:rFonts w:cs="Arial"/>
          <w:lang w:eastAsia="en-AU"/>
        </w:rPr>
        <w:t>account for</w:t>
      </w:r>
      <w:r w:rsidR="00A154D3">
        <w:rPr>
          <w:rFonts w:cs="Arial"/>
          <w:lang w:eastAsia="en-AU"/>
        </w:rPr>
        <w:t xml:space="preserve"> the </w:t>
      </w:r>
      <w:r w:rsidR="006F4EEF" w:rsidRPr="006F4EEF">
        <w:rPr>
          <w:rFonts w:cs="Arial"/>
          <w:lang w:eastAsia="en-AU"/>
        </w:rPr>
        <w:t xml:space="preserve">fact that an exact </w:t>
      </w:r>
      <w:r w:rsidR="00A154D3">
        <w:rPr>
          <w:rFonts w:cs="Arial"/>
          <w:lang w:eastAsia="en-AU"/>
        </w:rPr>
        <w:t xml:space="preserve">50:50 </w:t>
      </w:r>
      <w:r w:rsidR="00687A3C">
        <w:rPr>
          <w:rFonts w:cs="Arial"/>
          <w:lang w:eastAsia="en-AU"/>
        </w:rPr>
        <w:t xml:space="preserve">split </w:t>
      </w:r>
      <w:r w:rsidR="006F4EEF" w:rsidRPr="006F4EEF">
        <w:rPr>
          <w:rFonts w:cs="Arial"/>
          <w:lang w:eastAsia="en-AU"/>
        </w:rPr>
        <w:t>is impossible on a board with</w:t>
      </w:r>
      <w:r w:rsidR="00687A3C">
        <w:rPr>
          <w:rFonts w:cs="Arial"/>
          <w:lang w:eastAsia="en-AU"/>
        </w:rPr>
        <w:t xml:space="preserve"> an odd number of </w:t>
      </w:r>
      <w:r w:rsidR="0072142C" w:rsidRPr="00C27278">
        <w:rPr>
          <w:rFonts w:cs="Arial"/>
          <w:lang w:eastAsia="en-AU"/>
        </w:rPr>
        <w:t>members</w:t>
      </w:r>
      <w:r w:rsidR="00847C05">
        <w:rPr>
          <w:rFonts w:cs="Arial"/>
          <w:lang w:eastAsia="en-AU"/>
        </w:rPr>
        <w:t>.</w:t>
      </w:r>
    </w:p>
    <w:p w14:paraId="1A177043" w14:textId="2440778A" w:rsidR="003627E4" w:rsidRDefault="003627E4" w:rsidP="00FA5786">
      <w:pPr>
        <w:pStyle w:val="Bodyafterbullets"/>
      </w:pPr>
      <w:r>
        <w:t xml:space="preserve">The Commission uses the 45:45:10 gender split framework for boards for several reasons. As explained in </w:t>
      </w:r>
      <w:hyperlink w:anchor="_Indicator_1:_Gender" w:history="1">
        <w:r w:rsidRPr="000E28D6">
          <w:rPr>
            <w:rStyle w:val="Hyperlink"/>
            <w:rFonts w:cs="Times New Roman"/>
          </w:rPr>
          <w:t>Indicator 1: Gender composition of the workforce</w:t>
        </w:r>
      </w:hyperlink>
      <w:r>
        <w:t>, proportional measures are important when it comes to the gender composition of senior leaders. This ensures that women</w:t>
      </w:r>
      <w:r w:rsidR="002F55AB">
        <w:t>’</w:t>
      </w:r>
      <w:r>
        <w:t>s careers are not stalling at the middle levels of an organisation, and that they have fair access to higher pay, greater responsibility</w:t>
      </w:r>
      <w:r w:rsidR="00276F56">
        <w:t>,</w:t>
      </w:r>
      <w:r>
        <w:t xml:space="preserve"> and influence over the strategic direction of organisations.</w:t>
      </w:r>
      <w:r w:rsidR="00FA5786">
        <w:t xml:space="preserve"> However, w</w:t>
      </w:r>
      <w:r>
        <w:t>hen it comes to the gender composition of boards, a 45:45:10 framework is more appropriate as a long-term goal. This is because boards are not a reflection of recruitment, promotion and progression outcomes within an organisation</w:t>
      </w:r>
      <w:r w:rsidR="00865DA5">
        <w:t>, e</w:t>
      </w:r>
      <w:r w:rsidR="004D010C">
        <w:t>ven though they may reflect</w:t>
      </w:r>
      <w:r w:rsidR="00AC5229">
        <w:t xml:space="preserve"> broader systemic or industry-level patterns of</w:t>
      </w:r>
      <w:r w:rsidR="00865DA5">
        <w:t xml:space="preserve"> inequality.</w:t>
      </w:r>
      <w:r>
        <w:t xml:space="preserve"> Therefore, board appointments do not reflect women reaching a </w:t>
      </w:r>
      <w:r w:rsidR="00F43DBC">
        <w:t>‘</w:t>
      </w:r>
      <w:r>
        <w:t>glass ceiling</w:t>
      </w:r>
      <w:r w:rsidR="00F43DBC">
        <w:t>’</w:t>
      </w:r>
      <w:r>
        <w:t xml:space="preserve"> or dropping off via a </w:t>
      </w:r>
      <w:r w:rsidR="00F43DBC">
        <w:t>‘</w:t>
      </w:r>
      <w:r>
        <w:t>leaky pipeline</w:t>
      </w:r>
      <w:r w:rsidR="00F43DBC">
        <w:t>’</w:t>
      </w:r>
      <w:r>
        <w:t xml:space="preserve"> in the same way (see </w:t>
      </w:r>
      <w:hyperlink w:anchor="_Indicator_5:_Recruitment" w:history="1">
        <w:r w:rsidRPr="00AC385D">
          <w:rPr>
            <w:rStyle w:val="Hyperlink"/>
            <w:rFonts w:cs="Times New Roman"/>
          </w:rPr>
          <w:t>Indicator 5: Recruitment and promotion</w:t>
        </w:r>
      </w:hyperlink>
      <w:r>
        <w:t xml:space="preserve"> for further discussion of these </w:t>
      </w:r>
      <w:r w:rsidR="00AC385D">
        <w:t>issues</w:t>
      </w:r>
      <w:r>
        <w:t xml:space="preserve">). Rather, board appointments are usually conducted separately to internal recruitment and promotion processes, and board members </w:t>
      </w:r>
      <w:r w:rsidR="00E13728">
        <w:t xml:space="preserve">in the public sector </w:t>
      </w:r>
      <w:r>
        <w:t xml:space="preserve">are often </w:t>
      </w:r>
      <w:r w:rsidR="006B7429">
        <w:t xml:space="preserve">externally </w:t>
      </w:r>
      <w:r>
        <w:t>appointed. Additionally, governing bodies are often made up of a small number of members. A 45:45:10 framework therefore ensures that an under-represented gender is not in an extreme minority of 1 or 2 people.</w:t>
      </w:r>
    </w:p>
    <w:p w14:paraId="066070D2" w14:textId="21D3AB69" w:rsidR="003627E4" w:rsidRDefault="003627E4" w:rsidP="0078531C">
      <w:pPr>
        <w:pStyle w:val="BodyText"/>
      </w:pPr>
      <w:r>
        <w:t xml:space="preserve">While the 45:45:10 ratio should be the goal in the public sector, a slight overrepresentation of women must be viewed in context. In women-concentrated industries, having a board that reflects the gender composition of that industry is acceptable in a wider societal context of persistent gender inequality. This should be viewed as a step on the road to the broader goal of bringing both the </w:t>
      </w:r>
      <w:r>
        <w:lastRenderedPageBreak/>
        <w:t xml:space="preserve">governing body and employee gender composition closer to 45:45:10 over time. In men-concentrated industries (as discussed in </w:t>
      </w:r>
      <w:hyperlink w:anchor="_Indicator_1:_Gender" w:history="1">
        <w:r w:rsidRPr="00F011C6">
          <w:rPr>
            <w:rStyle w:val="Hyperlink"/>
            <w:rFonts w:cs="Times New Roman"/>
          </w:rPr>
          <w:t>Indicator 1: Gender composition of the workforce</w:t>
        </w:r>
      </w:hyperlink>
      <w:r>
        <w:t>), increasing women</w:t>
      </w:r>
      <w:r w:rsidR="002F55AB">
        <w:t>’</w:t>
      </w:r>
      <w:r>
        <w:t xml:space="preserve">s representation on boards can be part of a legitimate strategy to </w:t>
      </w:r>
      <w:r w:rsidR="00067AB2">
        <w:t xml:space="preserve">help </w:t>
      </w:r>
      <w:r>
        <w:t xml:space="preserve">drive </w:t>
      </w:r>
      <w:r w:rsidR="00067AB2">
        <w:t>broader organisational</w:t>
      </w:r>
      <w:r>
        <w:t xml:space="preserve"> change (</w:t>
      </w:r>
      <w:r w:rsidRPr="00C170EF">
        <w:t xml:space="preserve">Gould </w:t>
      </w:r>
      <w:r w:rsidR="00E30FE4" w:rsidRPr="00C170EF">
        <w:t>et al.</w:t>
      </w:r>
      <w:r w:rsidRPr="00C170EF">
        <w:t xml:space="preserve"> 2018</w:t>
      </w:r>
      <w:r>
        <w:t>).</w:t>
      </w:r>
    </w:p>
    <w:p w14:paraId="5CCCF0F2" w14:textId="11D2066A" w:rsidR="0046279A" w:rsidRPr="00C27278" w:rsidRDefault="0046279A" w:rsidP="0046279A">
      <w:pPr>
        <w:pStyle w:val="Heading2"/>
      </w:pPr>
      <w:bookmarkStart w:id="28" w:name="_Toc237259521"/>
      <w:r w:rsidRPr="00C27278">
        <w:t xml:space="preserve">Progress </w:t>
      </w:r>
      <w:r>
        <w:t>between</w:t>
      </w:r>
      <w:r w:rsidRPr="00C27278">
        <w:t xml:space="preserve"> 2021</w:t>
      </w:r>
      <w:r>
        <w:t xml:space="preserve"> and 2025</w:t>
      </w:r>
      <w:bookmarkEnd w:id="28"/>
    </w:p>
    <w:p w14:paraId="1102145D" w14:textId="5C6CD38B" w:rsidR="0072142C" w:rsidRDefault="008803FE" w:rsidP="0078531C">
      <w:pPr>
        <w:pStyle w:val="BodyText"/>
      </w:pPr>
      <w:r>
        <w:rPr>
          <w:lang w:eastAsia="en-AU"/>
        </w:rPr>
        <w:t xml:space="preserve">Victorian public sector boards remained </w:t>
      </w:r>
      <w:r w:rsidR="0072142C" w:rsidRPr="00C27278">
        <w:rPr>
          <w:lang w:eastAsia="en-AU"/>
        </w:rPr>
        <w:t xml:space="preserve">gender </w:t>
      </w:r>
      <w:r>
        <w:rPr>
          <w:lang w:eastAsia="en-AU"/>
        </w:rPr>
        <w:t>balanced</w:t>
      </w:r>
      <w:r w:rsidR="00F916C7">
        <w:rPr>
          <w:lang w:eastAsia="en-AU"/>
        </w:rPr>
        <w:t xml:space="preserve"> </w:t>
      </w:r>
      <w:r w:rsidR="00553DF9" w:rsidRPr="00C27278">
        <w:rPr>
          <w:lang w:eastAsia="en-AU"/>
        </w:rPr>
        <w:t xml:space="preserve">across all </w:t>
      </w:r>
      <w:r w:rsidR="00673363">
        <w:rPr>
          <w:lang w:eastAsia="en-AU"/>
        </w:rPr>
        <w:t>3</w:t>
      </w:r>
      <w:r w:rsidR="00673363" w:rsidRPr="006E6457">
        <w:rPr>
          <w:lang w:eastAsia="en-AU"/>
        </w:rPr>
        <w:t xml:space="preserve"> </w:t>
      </w:r>
      <w:r w:rsidR="00553DF9" w:rsidRPr="00C27278">
        <w:rPr>
          <w:lang w:eastAsia="en-AU"/>
        </w:rPr>
        <w:t>reporting years</w:t>
      </w:r>
      <w:r w:rsidR="0072142C" w:rsidRPr="00C27278">
        <w:rPr>
          <w:lang w:eastAsia="en-AU"/>
        </w:rPr>
        <w:t xml:space="preserve">. </w:t>
      </w:r>
      <w:r w:rsidR="00A212CE">
        <w:rPr>
          <w:lang w:eastAsia="en-AU"/>
        </w:rPr>
        <w:t xml:space="preserve">In most industries, </w:t>
      </w:r>
      <w:r w:rsidR="006E6457" w:rsidRPr="006E6457">
        <w:rPr>
          <w:lang w:eastAsia="en-AU"/>
        </w:rPr>
        <w:t>women</w:t>
      </w:r>
      <w:r w:rsidR="002F55AB">
        <w:rPr>
          <w:lang w:eastAsia="en-AU"/>
        </w:rPr>
        <w:t>’</w:t>
      </w:r>
      <w:r w:rsidR="006E6457" w:rsidRPr="006E6457">
        <w:rPr>
          <w:lang w:eastAsia="en-AU"/>
        </w:rPr>
        <w:t>s share</w:t>
      </w:r>
      <w:r w:rsidR="009B7EBC" w:rsidRPr="00C27278">
        <w:rPr>
          <w:lang w:eastAsia="en-AU"/>
        </w:rPr>
        <w:t xml:space="preserve"> of governing body </w:t>
      </w:r>
      <w:r w:rsidR="006E6457" w:rsidRPr="006E6457">
        <w:rPr>
          <w:lang w:eastAsia="en-AU"/>
        </w:rPr>
        <w:t>membership held steady</w:t>
      </w:r>
      <w:r w:rsidR="00D74104" w:rsidRPr="00C27278">
        <w:rPr>
          <w:lang w:eastAsia="en-AU"/>
        </w:rPr>
        <w:t xml:space="preserve"> or increased</w:t>
      </w:r>
      <w:r w:rsidR="00507D5D">
        <w:rPr>
          <w:lang w:eastAsia="en-AU"/>
        </w:rPr>
        <w:t xml:space="preserve"> since 2021</w:t>
      </w:r>
      <w:r w:rsidR="006E6457" w:rsidRPr="006E6457">
        <w:rPr>
          <w:lang w:eastAsia="en-AU"/>
        </w:rPr>
        <w:t>, and the</w:t>
      </w:r>
      <w:r w:rsidR="00553DF9" w:rsidRPr="00C27278">
        <w:rPr>
          <w:lang w:eastAsia="en-AU"/>
        </w:rPr>
        <w:t xml:space="preserve"> </w:t>
      </w:r>
      <w:r w:rsidR="00D74104" w:rsidRPr="00C27278">
        <w:rPr>
          <w:lang w:eastAsia="en-AU"/>
        </w:rPr>
        <w:t>gender composition of board</w:t>
      </w:r>
      <w:r w:rsidR="00553DF9" w:rsidRPr="00C27278">
        <w:rPr>
          <w:lang w:eastAsia="en-AU"/>
        </w:rPr>
        <w:t xml:space="preserve"> </w:t>
      </w:r>
      <w:r w:rsidR="00B9536D" w:rsidRPr="00C27278">
        <w:rPr>
          <w:lang w:eastAsia="en-AU"/>
        </w:rPr>
        <w:t xml:space="preserve">chairs </w:t>
      </w:r>
      <w:r w:rsidR="00C12A32">
        <w:rPr>
          <w:lang w:eastAsia="en-AU"/>
        </w:rPr>
        <w:t xml:space="preserve">was </w:t>
      </w:r>
      <w:r w:rsidR="00D74104" w:rsidRPr="00C27278">
        <w:rPr>
          <w:lang w:eastAsia="en-AU"/>
        </w:rPr>
        <w:t xml:space="preserve">also </w:t>
      </w:r>
      <w:r w:rsidR="00B9536D" w:rsidRPr="00C27278">
        <w:rPr>
          <w:lang w:eastAsia="en-AU"/>
        </w:rPr>
        <w:t>stable.</w:t>
      </w:r>
      <w:r w:rsidR="00B60F68" w:rsidRPr="00C27278">
        <w:rPr>
          <w:lang w:eastAsia="en-AU"/>
        </w:rPr>
        <w:t xml:space="preserve"> </w:t>
      </w:r>
      <w:r w:rsidR="006E6457" w:rsidRPr="006E6457">
        <w:rPr>
          <w:lang w:eastAsia="en-AU"/>
        </w:rPr>
        <w:t>This sustained</w:t>
      </w:r>
      <w:r w:rsidR="00191B9E" w:rsidRPr="00C27278">
        <w:rPr>
          <w:lang w:eastAsia="en-AU"/>
        </w:rPr>
        <w:t xml:space="preserve"> parity reflects </w:t>
      </w:r>
      <w:r w:rsidR="006E6457" w:rsidRPr="006E6457">
        <w:rPr>
          <w:lang w:eastAsia="en-AU"/>
        </w:rPr>
        <w:t>more than a decade of clear targets and</w:t>
      </w:r>
      <w:r w:rsidR="00191B9E">
        <w:rPr>
          <w:lang w:eastAsia="en-AU"/>
        </w:rPr>
        <w:t xml:space="preserve"> consistent </w:t>
      </w:r>
      <w:r w:rsidR="006E6457" w:rsidRPr="006E6457">
        <w:rPr>
          <w:lang w:eastAsia="en-AU"/>
        </w:rPr>
        <w:t xml:space="preserve">effort, </w:t>
      </w:r>
      <w:r w:rsidR="00556D80">
        <w:rPr>
          <w:lang w:eastAsia="en-AU"/>
        </w:rPr>
        <w:t>supported</w:t>
      </w:r>
      <w:r w:rsidR="006E6457" w:rsidRPr="006E6457">
        <w:rPr>
          <w:lang w:eastAsia="en-AU"/>
        </w:rPr>
        <w:t xml:space="preserve"> by the </w:t>
      </w:r>
      <w:r w:rsidR="00191B9E">
        <w:rPr>
          <w:lang w:eastAsia="en-AU"/>
        </w:rPr>
        <w:t xml:space="preserve">Victorian </w:t>
      </w:r>
      <w:r w:rsidR="006E6457" w:rsidRPr="006E6457">
        <w:rPr>
          <w:lang w:eastAsia="en-AU"/>
        </w:rPr>
        <w:t>Government</w:t>
      </w:r>
      <w:r w:rsidR="002F55AB">
        <w:rPr>
          <w:lang w:eastAsia="en-AU"/>
        </w:rPr>
        <w:t>’</w:t>
      </w:r>
      <w:r w:rsidR="006E6457" w:rsidRPr="006E6457">
        <w:rPr>
          <w:lang w:eastAsia="en-AU"/>
        </w:rPr>
        <w:t>s</w:t>
      </w:r>
      <w:r w:rsidR="00191B9E">
        <w:rPr>
          <w:lang w:eastAsia="en-AU"/>
        </w:rPr>
        <w:t xml:space="preserve"> </w:t>
      </w:r>
      <w:r w:rsidR="00FD2D48">
        <w:rPr>
          <w:lang w:eastAsia="en-AU"/>
        </w:rPr>
        <w:t>longstanding</w:t>
      </w:r>
      <w:r w:rsidR="00191B9E" w:rsidRPr="00C27278">
        <w:rPr>
          <w:lang w:eastAsia="en-AU"/>
        </w:rPr>
        <w:t xml:space="preserve"> </w:t>
      </w:r>
      <w:hyperlink r:id="rId30" w:history="1">
        <w:r w:rsidR="00191B9E" w:rsidRPr="00C27278">
          <w:rPr>
            <w:rStyle w:val="Hyperlink"/>
            <w:rFonts w:cs="Times New Roman"/>
          </w:rPr>
          <w:t>Women on Boards commitment</w:t>
        </w:r>
      </w:hyperlink>
      <w:r w:rsidR="00191B9E" w:rsidRPr="00C27278">
        <w:t>.</w:t>
      </w:r>
    </w:p>
    <w:p w14:paraId="20D814DA" w14:textId="4AE5F495" w:rsidR="00326B9B" w:rsidRDefault="00326B9B" w:rsidP="0078531C">
      <w:pPr>
        <w:pStyle w:val="BodyText"/>
        <w:rPr>
          <w:lang w:eastAsia="en-AU"/>
        </w:rPr>
      </w:pPr>
      <w:r w:rsidRPr="006A1DB5">
        <w:rPr>
          <w:lang w:eastAsia="en-AU"/>
        </w:rPr>
        <w:t xml:space="preserve">Key data measures are presented in Tables </w:t>
      </w:r>
      <w:r w:rsidRPr="00062527">
        <w:rPr>
          <w:lang w:eastAsia="en-AU"/>
        </w:rPr>
        <w:t>2.1 and 2.2</w:t>
      </w:r>
      <w:r w:rsidRPr="006A1DB5">
        <w:rPr>
          <w:lang w:eastAsia="en-AU"/>
        </w:rPr>
        <w:t>. Findings are discussed in further detail after the tables</w:t>
      </w:r>
      <w:r>
        <w:rPr>
          <w:lang w:eastAsia="en-AU"/>
        </w:rPr>
        <w:t>.</w:t>
      </w:r>
    </w:p>
    <w:p w14:paraId="7F07732C" w14:textId="35FDA21E" w:rsidR="00350FD1" w:rsidRPr="0019155D" w:rsidRDefault="00350FD1" w:rsidP="004A4720">
      <w:pPr>
        <w:pStyle w:val="Tablecaption"/>
        <w:rPr>
          <w:lang w:eastAsia="en-AU"/>
        </w:rPr>
      </w:pPr>
      <w:r w:rsidRPr="0019155D">
        <w:rPr>
          <w:lang w:eastAsia="en-AU"/>
        </w:rPr>
        <w:t xml:space="preserve">Table 2.1: Governing </w:t>
      </w:r>
      <w:r w:rsidR="003C062F">
        <w:rPr>
          <w:lang w:eastAsia="en-AU"/>
        </w:rPr>
        <w:t>b</w:t>
      </w:r>
      <w:r w:rsidRPr="0019155D">
        <w:rPr>
          <w:lang w:eastAsia="en-AU"/>
        </w:rPr>
        <w:t xml:space="preserve">ody </w:t>
      </w:r>
      <w:r w:rsidR="003C062F">
        <w:rPr>
          <w:lang w:eastAsia="en-AU"/>
        </w:rPr>
        <w:t>g</w:t>
      </w:r>
      <w:r w:rsidRPr="0019155D">
        <w:rPr>
          <w:lang w:eastAsia="en-AU"/>
        </w:rPr>
        <w:t xml:space="preserve">ender </w:t>
      </w:r>
      <w:r w:rsidR="003C062F">
        <w:rPr>
          <w:lang w:eastAsia="en-AU"/>
        </w:rPr>
        <w:t>b</w:t>
      </w:r>
      <w:r w:rsidRPr="0019155D">
        <w:rPr>
          <w:lang w:eastAsia="en-AU"/>
        </w:rPr>
        <w:t xml:space="preserve">alance </w:t>
      </w:r>
      <w:r w:rsidR="003C062F">
        <w:rPr>
          <w:lang w:eastAsia="en-AU"/>
        </w:rPr>
        <w:t>p</w:t>
      </w:r>
      <w:r w:rsidRPr="0019155D">
        <w:rPr>
          <w:lang w:eastAsia="en-AU"/>
        </w:rPr>
        <w:t>rogress</w:t>
      </w:r>
    </w:p>
    <w:tbl>
      <w:tblPr>
        <w:tblStyle w:val="CGEPStable"/>
        <w:tblW w:w="0" w:type="auto"/>
        <w:tblLook w:val="04A0" w:firstRow="1" w:lastRow="0" w:firstColumn="1" w:lastColumn="0" w:noHBand="0" w:noVBand="1"/>
      </w:tblPr>
      <w:tblGrid>
        <w:gridCol w:w="2132"/>
        <w:gridCol w:w="1076"/>
        <w:gridCol w:w="1134"/>
        <w:gridCol w:w="1134"/>
        <w:gridCol w:w="2108"/>
        <w:gridCol w:w="1714"/>
      </w:tblGrid>
      <w:tr w:rsidR="00350FD1" w:rsidRPr="003365E2" w14:paraId="6E2D00E0" w14:textId="77777777" w:rsidTr="003C062F">
        <w:trPr>
          <w:cnfStyle w:val="100000000000" w:firstRow="1" w:lastRow="0" w:firstColumn="0" w:lastColumn="0" w:oddVBand="0" w:evenVBand="0" w:oddHBand="0" w:evenHBand="0" w:firstRowFirstColumn="0" w:firstRowLastColumn="0" w:lastRowFirstColumn="0" w:lastRowLastColumn="0"/>
        </w:trPr>
        <w:tc>
          <w:tcPr>
            <w:tcW w:w="0" w:type="auto"/>
            <w:hideMark/>
          </w:tcPr>
          <w:p w14:paraId="5BDA531F" w14:textId="77777777" w:rsidR="00350FD1" w:rsidRPr="007D06A2" w:rsidRDefault="00350FD1" w:rsidP="004A4720">
            <w:pPr>
              <w:pStyle w:val="Tablecolhead"/>
              <w:rPr>
                <w:lang w:eastAsia="en-AU"/>
              </w:rPr>
            </w:pPr>
            <w:r w:rsidRPr="007D06A2">
              <w:rPr>
                <w:lang w:eastAsia="en-AU"/>
              </w:rPr>
              <w:t>Measure</w:t>
            </w:r>
          </w:p>
        </w:tc>
        <w:tc>
          <w:tcPr>
            <w:tcW w:w="1076" w:type="dxa"/>
            <w:hideMark/>
          </w:tcPr>
          <w:p w14:paraId="61B3BB14" w14:textId="77777777" w:rsidR="00350FD1" w:rsidRPr="007D06A2" w:rsidRDefault="00350FD1" w:rsidP="004A4720">
            <w:pPr>
              <w:pStyle w:val="Tablecolhead"/>
              <w:rPr>
                <w:lang w:eastAsia="en-AU"/>
              </w:rPr>
            </w:pPr>
            <w:r w:rsidRPr="007D06A2">
              <w:rPr>
                <w:lang w:eastAsia="en-AU"/>
              </w:rPr>
              <w:t>2021</w:t>
            </w:r>
          </w:p>
        </w:tc>
        <w:tc>
          <w:tcPr>
            <w:tcW w:w="1134" w:type="dxa"/>
            <w:hideMark/>
          </w:tcPr>
          <w:p w14:paraId="471CE0E8" w14:textId="77777777" w:rsidR="00350FD1" w:rsidRPr="007D06A2" w:rsidRDefault="00350FD1" w:rsidP="004A4720">
            <w:pPr>
              <w:pStyle w:val="Tablecolhead"/>
              <w:rPr>
                <w:lang w:eastAsia="en-AU"/>
              </w:rPr>
            </w:pPr>
            <w:r w:rsidRPr="007D06A2">
              <w:rPr>
                <w:lang w:eastAsia="en-AU"/>
              </w:rPr>
              <w:t>2023</w:t>
            </w:r>
          </w:p>
        </w:tc>
        <w:tc>
          <w:tcPr>
            <w:tcW w:w="1134" w:type="dxa"/>
            <w:hideMark/>
          </w:tcPr>
          <w:p w14:paraId="39ECFAAD" w14:textId="77777777" w:rsidR="00350FD1" w:rsidRPr="007D06A2" w:rsidRDefault="00350FD1" w:rsidP="004A4720">
            <w:pPr>
              <w:pStyle w:val="Tablecolhead"/>
              <w:rPr>
                <w:lang w:eastAsia="en-AU"/>
              </w:rPr>
            </w:pPr>
            <w:r w:rsidRPr="007D06A2">
              <w:rPr>
                <w:lang w:eastAsia="en-AU"/>
              </w:rPr>
              <w:t>2025</w:t>
            </w:r>
          </w:p>
        </w:tc>
        <w:tc>
          <w:tcPr>
            <w:tcW w:w="2108" w:type="dxa"/>
            <w:hideMark/>
          </w:tcPr>
          <w:p w14:paraId="535982E2" w14:textId="4CA8A160" w:rsidR="00350FD1" w:rsidRPr="007D06A2" w:rsidRDefault="003245A0" w:rsidP="004A4720">
            <w:pPr>
              <w:pStyle w:val="Tablecolhead"/>
              <w:rPr>
                <w:lang w:eastAsia="en-AU"/>
              </w:rPr>
            </w:pPr>
            <w:r>
              <w:rPr>
                <w:lang w:eastAsia="en-AU"/>
              </w:rPr>
              <w:t xml:space="preserve">Percentage </w:t>
            </w:r>
            <w:r w:rsidR="003C062F">
              <w:rPr>
                <w:lang w:eastAsia="en-AU"/>
              </w:rPr>
              <w:t>p</w:t>
            </w:r>
            <w:r>
              <w:rPr>
                <w:lang w:eastAsia="en-AU"/>
              </w:rPr>
              <w:t xml:space="preserve">oint </w:t>
            </w:r>
            <w:r w:rsidR="003C062F">
              <w:rPr>
                <w:lang w:eastAsia="en-AU"/>
              </w:rPr>
              <w:t>c</w:t>
            </w:r>
            <w:r w:rsidR="00350FD1" w:rsidRPr="007D06A2">
              <w:rPr>
                <w:lang w:eastAsia="en-AU"/>
              </w:rPr>
              <w:t>hange</w:t>
            </w:r>
            <w:r>
              <w:rPr>
                <w:lang w:eastAsia="en-AU"/>
              </w:rPr>
              <w:t xml:space="preserve"> 2021-2025</w:t>
            </w:r>
          </w:p>
        </w:tc>
        <w:tc>
          <w:tcPr>
            <w:tcW w:w="0" w:type="auto"/>
            <w:hideMark/>
          </w:tcPr>
          <w:p w14:paraId="2BFEEF3F" w14:textId="7CB29318" w:rsidR="00350FD1" w:rsidRPr="007D06A2" w:rsidRDefault="00946852" w:rsidP="004A4720">
            <w:pPr>
              <w:pStyle w:val="Tablecolhead"/>
              <w:rPr>
                <w:lang w:eastAsia="en-AU"/>
              </w:rPr>
            </w:pPr>
            <w:r>
              <w:rPr>
                <w:lang w:eastAsia="en-AU"/>
              </w:rPr>
              <w:t>Progress</w:t>
            </w:r>
          </w:p>
        </w:tc>
      </w:tr>
      <w:tr w:rsidR="00657527" w:rsidRPr="003365E2" w14:paraId="4AE9A111" w14:textId="77777777" w:rsidTr="003C062F">
        <w:tc>
          <w:tcPr>
            <w:tcW w:w="0" w:type="auto"/>
            <w:hideMark/>
          </w:tcPr>
          <w:p w14:paraId="4F878C08" w14:textId="5CD368D2" w:rsidR="00657527" w:rsidRPr="003365E2" w:rsidRDefault="00080103" w:rsidP="004A4720">
            <w:pPr>
              <w:pStyle w:val="Tabletext"/>
              <w:rPr>
                <w:lang w:eastAsia="en-AU"/>
              </w:rPr>
            </w:pPr>
            <w:r>
              <w:rPr>
                <w:lang w:eastAsia="en-AU"/>
              </w:rPr>
              <w:t>Proportion of women</w:t>
            </w:r>
            <w:r w:rsidR="00657527" w:rsidRPr="003365E2">
              <w:rPr>
                <w:lang w:eastAsia="en-AU"/>
              </w:rPr>
              <w:t xml:space="preserve"> members </w:t>
            </w:r>
          </w:p>
        </w:tc>
        <w:tc>
          <w:tcPr>
            <w:tcW w:w="1076" w:type="dxa"/>
            <w:hideMark/>
          </w:tcPr>
          <w:p w14:paraId="1E13F616" w14:textId="356922BF" w:rsidR="00657527" w:rsidRPr="003365E2" w:rsidRDefault="009C0972" w:rsidP="004A4720">
            <w:pPr>
              <w:pStyle w:val="Tabletext"/>
              <w:rPr>
                <w:lang w:eastAsia="en-AU"/>
              </w:rPr>
            </w:pPr>
            <w:r>
              <w:rPr>
                <w:lang w:eastAsia="en-AU"/>
              </w:rPr>
              <w:t>52.</w:t>
            </w:r>
            <w:r w:rsidR="00E76E20">
              <w:rPr>
                <w:lang w:eastAsia="en-AU"/>
              </w:rPr>
              <w:t>2</w:t>
            </w:r>
            <w:r>
              <w:rPr>
                <w:lang w:eastAsia="en-AU"/>
              </w:rPr>
              <w:t>%</w:t>
            </w:r>
          </w:p>
        </w:tc>
        <w:tc>
          <w:tcPr>
            <w:tcW w:w="1134" w:type="dxa"/>
            <w:hideMark/>
          </w:tcPr>
          <w:p w14:paraId="7ED46209" w14:textId="31B85F09" w:rsidR="00657527" w:rsidRPr="003365E2" w:rsidRDefault="009C0972" w:rsidP="004A4720">
            <w:pPr>
              <w:pStyle w:val="Tabletext"/>
              <w:rPr>
                <w:lang w:eastAsia="en-AU"/>
              </w:rPr>
            </w:pPr>
            <w:r>
              <w:rPr>
                <w:lang w:eastAsia="en-AU"/>
              </w:rPr>
              <w:t>54.1%</w:t>
            </w:r>
          </w:p>
        </w:tc>
        <w:tc>
          <w:tcPr>
            <w:tcW w:w="1134" w:type="dxa"/>
            <w:hideMark/>
          </w:tcPr>
          <w:p w14:paraId="34C1EE61" w14:textId="38A17E0A" w:rsidR="00657527" w:rsidRPr="003365E2" w:rsidRDefault="009C0972" w:rsidP="004A4720">
            <w:pPr>
              <w:pStyle w:val="Tabletext"/>
              <w:rPr>
                <w:lang w:eastAsia="en-AU"/>
              </w:rPr>
            </w:pPr>
            <w:r>
              <w:rPr>
                <w:lang w:eastAsia="en-AU"/>
              </w:rPr>
              <w:t>53.9</w:t>
            </w:r>
            <w:r w:rsidR="000C3985">
              <w:rPr>
                <w:lang w:eastAsia="en-AU"/>
              </w:rPr>
              <w:t>%</w:t>
            </w:r>
          </w:p>
        </w:tc>
        <w:tc>
          <w:tcPr>
            <w:tcW w:w="2108" w:type="dxa"/>
            <w:hideMark/>
          </w:tcPr>
          <w:p w14:paraId="0EE2C380" w14:textId="796FCDAC" w:rsidR="00657527" w:rsidRPr="003365E2" w:rsidRDefault="009C0972" w:rsidP="004A4720">
            <w:pPr>
              <w:pStyle w:val="Tabletext"/>
              <w:rPr>
                <w:lang w:eastAsia="en-AU"/>
              </w:rPr>
            </w:pPr>
            <w:r>
              <w:rPr>
                <w:lang w:eastAsia="en-AU"/>
              </w:rPr>
              <w:t>+1.7</w:t>
            </w:r>
            <w:r w:rsidR="003245A0">
              <w:rPr>
                <w:lang w:eastAsia="en-AU"/>
              </w:rPr>
              <w:t>pp</w:t>
            </w:r>
          </w:p>
        </w:tc>
        <w:tc>
          <w:tcPr>
            <w:tcW w:w="0" w:type="auto"/>
            <w:hideMark/>
          </w:tcPr>
          <w:p w14:paraId="2C72CB2F" w14:textId="7C66A28E" w:rsidR="00657527" w:rsidRPr="003365E2" w:rsidRDefault="00EE4163" w:rsidP="004A4720">
            <w:pPr>
              <w:pStyle w:val="Tabletext"/>
              <w:rPr>
                <w:lang w:eastAsia="en-AU"/>
              </w:rPr>
            </w:pPr>
            <w:r>
              <w:rPr>
                <w:rFonts w:cs="Arial"/>
                <w:szCs w:val="21"/>
                <w:lang w:eastAsia="en-AU"/>
              </w:rPr>
              <w:t>Excellent (18</w:t>
            </w:r>
            <w:r w:rsidR="005060C0">
              <w:rPr>
                <w:rFonts w:cs="Arial"/>
                <w:szCs w:val="21"/>
                <w:lang w:eastAsia="en-AU"/>
              </w:rPr>
              <w:t xml:space="preserve"> – Matrix</w:t>
            </w:r>
            <w:r>
              <w:rPr>
                <w:rFonts w:cs="Arial"/>
                <w:szCs w:val="21"/>
                <w:lang w:eastAsia="en-AU"/>
              </w:rPr>
              <w:t>)</w:t>
            </w:r>
          </w:p>
        </w:tc>
      </w:tr>
      <w:tr w:rsidR="00657527" w:rsidRPr="003365E2" w14:paraId="69FD01E4" w14:textId="77777777" w:rsidTr="003C062F">
        <w:tc>
          <w:tcPr>
            <w:tcW w:w="0" w:type="auto"/>
            <w:hideMark/>
          </w:tcPr>
          <w:p w14:paraId="7FD4DE97" w14:textId="7FE358DE" w:rsidR="00657527" w:rsidRPr="003365E2" w:rsidRDefault="00080103" w:rsidP="004A4720">
            <w:pPr>
              <w:pStyle w:val="Tabletext"/>
              <w:rPr>
                <w:lang w:eastAsia="en-AU"/>
              </w:rPr>
            </w:pPr>
            <w:r>
              <w:rPr>
                <w:lang w:eastAsia="en-AU"/>
              </w:rPr>
              <w:t>Proportion of m</w:t>
            </w:r>
            <w:r w:rsidR="00657527" w:rsidRPr="003365E2">
              <w:rPr>
                <w:lang w:eastAsia="en-AU"/>
              </w:rPr>
              <w:t xml:space="preserve">en members </w:t>
            </w:r>
          </w:p>
        </w:tc>
        <w:tc>
          <w:tcPr>
            <w:tcW w:w="1076" w:type="dxa"/>
            <w:hideMark/>
          </w:tcPr>
          <w:p w14:paraId="246C49C2" w14:textId="54A452EA" w:rsidR="00657527" w:rsidRPr="003365E2" w:rsidRDefault="009C0972" w:rsidP="004A4720">
            <w:pPr>
              <w:pStyle w:val="Tabletext"/>
              <w:rPr>
                <w:lang w:eastAsia="en-AU"/>
              </w:rPr>
            </w:pPr>
            <w:r>
              <w:rPr>
                <w:lang w:eastAsia="en-AU"/>
              </w:rPr>
              <w:t>47.8%</w:t>
            </w:r>
          </w:p>
        </w:tc>
        <w:tc>
          <w:tcPr>
            <w:tcW w:w="1134" w:type="dxa"/>
            <w:hideMark/>
          </w:tcPr>
          <w:p w14:paraId="6956578A" w14:textId="23859221" w:rsidR="00657527" w:rsidRPr="003365E2" w:rsidRDefault="009C0972" w:rsidP="004A4720">
            <w:pPr>
              <w:pStyle w:val="Tabletext"/>
              <w:rPr>
                <w:lang w:eastAsia="en-AU"/>
              </w:rPr>
            </w:pPr>
            <w:r>
              <w:rPr>
                <w:lang w:eastAsia="en-AU"/>
              </w:rPr>
              <w:t>45.9%</w:t>
            </w:r>
          </w:p>
        </w:tc>
        <w:tc>
          <w:tcPr>
            <w:tcW w:w="1134" w:type="dxa"/>
            <w:hideMark/>
          </w:tcPr>
          <w:p w14:paraId="30692E96" w14:textId="47083358" w:rsidR="00657527" w:rsidRPr="003365E2" w:rsidRDefault="00C34D60" w:rsidP="004A4720">
            <w:pPr>
              <w:pStyle w:val="Tabletext"/>
              <w:rPr>
                <w:lang w:eastAsia="en-AU"/>
              </w:rPr>
            </w:pPr>
            <w:r>
              <w:rPr>
                <w:lang w:eastAsia="en-AU"/>
              </w:rPr>
              <w:t>46.1%</w:t>
            </w:r>
          </w:p>
        </w:tc>
        <w:tc>
          <w:tcPr>
            <w:tcW w:w="2108" w:type="dxa"/>
            <w:hideMark/>
          </w:tcPr>
          <w:p w14:paraId="4E2D0815" w14:textId="0D666FD9" w:rsidR="00657527" w:rsidRPr="003365E2" w:rsidRDefault="00C34D60" w:rsidP="004A4720">
            <w:pPr>
              <w:pStyle w:val="Tabletext"/>
              <w:rPr>
                <w:lang w:eastAsia="en-AU"/>
              </w:rPr>
            </w:pPr>
            <w:r>
              <w:rPr>
                <w:lang w:eastAsia="en-AU"/>
              </w:rPr>
              <w:t>-1.7</w:t>
            </w:r>
            <w:r w:rsidR="003245A0">
              <w:rPr>
                <w:lang w:eastAsia="en-AU"/>
              </w:rPr>
              <w:t>pp</w:t>
            </w:r>
          </w:p>
        </w:tc>
        <w:tc>
          <w:tcPr>
            <w:tcW w:w="0" w:type="auto"/>
            <w:hideMark/>
          </w:tcPr>
          <w:p w14:paraId="309BF46F" w14:textId="619E633A" w:rsidR="00657527" w:rsidRPr="003365E2" w:rsidRDefault="002234C9" w:rsidP="004A4720">
            <w:pPr>
              <w:pStyle w:val="Tabletext"/>
              <w:rPr>
                <w:lang w:eastAsia="en-AU"/>
              </w:rPr>
            </w:pPr>
            <w:r>
              <w:rPr>
                <w:rFonts w:cs="Arial"/>
                <w:szCs w:val="21"/>
                <w:lang w:eastAsia="en-AU"/>
              </w:rPr>
              <w:t>Excellent (18 – Matrix)</w:t>
            </w:r>
          </w:p>
        </w:tc>
      </w:tr>
      <w:tr w:rsidR="00657527" w:rsidRPr="003365E2" w14:paraId="712A4BCE" w14:textId="77777777" w:rsidTr="003C062F">
        <w:tc>
          <w:tcPr>
            <w:tcW w:w="0" w:type="auto"/>
            <w:hideMark/>
          </w:tcPr>
          <w:p w14:paraId="2A3E712E" w14:textId="769A6B9F" w:rsidR="00657527" w:rsidRPr="003365E2" w:rsidRDefault="00080103" w:rsidP="004A4720">
            <w:pPr>
              <w:pStyle w:val="Tabletext"/>
              <w:rPr>
                <w:lang w:eastAsia="en-AU"/>
              </w:rPr>
            </w:pPr>
            <w:r>
              <w:rPr>
                <w:lang w:eastAsia="en-AU"/>
              </w:rPr>
              <w:t>Proportion of w</w:t>
            </w:r>
            <w:r w:rsidR="00657527">
              <w:rPr>
                <w:lang w:eastAsia="en-AU"/>
              </w:rPr>
              <w:t>omen</w:t>
            </w:r>
            <w:r w:rsidR="00657527" w:rsidRPr="003365E2">
              <w:rPr>
                <w:lang w:eastAsia="en-AU"/>
              </w:rPr>
              <w:t xml:space="preserve"> chairs </w:t>
            </w:r>
          </w:p>
        </w:tc>
        <w:tc>
          <w:tcPr>
            <w:tcW w:w="1076" w:type="dxa"/>
            <w:hideMark/>
          </w:tcPr>
          <w:p w14:paraId="3888B406" w14:textId="0AC62F2F" w:rsidR="00657527" w:rsidRPr="003365E2" w:rsidRDefault="00C34D60" w:rsidP="004A4720">
            <w:pPr>
              <w:pStyle w:val="Tabletext"/>
              <w:rPr>
                <w:lang w:eastAsia="en-AU"/>
              </w:rPr>
            </w:pPr>
            <w:r>
              <w:rPr>
                <w:lang w:eastAsia="en-AU"/>
              </w:rPr>
              <w:t>49.2%</w:t>
            </w:r>
          </w:p>
        </w:tc>
        <w:tc>
          <w:tcPr>
            <w:tcW w:w="1134" w:type="dxa"/>
            <w:hideMark/>
          </w:tcPr>
          <w:p w14:paraId="6F6F1A80" w14:textId="2678BB7D" w:rsidR="00657527" w:rsidRPr="003365E2" w:rsidRDefault="00C34D60" w:rsidP="004A4720">
            <w:pPr>
              <w:pStyle w:val="Tabletext"/>
              <w:rPr>
                <w:lang w:eastAsia="en-AU"/>
              </w:rPr>
            </w:pPr>
            <w:r>
              <w:rPr>
                <w:lang w:eastAsia="en-AU"/>
              </w:rPr>
              <w:t>51.2%</w:t>
            </w:r>
          </w:p>
        </w:tc>
        <w:tc>
          <w:tcPr>
            <w:tcW w:w="1134" w:type="dxa"/>
            <w:hideMark/>
          </w:tcPr>
          <w:p w14:paraId="145895EA" w14:textId="2785A7DC" w:rsidR="00657527" w:rsidRPr="003365E2" w:rsidRDefault="00C34D60" w:rsidP="004A4720">
            <w:pPr>
              <w:pStyle w:val="Tabletext"/>
              <w:rPr>
                <w:lang w:eastAsia="en-AU"/>
              </w:rPr>
            </w:pPr>
            <w:r>
              <w:rPr>
                <w:lang w:eastAsia="en-AU"/>
              </w:rPr>
              <w:t>51.1%</w:t>
            </w:r>
          </w:p>
        </w:tc>
        <w:tc>
          <w:tcPr>
            <w:tcW w:w="2108" w:type="dxa"/>
            <w:hideMark/>
          </w:tcPr>
          <w:p w14:paraId="257BFDC3" w14:textId="25A69959" w:rsidR="00657527" w:rsidRPr="003365E2" w:rsidRDefault="00C34D60" w:rsidP="004A4720">
            <w:pPr>
              <w:pStyle w:val="Tabletext"/>
              <w:rPr>
                <w:lang w:eastAsia="en-AU"/>
              </w:rPr>
            </w:pPr>
            <w:r>
              <w:rPr>
                <w:lang w:eastAsia="en-AU"/>
              </w:rPr>
              <w:t>+1.8</w:t>
            </w:r>
            <w:r w:rsidR="003245A0">
              <w:rPr>
                <w:lang w:eastAsia="en-AU"/>
              </w:rPr>
              <w:t>pp</w:t>
            </w:r>
          </w:p>
        </w:tc>
        <w:tc>
          <w:tcPr>
            <w:tcW w:w="0" w:type="auto"/>
            <w:hideMark/>
          </w:tcPr>
          <w:p w14:paraId="20C2EDD2" w14:textId="755E2075" w:rsidR="00657527" w:rsidRPr="003365E2" w:rsidRDefault="00345E00" w:rsidP="004A4720">
            <w:pPr>
              <w:pStyle w:val="Tabletext"/>
              <w:rPr>
                <w:lang w:eastAsia="en-AU"/>
              </w:rPr>
            </w:pPr>
            <w:r>
              <w:rPr>
                <w:rFonts w:cs="Arial"/>
                <w:szCs w:val="21"/>
                <w:lang w:eastAsia="en-AU"/>
              </w:rPr>
              <w:t>Excellent (18</w:t>
            </w:r>
            <w:r w:rsidR="005060C0">
              <w:rPr>
                <w:rFonts w:cs="Arial"/>
                <w:szCs w:val="21"/>
                <w:lang w:eastAsia="en-AU"/>
              </w:rPr>
              <w:t xml:space="preserve"> – Matrix</w:t>
            </w:r>
            <w:r>
              <w:rPr>
                <w:rFonts w:cs="Arial"/>
                <w:szCs w:val="21"/>
                <w:lang w:eastAsia="en-AU"/>
              </w:rPr>
              <w:t>)</w:t>
            </w:r>
          </w:p>
        </w:tc>
      </w:tr>
    </w:tbl>
    <w:p w14:paraId="2747F898" w14:textId="77777777" w:rsidR="00AE2BAB" w:rsidRDefault="00AE2BAB" w:rsidP="00D36A3C">
      <w:pPr>
        <w:pStyle w:val="Tablefigurenote"/>
      </w:pPr>
      <w:r w:rsidRPr="00136D6E">
        <w:t>Source: Workplace gender audit workforce data, 2021</w:t>
      </w:r>
      <w:r>
        <w:t>, 2023 and 2025.</w:t>
      </w:r>
    </w:p>
    <w:p w14:paraId="1853C44B" w14:textId="486DDA2A" w:rsidR="0019155D" w:rsidRPr="00C27278" w:rsidRDefault="00D36A3C" w:rsidP="00D36A3C">
      <w:pPr>
        <w:pStyle w:val="Tablefigurenote"/>
        <w:rPr>
          <w:b/>
          <w:lang w:eastAsia="en-AU"/>
        </w:rPr>
      </w:pPr>
      <w:r w:rsidRPr="00C27278">
        <w:t xml:space="preserve">Notes: </w:t>
      </w:r>
      <w:r w:rsidRPr="00C27278">
        <w:rPr>
          <w:rFonts w:cs="Arial"/>
          <w:szCs w:val="21"/>
        </w:rPr>
        <w:t xml:space="preserve">To understand how to interpret the different types of progress ratings, see </w:t>
      </w:r>
      <w:hyperlink w:anchor="_Data_measures" w:history="1">
        <w:r w:rsidR="00395C1B">
          <w:rPr>
            <w:rStyle w:val="Hyperlink"/>
            <w:rFonts w:cs="Times New Roman"/>
          </w:rPr>
          <w:t>Data measures</w:t>
        </w:r>
      </w:hyperlink>
      <w:r w:rsidR="00395C1B">
        <w:t xml:space="preserve"> in </w:t>
      </w:r>
      <w:r w:rsidR="00395C1B" w:rsidRPr="00A2089E">
        <w:t>Appendix 1</w:t>
      </w:r>
      <w:r w:rsidR="00395C1B">
        <w:t xml:space="preserve">. </w:t>
      </w:r>
      <w:r w:rsidR="00277FED" w:rsidRPr="00AE1037">
        <w:t xml:space="preserve">The </w:t>
      </w:r>
      <w:r w:rsidR="00277FED">
        <w:t xml:space="preserve">percentage point </w:t>
      </w:r>
      <w:r w:rsidR="00277FED" w:rsidRPr="00AE1037">
        <w:t>change column may not always reflect the exact difference between years due to rounding</w:t>
      </w:r>
      <w:r w:rsidRPr="00C27278">
        <w:t>.</w:t>
      </w:r>
    </w:p>
    <w:p w14:paraId="3536DC3C" w14:textId="3A13007B" w:rsidR="00C66D1D" w:rsidRDefault="00C66D1D" w:rsidP="00361D6D">
      <w:pPr>
        <w:pStyle w:val="Tablecaption"/>
        <w:rPr>
          <w:b w:val="0"/>
          <w:bCs/>
          <w:lang w:eastAsia="en-AU"/>
        </w:rPr>
      </w:pPr>
      <w:r>
        <w:rPr>
          <w:lang w:eastAsia="en-AU"/>
        </w:rPr>
        <w:t>Table</w:t>
      </w:r>
      <w:r w:rsidRPr="00C66D1D">
        <w:rPr>
          <w:lang w:eastAsia="en-AU"/>
        </w:rPr>
        <w:t xml:space="preserve"> 2.</w:t>
      </w:r>
      <w:r w:rsidR="00B14B3C">
        <w:rPr>
          <w:lang w:eastAsia="en-AU"/>
        </w:rPr>
        <w:t>2</w:t>
      </w:r>
      <w:r w:rsidRPr="00C66D1D">
        <w:rPr>
          <w:lang w:eastAsia="en-AU"/>
        </w:rPr>
        <w:t xml:space="preserve">: Governing </w:t>
      </w:r>
      <w:r w:rsidR="00361D6D">
        <w:rPr>
          <w:lang w:eastAsia="en-AU"/>
        </w:rPr>
        <w:t>b</w:t>
      </w:r>
      <w:r w:rsidRPr="00C66D1D">
        <w:rPr>
          <w:lang w:eastAsia="en-AU"/>
        </w:rPr>
        <w:t xml:space="preserve">ody </w:t>
      </w:r>
      <w:r w:rsidR="00361D6D">
        <w:rPr>
          <w:lang w:eastAsia="en-AU"/>
        </w:rPr>
        <w:t>b</w:t>
      </w:r>
      <w:r w:rsidRPr="00C66D1D">
        <w:rPr>
          <w:lang w:eastAsia="en-AU"/>
        </w:rPr>
        <w:t xml:space="preserve">alance </w:t>
      </w:r>
      <w:r w:rsidR="00361D6D">
        <w:rPr>
          <w:lang w:eastAsia="en-AU"/>
        </w:rPr>
        <w:t>p</w:t>
      </w:r>
      <w:r w:rsidRPr="00C66D1D">
        <w:rPr>
          <w:lang w:eastAsia="en-AU"/>
        </w:rPr>
        <w:t xml:space="preserve">rogress by </w:t>
      </w:r>
      <w:r w:rsidR="00361D6D">
        <w:rPr>
          <w:lang w:eastAsia="en-AU"/>
        </w:rPr>
        <w:t>i</w:t>
      </w:r>
      <w:r w:rsidRPr="00C66D1D">
        <w:rPr>
          <w:lang w:eastAsia="en-AU"/>
        </w:rPr>
        <w:t>nd</w:t>
      </w:r>
      <w:r w:rsidRPr="00985F6B">
        <w:rPr>
          <w:lang w:eastAsia="en-AU"/>
        </w:rPr>
        <w:t>ustry</w:t>
      </w:r>
      <w:r w:rsidR="00036622" w:rsidRPr="00985F6B">
        <w:rPr>
          <w:lang w:eastAsia="en-AU"/>
        </w:rPr>
        <w:t xml:space="preserve"> (</w:t>
      </w:r>
      <w:r w:rsidR="00361D6D">
        <w:rPr>
          <w:lang w:eastAsia="en-AU"/>
        </w:rPr>
        <w:t>p</w:t>
      </w:r>
      <w:r w:rsidR="00036622" w:rsidRPr="00985F6B">
        <w:rPr>
          <w:lang w:eastAsia="en-AU"/>
        </w:rPr>
        <w:t xml:space="preserve">ercentage </w:t>
      </w:r>
      <w:r w:rsidR="008F07F7">
        <w:rPr>
          <w:lang w:eastAsia="en-AU"/>
        </w:rPr>
        <w:t xml:space="preserve">of </w:t>
      </w:r>
      <w:r w:rsidR="00036622" w:rsidRPr="00985F6B">
        <w:rPr>
          <w:lang w:eastAsia="en-AU"/>
        </w:rPr>
        <w:t>women members)</w:t>
      </w:r>
    </w:p>
    <w:tbl>
      <w:tblPr>
        <w:tblStyle w:val="CGEPStable"/>
        <w:tblW w:w="0" w:type="auto"/>
        <w:tblLook w:val="04A0" w:firstRow="1" w:lastRow="0" w:firstColumn="1" w:lastColumn="0" w:noHBand="0" w:noVBand="1"/>
      </w:tblPr>
      <w:tblGrid>
        <w:gridCol w:w="1705"/>
        <w:gridCol w:w="1344"/>
        <w:gridCol w:w="1382"/>
        <w:gridCol w:w="1461"/>
        <w:gridCol w:w="1539"/>
        <w:gridCol w:w="1641"/>
      </w:tblGrid>
      <w:tr w:rsidR="00080103" w:rsidRPr="006A2E07" w14:paraId="61E9846B" w14:textId="11C5D894" w:rsidTr="007C1807">
        <w:trPr>
          <w:cnfStyle w:val="100000000000" w:firstRow="1" w:lastRow="0" w:firstColumn="0" w:lastColumn="0" w:oddVBand="0" w:evenVBand="0" w:oddHBand="0" w:evenHBand="0" w:firstRowFirstColumn="0" w:firstRowLastColumn="0" w:lastRowFirstColumn="0" w:lastRowLastColumn="0"/>
        </w:trPr>
        <w:tc>
          <w:tcPr>
            <w:tcW w:w="1705" w:type="dxa"/>
            <w:hideMark/>
          </w:tcPr>
          <w:p w14:paraId="32BB9901" w14:textId="4A5EFD8F" w:rsidR="00080103" w:rsidRPr="006A2E07" w:rsidRDefault="00080103" w:rsidP="00361D6D">
            <w:pPr>
              <w:pStyle w:val="Tablecolhead"/>
              <w:rPr>
                <w:lang w:eastAsia="en-AU"/>
              </w:rPr>
            </w:pPr>
            <w:r w:rsidRPr="006A2E07">
              <w:rPr>
                <w:lang w:eastAsia="en-AU"/>
              </w:rPr>
              <w:t>Industry</w:t>
            </w:r>
          </w:p>
        </w:tc>
        <w:tc>
          <w:tcPr>
            <w:tcW w:w="1344" w:type="dxa"/>
          </w:tcPr>
          <w:p w14:paraId="07C36AC9" w14:textId="7E574DDB" w:rsidR="00080103" w:rsidRPr="006A2E07" w:rsidRDefault="00080103" w:rsidP="00361D6D">
            <w:pPr>
              <w:pStyle w:val="Tablecolhead"/>
              <w:rPr>
                <w:lang w:eastAsia="en-AU"/>
              </w:rPr>
            </w:pPr>
            <w:r>
              <w:rPr>
                <w:lang w:eastAsia="en-AU"/>
              </w:rPr>
              <w:t>2021</w:t>
            </w:r>
          </w:p>
        </w:tc>
        <w:tc>
          <w:tcPr>
            <w:tcW w:w="1382" w:type="dxa"/>
          </w:tcPr>
          <w:p w14:paraId="0D6E9620" w14:textId="5B2008B2" w:rsidR="00080103" w:rsidRPr="006A2E07" w:rsidRDefault="00080103" w:rsidP="00361D6D">
            <w:pPr>
              <w:pStyle w:val="Tablecolhead"/>
              <w:rPr>
                <w:lang w:eastAsia="en-AU"/>
              </w:rPr>
            </w:pPr>
            <w:r>
              <w:rPr>
                <w:lang w:eastAsia="en-AU"/>
              </w:rPr>
              <w:t xml:space="preserve">2023 </w:t>
            </w:r>
          </w:p>
        </w:tc>
        <w:tc>
          <w:tcPr>
            <w:tcW w:w="1461" w:type="dxa"/>
          </w:tcPr>
          <w:p w14:paraId="1393A090" w14:textId="0D56BAEE" w:rsidR="00080103" w:rsidRPr="006A2E07" w:rsidRDefault="00080103" w:rsidP="00361D6D">
            <w:pPr>
              <w:pStyle w:val="Tablecolhead"/>
              <w:rPr>
                <w:lang w:eastAsia="en-AU"/>
              </w:rPr>
            </w:pPr>
            <w:r>
              <w:rPr>
                <w:lang w:eastAsia="en-AU"/>
              </w:rPr>
              <w:t xml:space="preserve">2025 </w:t>
            </w:r>
          </w:p>
        </w:tc>
        <w:tc>
          <w:tcPr>
            <w:tcW w:w="1539" w:type="dxa"/>
          </w:tcPr>
          <w:p w14:paraId="60034F51" w14:textId="66BF20C7" w:rsidR="00080103" w:rsidRDefault="003245A0" w:rsidP="00361D6D">
            <w:pPr>
              <w:pStyle w:val="Tablecolhead"/>
              <w:rPr>
                <w:lang w:eastAsia="en-AU"/>
              </w:rPr>
            </w:pPr>
            <w:r>
              <w:rPr>
                <w:lang w:eastAsia="en-AU"/>
              </w:rPr>
              <w:t xml:space="preserve">Percentage </w:t>
            </w:r>
            <w:r w:rsidR="001E7C50">
              <w:rPr>
                <w:lang w:eastAsia="en-AU"/>
              </w:rPr>
              <w:t>p</w:t>
            </w:r>
            <w:r>
              <w:rPr>
                <w:lang w:eastAsia="en-AU"/>
              </w:rPr>
              <w:t xml:space="preserve">oint </w:t>
            </w:r>
            <w:r w:rsidR="001E7C50">
              <w:rPr>
                <w:lang w:eastAsia="en-AU"/>
              </w:rPr>
              <w:t>c</w:t>
            </w:r>
            <w:r>
              <w:rPr>
                <w:lang w:eastAsia="en-AU"/>
              </w:rPr>
              <w:t xml:space="preserve">hange </w:t>
            </w:r>
            <w:r w:rsidR="00080103">
              <w:rPr>
                <w:lang w:eastAsia="en-AU"/>
              </w:rPr>
              <w:t>2021</w:t>
            </w:r>
            <w:r w:rsidR="00BE46C0">
              <w:rPr>
                <w:lang w:eastAsia="en-AU"/>
              </w:rPr>
              <w:t>-</w:t>
            </w:r>
            <w:r w:rsidR="00080103">
              <w:rPr>
                <w:lang w:eastAsia="en-AU"/>
              </w:rPr>
              <w:t xml:space="preserve">2025 </w:t>
            </w:r>
          </w:p>
        </w:tc>
        <w:tc>
          <w:tcPr>
            <w:tcW w:w="1641" w:type="dxa"/>
          </w:tcPr>
          <w:p w14:paraId="5B1285FB" w14:textId="4D6F8930" w:rsidR="00080103" w:rsidRDefault="00080103" w:rsidP="00361D6D">
            <w:pPr>
              <w:pStyle w:val="Tablecolhead"/>
              <w:rPr>
                <w:lang w:eastAsia="en-AU"/>
              </w:rPr>
            </w:pPr>
            <w:r>
              <w:rPr>
                <w:lang w:eastAsia="en-AU"/>
              </w:rPr>
              <w:t>Progress</w:t>
            </w:r>
          </w:p>
        </w:tc>
      </w:tr>
      <w:tr w:rsidR="00080103" w14:paraId="01916F33" w14:textId="1F873790" w:rsidTr="007C1807">
        <w:tc>
          <w:tcPr>
            <w:tcW w:w="1705" w:type="dxa"/>
          </w:tcPr>
          <w:p w14:paraId="5689DA88" w14:textId="77777777" w:rsidR="00080103" w:rsidRDefault="00080103" w:rsidP="00361D6D">
            <w:pPr>
              <w:pStyle w:val="Tabletext"/>
              <w:rPr>
                <w:lang w:eastAsia="en-AU"/>
              </w:rPr>
            </w:pPr>
            <w:r>
              <w:rPr>
                <w:lang w:eastAsia="en-AU"/>
              </w:rPr>
              <w:t>Community and cultural services</w:t>
            </w:r>
          </w:p>
        </w:tc>
        <w:tc>
          <w:tcPr>
            <w:tcW w:w="1344" w:type="dxa"/>
          </w:tcPr>
          <w:p w14:paraId="39FFEDCE" w14:textId="6D3B76E6" w:rsidR="00080103" w:rsidRDefault="00C44755" w:rsidP="00361D6D">
            <w:pPr>
              <w:pStyle w:val="Tabletext"/>
              <w:rPr>
                <w:lang w:eastAsia="en-AU"/>
              </w:rPr>
            </w:pPr>
            <w:r>
              <w:rPr>
                <w:lang w:eastAsia="en-AU"/>
              </w:rPr>
              <w:t>56.1%</w:t>
            </w:r>
          </w:p>
        </w:tc>
        <w:tc>
          <w:tcPr>
            <w:tcW w:w="1382" w:type="dxa"/>
          </w:tcPr>
          <w:p w14:paraId="52038EEA" w14:textId="6882C7CD" w:rsidR="00080103" w:rsidRDefault="00583CA3" w:rsidP="00361D6D">
            <w:pPr>
              <w:pStyle w:val="Tabletext"/>
              <w:rPr>
                <w:lang w:eastAsia="en-AU"/>
              </w:rPr>
            </w:pPr>
            <w:r>
              <w:rPr>
                <w:lang w:eastAsia="en-AU"/>
              </w:rPr>
              <w:t>57.7%</w:t>
            </w:r>
          </w:p>
        </w:tc>
        <w:tc>
          <w:tcPr>
            <w:tcW w:w="1461" w:type="dxa"/>
          </w:tcPr>
          <w:p w14:paraId="68055D29" w14:textId="59CC05C9" w:rsidR="00080103" w:rsidRDefault="00583CA3" w:rsidP="00361D6D">
            <w:pPr>
              <w:pStyle w:val="Tabletext"/>
              <w:rPr>
                <w:lang w:eastAsia="en-AU"/>
              </w:rPr>
            </w:pPr>
            <w:r>
              <w:rPr>
                <w:lang w:eastAsia="en-AU"/>
              </w:rPr>
              <w:t>55.2%</w:t>
            </w:r>
          </w:p>
        </w:tc>
        <w:tc>
          <w:tcPr>
            <w:tcW w:w="1539" w:type="dxa"/>
          </w:tcPr>
          <w:p w14:paraId="1AEE07E1" w14:textId="131F19AC" w:rsidR="00080103" w:rsidRDefault="00583CA3" w:rsidP="00361D6D">
            <w:pPr>
              <w:pStyle w:val="Tabletext"/>
              <w:rPr>
                <w:lang w:eastAsia="en-AU"/>
              </w:rPr>
            </w:pPr>
            <w:r>
              <w:rPr>
                <w:lang w:eastAsia="en-AU"/>
              </w:rPr>
              <w:t>-0.9</w:t>
            </w:r>
            <w:r w:rsidR="003245A0">
              <w:rPr>
                <w:lang w:eastAsia="en-AU"/>
              </w:rPr>
              <w:t>pp</w:t>
            </w:r>
          </w:p>
        </w:tc>
        <w:tc>
          <w:tcPr>
            <w:tcW w:w="1641" w:type="dxa"/>
          </w:tcPr>
          <w:p w14:paraId="0AB701B1" w14:textId="2ACF3B3F" w:rsidR="00080103" w:rsidRDefault="0043176B" w:rsidP="00361D6D">
            <w:pPr>
              <w:pStyle w:val="Tabletext"/>
              <w:rPr>
                <w:lang w:eastAsia="en-AU"/>
              </w:rPr>
            </w:pPr>
            <w:r>
              <w:rPr>
                <w:rFonts w:cs="Arial"/>
                <w:szCs w:val="21"/>
                <w:lang w:eastAsia="en-AU"/>
              </w:rPr>
              <w:t>Moderate (9</w:t>
            </w:r>
            <w:r w:rsidR="005060C0">
              <w:rPr>
                <w:rFonts w:cs="Arial"/>
                <w:szCs w:val="21"/>
                <w:lang w:eastAsia="en-AU"/>
              </w:rPr>
              <w:t xml:space="preserve"> – Matrix</w:t>
            </w:r>
            <w:r>
              <w:rPr>
                <w:rFonts w:cs="Arial"/>
                <w:szCs w:val="21"/>
                <w:lang w:eastAsia="en-AU"/>
              </w:rPr>
              <w:t>)</w:t>
            </w:r>
          </w:p>
        </w:tc>
      </w:tr>
      <w:tr w:rsidR="00080103" w:rsidRPr="00406DA3" w14:paraId="5ED2977F" w14:textId="3478D66A" w:rsidTr="007C1807">
        <w:tc>
          <w:tcPr>
            <w:tcW w:w="1705" w:type="dxa"/>
            <w:hideMark/>
          </w:tcPr>
          <w:p w14:paraId="43639832" w14:textId="77777777" w:rsidR="00080103" w:rsidRPr="00406DA3" w:rsidRDefault="00080103" w:rsidP="00361D6D">
            <w:pPr>
              <w:pStyle w:val="Tabletext"/>
              <w:rPr>
                <w:lang w:eastAsia="en-AU"/>
              </w:rPr>
            </w:pPr>
            <w:r>
              <w:rPr>
                <w:lang w:eastAsia="en-AU"/>
              </w:rPr>
              <w:t>Finance and insurance</w:t>
            </w:r>
          </w:p>
        </w:tc>
        <w:tc>
          <w:tcPr>
            <w:tcW w:w="1344" w:type="dxa"/>
          </w:tcPr>
          <w:p w14:paraId="59CE6545" w14:textId="0116E319" w:rsidR="00080103" w:rsidRDefault="00583CA3" w:rsidP="00361D6D">
            <w:pPr>
              <w:pStyle w:val="Tabletext"/>
              <w:rPr>
                <w:lang w:eastAsia="en-AU"/>
              </w:rPr>
            </w:pPr>
            <w:r>
              <w:rPr>
                <w:lang w:eastAsia="en-AU"/>
              </w:rPr>
              <w:t>55.3%</w:t>
            </w:r>
          </w:p>
        </w:tc>
        <w:tc>
          <w:tcPr>
            <w:tcW w:w="1382" w:type="dxa"/>
          </w:tcPr>
          <w:p w14:paraId="170A0E12" w14:textId="0F4E57D8" w:rsidR="00080103" w:rsidRDefault="00583CA3" w:rsidP="00361D6D">
            <w:pPr>
              <w:pStyle w:val="Tabletext"/>
              <w:rPr>
                <w:lang w:eastAsia="en-AU"/>
              </w:rPr>
            </w:pPr>
            <w:r>
              <w:rPr>
                <w:lang w:eastAsia="en-AU"/>
              </w:rPr>
              <w:t>56.0%</w:t>
            </w:r>
          </w:p>
        </w:tc>
        <w:tc>
          <w:tcPr>
            <w:tcW w:w="1461" w:type="dxa"/>
          </w:tcPr>
          <w:p w14:paraId="4C479AAE" w14:textId="6BFDB586" w:rsidR="00080103" w:rsidRDefault="00583CA3" w:rsidP="00361D6D">
            <w:pPr>
              <w:pStyle w:val="Tabletext"/>
              <w:rPr>
                <w:lang w:eastAsia="en-AU"/>
              </w:rPr>
            </w:pPr>
            <w:r>
              <w:rPr>
                <w:lang w:eastAsia="en-AU"/>
              </w:rPr>
              <w:t>56.8%</w:t>
            </w:r>
          </w:p>
        </w:tc>
        <w:tc>
          <w:tcPr>
            <w:tcW w:w="1539" w:type="dxa"/>
          </w:tcPr>
          <w:p w14:paraId="00D6C604" w14:textId="4EF879EB" w:rsidR="00080103" w:rsidRDefault="00583CA3" w:rsidP="00361D6D">
            <w:pPr>
              <w:pStyle w:val="Tabletext"/>
              <w:rPr>
                <w:lang w:eastAsia="en-AU"/>
              </w:rPr>
            </w:pPr>
            <w:r>
              <w:rPr>
                <w:lang w:eastAsia="en-AU"/>
              </w:rPr>
              <w:t>+1.5</w:t>
            </w:r>
            <w:r w:rsidR="003245A0">
              <w:rPr>
                <w:lang w:eastAsia="en-AU"/>
              </w:rPr>
              <w:t>pp</w:t>
            </w:r>
          </w:p>
        </w:tc>
        <w:tc>
          <w:tcPr>
            <w:tcW w:w="1641" w:type="dxa"/>
          </w:tcPr>
          <w:p w14:paraId="36079896" w14:textId="703A2D3F" w:rsidR="00080103" w:rsidRDefault="0043176B" w:rsidP="00361D6D">
            <w:pPr>
              <w:pStyle w:val="Tabletext"/>
              <w:rPr>
                <w:lang w:eastAsia="en-AU"/>
              </w:rPr>
            </w:pPr>
            <w:r>
              <w:rPr>
                <w:rFonts w:cs="Arial"/>
                <w:szCs w:val="21"/>
                <w:lang w:eastAsia="en-AU"/>
              </w:rPr>
              <w:t>Moderate</w:t>
            </w:r>
            <w:r w:rsidR="007C1807">
              <w:rPr>
                <w:rFonts w:cs="Arial"/>
                <w:szCs w:val="21"/>
                <w:lang w:eastAsia="en-AU"/>
              </w:rPr>
              <w:t xml:space="preserve"> (9</w:t>
            </w:r>
            <w:r w:rsidR="005060C0">
              <w:rPr>
                <w:rFonts w:cs="Arial"/>
                <w:szCs w:val="21"/>
                <w:lang w:eastAsia="en-AU"/>
              </w:rPr>
              <w:t xml:space="preserve"> – Matrix</w:t>
            </w:r>
            <w:r w:rsidR="007C1807">
              <w:rPr>
                <w:rFonts w:cs="Arial"/>
                <w:szCs w:val="21"/>
                <w:lang w:eastAsia="en-AU"/>
              </w:rPr>
              <w:t>)</w:t>
            </w:r>
          </w:p>
        </w:tc>
      </w:tr>
      <w:tr w:rsidR="00080103" w:rsidRPr="00406DA3" w14:paraId="487083F0" w14:textId="3A645CC2" w:rsidTr="007C1807">
        <w:tc>
          <w:tcPr>
            <w:tcW w:w="1705" w:type="dxa"/>
            <w:hideMark/>
          </w:tcPr>
          <w:p w14:paraId="500AC691" w14:textId="77777777" w:rsidR="00080103" w:rsidRPr="00406DA3" w:rsidRDefault="00080103" w:rsidP="00361D6D">
            <w:pPr>
              <w:pStyle w:val="Tabletext"/>
              <w:rPr>
                <w:lang w:eastAsia="en-AU"/>
              </w:rPr>
            </w:pPr>
            <w:r w:rsidRPr="00406DA3">
              <w:rPr>
                <w:lang w:eastAsia="en-AU"/>
              </w:rPr>
              <w:t>Local government</w:t>
            </w:r>
          </w:p>
        </w:tc>
        <w:tc>
          <w:tcPr>
            <w:tcW w:w="1344" w:type="dxa"/>
          </w:tcPr>
          <w:p w14:paraId="16141C36" w14:textId="02F46F87" w:rsidR="00080103" w:rsidRPr="00406DA3" w:rsidRDefault="00583CA3" w:rsidP="00361D6D">
            <w:pPr>
              <w:pStyle w:val="Tabletext"/>
              <w:rPr>
                <w:lang w:eastAsia="en-AU"/>
              </w:rPr>
            </w:pPr>
            <w:r>
              <w:rPr>
                <w:lang w:eastAsia="en-AU"/>
              </w:rPr>
              <w:t>45.6%</w:t>
            </w:r>
          </w:p>
        </w:tc>
        <w:tc>
          <w:tcPr>
            <w:tcW w:w="1382" w:type="dxa"/>
          </w:tcPr>
          <w:p w14:paraId="70A5D98E" w14:textId="2F4CA892" w:rsidR="00080103" w:rsidRPr="00406DA3" w:rsidRDefault="00583CA3" w:rsidP="00361D6D">
            <w:pPr>
              <w:pStyle w:val="Tabletext"/>
              <w:rPr>
                <w:lang w:eastAsia="en-AU"/>
              </w:rPr>
            </w:pPr>
            <w:r>
              <w:rPr>
                <w:lang w:eastAsia="en-AU"/>
              </w:rPr>
              <w:t>45.9%</w:t>
            </w:r>
          </w:p>
        </w:tc>
        <w:tc>
          <w:tcPr>
            <w:tcW w:w="1461" w:type="dxa"/>
          </w:tcPr>
          <w:p w14:paraId="06AAD60C" w14:textId="71F59887" w:rsidR="00080103" w:rsidRPr="00406DA3" w:rsidRDefault="00583CA3" w:rsidP="00361D6D">
            <w:pPr>
              <w:pStyle w:val="Tabletext"/>
              <w:rPr>
                <w:lang w:eastAsia="en-AU"/>
              </w:rPr>
            </w:pPr>
            <w:r>
              <w:rPr>
                <w:lang w:eastAsia="en-AU"/>
              </w:rPr>
              <w:t>44.2%</w:t>
            </w:r>
          </w:p>
        </w:tc>
        <w:tc>
          <w:tcPr>
            <w:tcW w:w="1539" w:type="dxa"/>
          </w:tcPr>
          <w:p w14:paraId="0AD1C488" w14:textId="560D27D7" w:rsidR="00080103" w:rsidRPr="00406DA3" w:rsidRDefault="00583CA3" w:rsidP="00361D6D">
            <w:pPr>
              <w:pStyle w:val="Tabletext"/>
              <w:rPr>
                <w:lang w:eastAsia="en-AU"/>
              </w:rPr>
            </w:pPr>
            <w:r>
              <w:rPr>
                <w:lang w:eastAsia="en-AU"/>
              </w:rPr>
              <w:t>-1.4</w:t>
            </w:r>
            <w:r w:rsidR="003245A0">
              <w:rPr>
                <w:lang w:eastAsia="en-AU"/>
              </w:rPr>
              <w:t>pp</w:t>
            </w:r>
          </w:p>
        </w:tc>
        <w:tc>
          <w:tcPr>
            <w:tcW w:w="1641" w:type="dxa"/>
          </w:tcPr>
          <w:p w14:paraId="53DA2D5A" w14:textId="73C7F04A" w:rsidR="00080103" w:rsidRPr="00406DA3" w:rsidRDefault="001B0A99" w:rsidP="00361D6D">
            <w:pPr>
              <w:pStyle w:val="Tabletext"/>
              <w:rPr>
                <w:lang w:eastAsia="en-AU"/>
              </w:rPr>
            </w:pPr>
            <w:r>
              <w:rPr>
                <w:rFonts w:cs="Arial"/>
                <w:szCs w:val="21"/>
                <w:lang w:eastAsia="en-AU"/>
              </w:rPr>
              <w:t>Moderate (9</w:t>
            </w:r>
            <w:r w:rsidR="005060C0">
              <w:rPr>
                <w:rFonts w:cs="Arial"/>
                <w:szCs w:val="21"/>
                <w:lang w:eastAsia="en-AU"/>
              </w:rPr>
              <w:t xml:space="preserve"> – Matrix</w:t>
            </w:r>
            <w:r>
              <w:rPr>
                <w:rFonts w:cs="Arial"/>
                <w:szCs w:val="21"/>
                <w:lang w:eastAsia="en-AU"/>
              </w:rPr>
              <w:t>)</w:t>
            </w:r>
          </w:p>
        </w:tc>
      </w:tr>
      <w:tr w:rsidR="00080103" w:rsidRPr="00406DA3" w14:paraId="6A3C566F" w14:textId="2D367443" w:rsidTr="003245A0">
        <w:trPr>
          <w:trHeight w:val="792"/>
        </w:trPr>
        <w:tc>
          <w:tcPr>
            <w:tcW w:w="1705" w:type="dxa"/>
            <w:hideMark/>
          </w:tcPr>
          <w:p w14:paraId="1F82712C" w14:textId="77777777" w:rsidR="00080103" w:rsidRPr="00406DA3" w:rsidRDefault="00080103" w:rsidP="00361D6D">
            <w:pPr>
              <w:pStyle w:val="Tabletext"/>
              <w:rPr>
                <w:lang w:eastAsia="en-AU"/>
              </w:rPr>
            </w:pPr>
            <w:r>
              <w:rPr>
                <w:lang w:eastAsia="en-AU"/>
              </w:rPr>
              <w:t>Other</w:t>
            </w:r>
          </w:p>
        </w:tc>
        <w:tc>
          <w:tcPr>
            <w:tcW w:w="1344" w:type="dxa"/>
          </w:tcPr>
          <w:p w14:paraId="2D4294D2" w14:textId="387E78CF" w:rsidR="00080103" w:rsidRDefault="00CF397E" w:rsidP="00361D6D">
            <w:pPr>
              <w:pStyle w:val="Tabletext"/>
              <w:rPr>
                <w:lang w:eastAsia="en-AU"/>
              </w:rPr>
            </w:pPr>
            <w:r>
              <w:rPr>
                <w:lang w:eastAsia="en-AU"/>
              </w:rPr>
              <w:t>54.8%</w:t>
            </w:r>
          </w:p>
        </w:tc>
        <w:tc>
          <w:tcPr>
            <w:tcW w:w="1382" w:type="dxa"/>
          </w:tcPr>
          <w:p w14:paraId="65C0CB1D" w14:textId="10371639" w:rsidR="00080103" w:rsidRDefault="00CF397E" w:rsidP="00361D6D">
            <w:pPr>
              <w:pStyle w:val="Tabletext"/>
              <w:rPr>
                <w:lang w:eastAsia="en-AU"/>
              </w:rPr>
            </w:pPr>
            <w:r>
              <w:rPr>
                <w:lang w:eastAsia="en-AU"/>
              </w:rPr>
              <w:t>60.0%</w:t>
            </w:r>
          </w:p>
        </w:tc>
        <w:tc>
          <w:tcPr>
            <w:tcW w:w="1461" w:type="dxa"/>
          </w:tcPr>
          <w:p w14:paraId="0C4DE9AB" w14:textId="202D0C65" w:rsidR="00080103" w:rsidRDefault="00CF397E" w:rsidP="00361D6D">
            <w:pPr>
              <w:pStyle w:val="Tabletext"/>
              <w:rPr>
                <w:lang w:eastAsia="en-AU"/>
              </w:rPr>
            </w:pPr>
            <w:r>
              <w:rPr>
                <w:lang w:eastAsia="en-AU"/>
              </w:rPr>
              <w:t>59.0%</w:t>
            </w:r>
          </w:p>
        </w:tc>
        <w:tc>
          <w:tcPr>
            <w:tcW w:w="1539" w:type="dxa"/>
          </w:tcPr>
          <w:p w14:paraId="3D055875" w14:textId="0E7370B4" w:rsidR="00080103" w:rsidRDefault="00CF397E" w:rsidP="00361D6D">
            <w:pPr>
              <w:pStyle w:val="Tabletext"/>
              <w:rPr>
                <w:lang w:eastAsia="en-AU"/>
              </w:rPr>
            </w:pPr>
            <w:r>
              <w:rPr>
                <w:lang w:eastAsia="en-AU"/>
              </w:rPr>
              <w:t>+4.1</w:t>
            </w:r>
            <w:r w:rsidR="003245A0">
              <w:rPr>
                <w:lang w:eastAsia="en-AU"/>
              </w:rPr>
              <w:t>pp</w:t>
            </w:r>
          </w:p>
        </w:tc>
        <w:tc>
          <w:tcPr>
            <w:tcW w:w="1641" w:type="dxa"/>
          </w:tcPr>
          <w:p w14:paraId="6DBBBECE" w14:textId="7F21827C" w:rsidR="00080103" w:rsidRDefault="00775E49" w:rsidP="00361D6D">
            <w:pPr>
              <w:pStyle w:val="Tabletext"/>
              <w:rPr>
                <w:lang w:eastAsia="en-AU"/>
              </w:rPr>
            </w:pPr>
            <w:r>
              <w:rPr>
                <w:rFonts w:cs="Arial"/>
                <w:szCs w:val="21"/>
                <w:lang w:eastAsia="en-AU"/>
              </w:rPr>
              <w:t>Poor (6</w:t>
            </w:r>
            <w:r w:rsidR="005060C0">
              <w:rPr>
                <w:rFonts w:cs="Arial"/>
                <w:szCs w:val="21"/>
                <w:lang w:eastAsia="en-AU"/>
              </w:rPr>
              <w:t xml:space="preserve"> – Matrix</w:t>
            </w:r>
            <w:r>
              <w:rPr>
                <w:rFonts w:cs="Arial"/>
                <w:szCs w:val="21"/>
                <w:lang w:eastAsia="en-AU"/>
              </w:rPr>
              <w:t>)</w:t>
            </w:r>
          </w:p>
        </w:tc>
      </w:tr>
      <w:tr w:rsidR="00080103" w:rsidRPr="00406DA3" w14:paraId="7921F479" w14:textId="21D9B270" w:rsidTr="007C1807">
        <w:tc>
          <w:tcPr>
            <w:tcW w:w="1705" w:type="dxa"/>
            <w:hideMark/>
          </w:tcPr>
          <w:p w14:paraId="27CCDC08" w14:textId="77777777" w:rsidR="00080103" w:rsidRPr="00406DA3" w:rsidRDefault="00080103" w:rsidP="00361D6D">
            <w:pPr>
              <w:pStyle w:val="Tabletext"/>
              <w:rPr>
                <w:lang w:eastAsia="en-AU"/>
              </w:rPr>
            </w:pPr>
            <w:r w:rsidRPr="00406DA3">
              <w:rPr>
                <w:lang w:eastAsia="en-AU"/>
              </w:rPr>
              <w:t>Police and emergency services</w:t>
            </w:r>
          </w:p>
        </w:tc>
        <w:tc>
          <w:tcPr>
            <w:tcW w:w="1344" w:type="dxa"/>
          </w:tcPr>
          <w:p w14:paraId="54ACF7AA" w14:textId="0A0FD781" w:rsidR="00080103" w:rsidRPr="00406DA3" w:rsidRDefault="00CF397E" w:rsidP="00361D6D">
            <w:pPr>
              <w:pStyle w:val="Tabletext"/>
              <w:rPr>
                <w:lang w:eastAsia="en-AU"/>
              </w:rPr>
            </w:pPr>
            <w:r>
              <w:rPr>
                <w:lang w:eastAsia="en-AU"/>
              </w:rPr>
              <w:t>51.0%</w:t>
            </w:r>
          </w:p>
        </w:tc>
        <w:tc>
          <w:tcPr>
            <w:tcW w:w="1382" w:type="dxa"/>
          </w:tcPr>
          <w:p w14:paraId="501889FA" w14:textId="0A3898A2" w:rsidR="00080103" w:rsidRPr="00406DA3" w:rsidRDefault="00CF397E" w:rsidP="00361D6D">
            <w:pPr>
              <w:pStyle w:val="Tabletext"/>
              <w:rPr>
                <w:lang w:eastAsia="en-AU"/>
              </w:rPr>
            </w:pPr>
            <w:r>
              <w:rPr>
                <w:lang w:eastAsia="en-AU"/>
              </w:rPr>
              <w:t>56.1%</w:t>
            </w:r>
          </w:p>
        </w:tc>
        <w:tc>
          <w:tcPr>
            <w:tcW w:w="1461" w:type="dxa"/>
          </w:tcPr>
          <w:p w14:paraId="0B9948BB" w14:textId="05EB5AB5" w:rsidR="00080103" w:rsidRPr="00406DA3" w:rsidRDefault="00CF397E" w:rsidP="00361D6D">
            <w:pPr>
              <w:pStyle w:val="Tabletext"/>
              <w:rPr>
                <w:lang w:eastAsia="en-AU"/>
              </w:rPr>
            </w:pPr>
            <w:r>
              <w:rPr>
                <w:lang w:eastAsia="en-AU"/>
              </w:rPr>
              <w:t>52.</w:t>
            </w:r>
            <w:r w:rsidR="00850989">
              <w:rPr>
                <w:lang w:eastAsia="en-AU"/>
              </w:rPr>
              <w:t>8%</w:t>
            </w:r>
          </w:p>
        </w:tc>
        <w:tc>
          <w:tcPr>
            <w:tcW w:w="1539" w:type="dxa"/>
          </w:tcPr>
          <w:p w14:paraId="27C4AD97" w14:textId="0AE4FF37" w:rsidR="00080103" w:rsidRPr="00406DA3" w:rsidRDefault="00BF20FA" w:rsidP="00361D6D">
            <w:pPr>
              <w:pStyle w:val="Tabletext"/>
              <w:rPr>
                <w:lang w:eastAsia="en-AU"/>
              </w:rPr>
            </w:pPr>
            <w:r>
              <w:rPr>
                <w:lang w:eastAsia="en-AU"/>
              </w:rPr>
              <w:t>+</w:t>
            </w:r>
            <w:r w:rsidR="00850989">
              <w:rPr>
                <w:lang w:eastAsia="en-AU"/>
              </w:rPr>
              <w:t>1.8</w:t>
            </w:r>
            <w:r w:rsidR="003245A0">
              <w:rPr>
                <w:lang w:eastAsia="en-AU"/>
              </w:rPr>
              <w:t>pp</w:t>
            </w:r>
          </w:p>
        </w:tc>
        <w:tc>
          <w:tcPr>
            <w:tcW w:w="1641" w:type="dxa"/>
          </w:tcPr>
          <w:p w14:paraId="4FB8B91E" w14:textId="6A23B78B" w:rsidR="00080103" w:rsidRPr="00406DA3" w:rsidRDefault="00775E49" w:rsidP="00361D6D">
            <w:pPr>
              <w:pStyle w:val="Tabletext"/>
              <w:rPr>
                <w:lang w:eastAsia="en-AU"/>
              </w:rPr>
            </w:pPr>
            <w:r>
              <w:rPr>
                <w:rFonts w:cs="Arial"/>
                <w:szCs w:val="21"/>
                <w:lang w:eastAsia="en-AU"/>
              </w:rPr>
              <w:t>Excellent (</w:t>
            </w:r>
            <w:r w:rsidR="00A87FBF">
              <w:rPr>
                <w:rFonts w:cs="Arial"/>
                <w:szCs w:val="21"/>
                <w:lang w:eastAsia="en-AU"/>
              </w:rPr>
              <w:t>18</w:t>
            </w:r>
            <w:r w:rsidR="005060C0">
              <w:rPr>
                <w:rFonts w:cs="Arial"/>
                <w:szCs w:val="21"/>
                <w:lang w:eastAsia="en-AU"/>
              </w:rPr>
              <w:t xml:space="preserve"> – Matrix</w:t>
            </w:r>
            <w:r w:rsidR="00A87FBF">
              <w:rPr>
                <w:rFonts w:cs="Arial"/>
                <w:szCs w:val="21"/>
                <w:lang w:eastAsia="en-AU"/>
              </w:rPr>
              <w:t>)</w:t>
            </w:r>
          </w:p>
        </w:tc>
      </w:tr>
      <w:tr w:rsidR="00080103" w:rsidRPr="00406DA3" w14:paraId="49F94A25" w14:textId="0B10902D" w:rsidTr="007C1807">
        <w:tc>
          <w:tcPr>
            <w:tcW w:w="1705" w:type="dxa"/>
          </w:tcPr>
          <w:p w14:paraId="26ACB06F" w14:textId="77777777" w:rsidR="00080103" w:rsidRPr="00406DA3" w:rsidRDefault="00080103" w:rsidP="00361D6D">
            <w:pPr>
              <w:pStyle w:val="Tabletext"/>
              <w:rPr>
                <w:lang w:eastAsia="en-AU"/>
              </w:rPr>
            </w:pPr>
            <w:r w:rsidRPr="00406DA3">
              <w:rPr>
                <w:lang w:eastAsia="en-AU"/>
              </w:rPr>
              <w:lastRenderedPageBreak/>
              <w:t>Public health care</w:t>
            </w:r>
          </w:p>
        </w:tc>
        <w:tc>
          <w:tcPr>
            <w:tcW w:w="1344" w:type="dxa"/>
          </w:tcPr>
          <w:p w14:paraId="79AD9CC5" w14:textId="553C3E1B" w:rsidR="00080103" w:rsidRPr="00406DA3" w:rsidRDefault="00850989" w:rsidP="00361D6D">
            <w:pPr>
              <w:pStyle w:val="Tabletext"/>
              <w:rPr>
                <w:lang w:eastAsia="en-AU"/>
              </w:rPr>
            </w:pPr>
            <w:r>
              <w:rPr>
                <w:lang w:eastAsia="en-AU"/>
              </w:rPr>
              <w:t>55.4%</w:t>
            </w:r>
          </w:p>
        </w:tc>
        <w:tc>
          <w:tcPr>
            <w:tcW w:w="1382" w:type="dxa"/>
          </w:tcPr>
          <w:p w14:paraId="06B09871" w14:textId="1244DB69" w:rsidR="00080103" w:rsidRPr="00406DA3" w:rsidRDefault="00850989" w:rsidP="00361D6D">
            <w:pPr>
              <w:pStyle w:val="Tabletext"/>
              <w:rPr>
                <w:lang w:eastAsia="en-AU"/>
              </w:rPr>
            </w:pPr>
            <w:r>
              <w:rPr>
                <w:lang w:eastAsia="en-AU"/>
              </w:rPr>
              <w:t>58.4%</w:t>
            </w:r>
          </w:p>
        </w:tc>
        <w:tc>
          <w:tcPr>
            <w:tcW w:w="1461" w:type="dxa"/>
          </w:tcPr>
          <w:p w14:paraId="5FA12F85" w14:textId="48D2DAD5" w:rsidR="00080103" w:rsidRPr="00406DA3" w:rsidRDefault="00850989" w:rsidP="00361D6D">
            <w:pPr>
              <w:pStyle w:val="Tabletext"/>
              <w:rPr>
                <w:lang w:eastAsia="en-AU"/>
              </w:rPr>
            </w:pPr>
            <w:r>
              <w:rPr>
                <w:lang w:eastAsia="en-AU"/>
              </w:rPr>
              <w:t>58.4%</w:t>
            </w:r>
          </w:p>
        </w:tc>
        <w:tc>
          <w:tcPr>
            <w:tcW w:w="1539" w:type="dxa"/>
          </w:tcPr>
          <w:p w14:paraId="3F4DDE9C" w14:textId="4A4C44BD" w:rsidR="00080103" w:rsidRPr="00406DA3" w:rsidRDefault="00850989" w:rsidP="00361D6D">
            <w:pPr>
              <w:pStyle w:val="Tabletext"/>
              <w:rPr>
                <w:lang w:eastAsia="en-AU"/>
              </w:rPr>
            </w:pPr>
            <w:r>
              <w:rPr>
                <w:lang w:eastAsia="en-AU"/>
              </w:rPr>
              <w:t>+3.0</w:t>
            </w:r>
            <w:r w:rsidR="003245A0">
              <w:rPr>
                <w:lang w:eastAsia="en-AU"/>
              </w:rPr>
              <w:t>pp</w:t>
            </w:r>
          </w:p>
        </w:tc>
        <w:tc>
          <w:tcPr>
            <w:tcW w:w="1641" w:type="dxa"/>
          </w:tcPr>
          <w:p w14:paraId="76009FB3" w14:textId="54F1BDD6" w:rsidR="00080103" w:rsidRPr="00406DA3" w:rsidRDefault="00A87FBF" w:rsidP="00361D6D">
            <w:pPr>
              <w:pStyle w:val="Tabletext"/>
              <w:rPr>
                <w:lang w:eastAsia="en-AU"/>
              </w:rPr>
            </w:pPr>
            <w:r>
              <w:rPr>
                <w:rFonts w:cs="Arial"/>
                <w:szCs w:val="21"/>
                <w:lang w:eastAsia="en-AU"/>
              </w:rPr>
              <w:t>Moderate (9</w:t>
            </w:r>
            <w:r w:rsidR="00BB009E">
              <w:rPr>
                <w:rFonts w:cs="Arial"/>
                <w:szCs w:val="21"/>
                <w:lang w:eastAsia="en-AU"/>
              </w:rPr>
              <w:t xml:space="preserve"> – Matrix</w:t>
            </w:r>
            <w:r>
              <w:rPr>
                <w:rFonts w:cs="Arial"/>
                <w:szCs w:val="21"/>
                <w:lang w:eastAsia="en-AU"/>
              </w:rPr>
              <w:t>)</w:t>
            </w:r>
          </w:p>
        </w:tc>
      </w:tr>
      <w:tr w:rsidR="00080103" w:rsidRPr="00406DA3" w14:paraId="03FBB17E" w14:textId="121D0612" w:rsidTr="007C1807">
        <w:tc>
          <w:tcPr>
            <w:tcW w:w="1705" w:type="dxa"/>
            <w:hideMark/>
          </w:tcPr>
          <w:p w14:paraId="7B9E53A4" w14:textId="77777777" w:rsidR="00080103" w:rsidRPr="00406DA3" w:rsidRDefault="00080103" w:rsidP="00361D6D">
            <w:pPr>
              <w:pStyle w:val="Tabletext"/>
              <w:rPr>
                <w:lang w:eastAsia="en-AU"/>
              </w:rPr>
            </w:pPr>
            <w:r w:rsidRPr="00406DA3">
              <w:rPr>
                <w:lang w:eastAsia="en-AU"/>
              </w:rPr>
              <w:t>TAFE and other education</w:t>
            </w:r>
          </w:p>
        </w:tc>
        <w:tc>
          <w:tcPr>
            <w:tcW w:w="1344" w:type="dxa"/>
          </w:tcPr>
          <w:p w14:paraId="551050D8" w14:textId="3DDA1608" w:rsidR="00080103" w:rsidRPr="00406DA3" w:rsidRDefault="00850989" w:rsidP="00361D6D">
            <w:pPr>
              <w:pStyle w:val="Tabletext"/>
              <w:rPr>
                <w:lang w:eastAsia="en-AU"/>
              </w:rPr>
            </w:pPr>
            <w:r>
              <w:rPr>
                <w:lang w:eastAsia="en-AU"/>
              </w:rPr>
              <w:t>55.5%</w:t>
            </w:r>
          </w:p>
        </w:tc>
        <w:tc>
          <w:tcPr>
            <w:tcW w:w="1382" w:type="dxa"/>
          </w:tcPr>
          <w:p w14:paraId="2FE3D6F7" w14:textId="3F2FDE95" w:rsidR="00080103" w:rsidRPr="00406DA3" w:rsidRDefault="00850989" w:rsidP="00361D6D">
            <w:pPr>
              <w:pStyle w:val="Tabletext"/>
              <w:rPr>
                <w:lang w:eastAsia="en-AU"/>
              </w:rPr>
            </w:pPr>
            <w:r>
              <w:rPr>
                <w:lang w:eastAsia="en-AU"/>
              </w:rPr>
              <w:t>63.2%</w:t>
            </w:r>
          </w:p>
        </w:tc>
        <w:tc>
          <w:tcPr>
            <w:tcW w:w="1461" w:type="dxa"/>
          </w:tcPr>
          <w:p w14:paraId="5121766C" w14:textId="12587C4F" w:rsidR="00080103" w:rsidRPr="00406DA3" w:rsidRDefault="00D267F9" w:rsidP="00361D6D">
            <w:pPr>
              <w:pStyle w:val="Tabletext"/>
              <w:rPr>
                <w:lang w:eastAsia="en-AU"/>
              </w:rPr>
            </w:pPr>
            <w:r>
              <w:rPr>
                <w:lang w:eastAsia="en-AU"/>
              </w:rPr>
              <w:t>62.3%</w:t>
            </w:r>
          </w:p>
        </w:tc>
        <w:tc>
          <w:tcPr>
            <w:tcW w:w="1539" w:type="dxa"/>
          </w:tcPr>
          <w:p w14:paraId="35348C14" w14:textId="73DDD540" w:rsidR="00080103" w:rsidRPr="00406DA3" w:rsidRDefault="00D267F9" w:rsidP="00361D6D">
            <w:pPr>
              <w:pStyle w:val="Tabletext"/>
              <w:rPr>
                <w:lang w:eastAsia="en-AU"/>
              </w:rPr>
            </w:pPr>
            <w:r>
              <w:rPr>
                <w:lang w:eastAsia="en-AU"/>
              </w:rPr>
              <w:t>+6.9</w:t>
            </w:r>
            <w:r w:rsidR="003245A0">
              <w:rPr>
                <w:lang w:eastAsia="en-AU"/>
              </w:rPr>
              <w:t>pp</w:t>
            </w:r>
          </w:p>
        </w:tc>
        <w:tc>
          <w:tcPr>
            <w:tcW w:w="1641" w:type="dxa"/>
          </w:tcPr>
          <w:p w14:paraId="442085B6" w14:textId="2938A2E8" w:rsidR="00080103" w:rsidRPr="00406DA3" w:rsidRDefault="000A3801" w:rsidP="00361D6D">
            <w:pPr>
              <w:pStyle w:val="Tabletext"/>
              <w:rPr>
                <w:lang w:eastAsia="en-AU"/>
              </w:rPr>
            </w:pPr>
            <w:r>
              <w:rPr>
                <w:rFonts w:cs="Arial"/>
                <w:szCs w:val="21"/>
                <w:lang w:eastAsia="en-AU"/>
              </w:rPr>
              <w:t>Poor (6</w:t>
            </w:r>
            <w:r w:rsidR="00BB009E">
              <w:rPr>
                <w:rFonts w:cs="Arial"/>
                <w:szCs w:val="21"/>
                <w:lang w:eastAsia="en-AU"/>
              </w:rPr>
              <w:t xml:space="preserve"> – Matrix</w:t>
            </w:r>
            <w:r>
              <w:rPr>
                <w:rFonts w:cs="Arial"/>
                <w:szCs w:val="21"/>
                <w:lang w:eastAsia="en-AU"/>
              </w:rPr>
              <w:t>)</w:t>
            </w:r>
          </w:p>
        </w:tc>
      </w:tr>
      <w:tr w:rsidR="00080103" w:rsidRPr="00406DA3" w14:paraId="287F7156" w14:textId="6CBD7FF8" w:rsidTr="007C1807">
        <w:tc>
          <w:tcPr>
            <w:tcW w:w="1705" w:type="dxa"/>
          </w:tcPr>
          <w:p w14:paraId="69D4EC70" w14:textId="77777777" w:rsidR="00080103" w:rsidRPr="00406DA3" w:rsidRDefault="00080103" w:rsidP="00361D6D">
            <w:pPr>
              <w:pStyle w:val="Tabletext"/>
              <w:rPr>
                <w:lang w:eastAsia="en-AU"/>
              </w:rPr>
            </w:pPr>
            <w:r>
              <w:rPr>
                <w:lang w:eastAsia="en-AU"/>
              </w:rPr>
              <w:t>Transport</w:t>
            </w:r>
          </w:p>
        </w:tc>
        <w:tc>
          <w:tcPr>
            <w:tcW w:w="1344" w:type="dxa"/>
          </w:tcPr>
          <w:p w14:paraId="479E13BE" w14:textId="62D55DCD" w:rsidR="00080103" w:rsidRDefault="00D267F9" w:rsidP="00361D6D">
            <w:pPr>
              <w:pStyle w:val="Tabletext"/>
              <w:rPr>
                <w:lang w:eastAsia="en-AU"/>
              </w:rPr>
            </w:pPr>
            <w:r>
              <w:rPr>
                <w:lang w:eastAsia="en-AU"/>
              </w:rPr>
              <w:t>45.5%</w:t>
            </w:r>
          </w:p>
        </w:tc>
        <w:tc>
          <w:tcPr>
            <w:tcW w:w="1382" w:type="dxa"/>
          </w:tcPr>
          <w:p w14:paraId="68749F2A" w14:textId="63ED92A2" w:rsidR="00080103" w:rsidRDefault="00D267F9" w:rsidP="00361D6D">
            <w:pPr>
              <w:pStyle w:val="Tabletext"/>
              <w:rPr>
                <w:lang w:eastAsia="en-AU"/>
              </w:rPr>
            </w:pPr>
            <w:r>
              <w:rPr>
                <w:lang w:eastAsia="en-AU"/>
              </w:rPr>
              <w:t>44.4%</w:t>
            </w:r>
          </w:p>
        </w:tc>
        <w:tc>
          <w:tcPr>
            <w:tcW w:w="1461" w:type="dxa"/>
          </w:tcPr>
          <w:p w14:paraId="11A2F1BD" w14:textId="1E9740AA" w:rsidR="00080103" w:rsidRDefault="005028F8" w:rsidP="00361D6D">
            <w:pPr>
              <w:pStyle w:val="Tabletext"/>
              <w:rPr>
                <w:lang w:eastAsia="en-AU"/>
              </w:rPr>
            </w:pPr>
            <w:r>
              <w:rPr>
                <w:lang w:eastAsia="en-AU"/>
              </w:rPr>
              <w:t>52.9%</w:t>
            </w:r>
          </w:p>
        </w:tc>
        <w:tc>
          <w:tcPr>
            <w:tcW w:w="1539" w:type="dxa"/>
          </w:tcPr>
          <w:p w14:paraId="043355C7" w14:textId="744A6CFE" w:rsidR="00080103" w:rsidRDefault="005028F8" w:rsidP="00361D6D">
            <w:pPr>
              <w:pStyle w:val="Tabletext"/>
              <w:rPr>
                <w:lang w:eastAsia="en-AU"/>
              </w:rPr>
            </w:pPr>
            <w:r>
              <w:rPr>
                <w:lang w:eastAsia="en-AU"/>
              </w:rPr>
              <w:t>+7.5</w:t>
            </w:r>
            <w:r w:rsidR="003245A0">
              <w:rPr>
                <w:lang w:eastAsia="en-AU"/>
              </w:rPr>
              <w:t>pp</w:t>
            </w:r>
          </w:p>
        </w:tc>
        <w:tc>
          <w:tcPr>
            <w:tcW w:w="1641" w:type="dxa"/>
          </w:tcPr>
          <w:p w14:paraId="250F145E" w14:textId="5A5BAD0E" w:rsidR="00080103" w:rsidRDefault="000A3801" w:rsidP="00361D6D">
            <w:pPr>
              <w:pStyle w:val="Tabletext"/>
              <w:rPr>
                <w:lang w:eastAsia="en-AU"/>
              </w:rPr>
            </w:pPr>
            <w:r>
              <w:rPr>
                <w:rFonts w:cs="Arial"/>
                <w:szCs w:val="21"/>
                <w:lang w:eastAsia="en-AU"/>
              </w:rPr>
              <w:t xml:space="preserve">Excellent </w:t>
            </w:r>
            <w:r w:rsidR="00F64FF0">
              <w:rPr>
                <w:rFonts w:cs="Arial"/>
                <w:szCs w:val="21"/>
                <w:lang w:eastAsia="en-AU"/>
              </w:rPr>
              <w:t>(18</w:t>
            </w:r>
            <w:r w:rsidR="00BB009E">
              <w:rPr>
                <w:rFonts w:cs="Arial"/>
                <w:szCs w:val="21"/>
                <w:lang w:eastAsia="en-AU"/>
              </w:rPr>
              <w:t xml:space="preserve"> – Matrix</w:t>
            </w:r>
            <w:r w:rsidR="00F64FF0">
              <w:rPr>
                <w:rFonts w:cs="Arial"/>
                <w:szCs w:val="21"/>
                <w:lang w:eastAsia="en-AU"/>
              </w:rPr>
              <w:t>)</w:t>
            </w:r>
          </w:p>
        </w:tc>
      </w:tr>
      <w:tr w:rsidR="00080103" w:rsidRPr="00406DA3" w14:paraId="7362426C" w14:textId="36CC83FF" w:rsidTr="007C1807">
        <w:tc>
          <w:tcPr>
            <w:tcW w:w="1705" w:type="dxa"/>
            <w:hideMark/>
          </w:tcPr>
          <w:p w14:paraId="3C2BB241" w14:textId="77777777" w:rsidR="00080103" w:rsidRPr="00406DA3" w:rsidRDefault="00080103" w:rsidP="00361D6D">
            <w:pPr>
              <w:pStyle w:val="Tabletext"/>
              <w:rPr>
                <w:lang w:eastAsia="en-AU"/>
              </w:rPr>
            </w:pPr>
            <w:r w:rsidRPr="00406DA3">
              <w:rPr>
                <w:lang w:eastAsia="en-AU"/>
              </w:rPr>
              <w:t>Universities</w:t>
            </w:r>
          </w:p>
        </w:tc>
        <w:tc>
          <w:tcPr>
            <w:tcW w:w="1344" w:type="dxa"/>
          </w:tcPr>
          <w:p w14:paraId="3360C41B" w14:textId="263574CC" w:rsidR="00080103" w:rsidRPr="00406DA3" w:rsidRDefault="00BC2831" w:rsidP="00361D6D">
            <w:pPr>
              <w:pStyle w:val="Tabletext"/>
              <w:rPr>
                <w:lang w:eastAsia="en-AU"/>
              </w:rPr>
            </w:pPr>
            <w:r>
              <w:rPr>
                <w:lang w:eastAsia="en-AU"/>
              </w:rPr>
              <w:t>46.7%</w:t>
            </w:r>
          </w:p>
        </w:tc>
        <w:tc>
          <w:tcPr>
            <w:tcW w:w="1382" w:type="dxa"/>
          </w:tcPr>
          <w:p w14:paraId="4D5B0DC4" w14:textId="526BE21C" w:rsidR="00080103" w:rsidRPr="00406DA3" w:rsidRDefault="00BC2831" w:rsidP="00361D6D">
            <w:pPr>
              <w:pStyle w:val="Tabletext"/>
              <w:rPr>
                <w:lang w:eastAsia="en-AU"/>
              </w:rPr>
            </w:pPr>
            <w:r>
              <w:rPr>
                <w:lang w:eastAsia="en-AU"/>
              </w:rPr>
              <w:t>48.0%</w:t>
            </w:r>
          </w:p>
        </w:tc>
        <w:tc>
          <w:tcPr>
            <w:tcW w:w="1461" w:type="dxa"/>
          </w:tcPr>
          <w:p w14:paraId="194F28D1" w14:textId="0AE49D0A" w:rsidR="00080103" w:rsidRPr="00406DA3" w:rsidRDefault="00BC2831" w:rsidP="00361D6D">
            <w:pPr>
              <w:pStyle w:val="Tabletext"/>
              <w:rPr>
                <w:lang w:eastAsia="en-AU"/>
              </w:rPr>
            </w:pPr>
            <w:r>
              <w:rPr>
                <w:lang w:eastAsia="en-AU"/>
              </w:rPr>
              <w:t>54.5%</w:t>
            </w:r>
          </w:p>
        </w:tc>
        <w:tc>
          <w:tcPr>
            <w:tcW w:w="1539" w:type="dxa"/>
          </w:tcPr>
          <w:p w14:paraId="4330F59D" w14:textId="6350EBFF" w:rsidR="00080103" w:rsidRPr="00406DA3" w:rsidRDefault="00BC2831" w:rsidP="00361D6D">
            <w:pPr>
              <w:pStyle w:val="Tabletext"/>
              <w:rPr>
                <w:lang w:eastAsia="en-AU"/>
              </w:rPr>
            </w:pPr>
            <w:r>
              <w:rPr>
                <w:lang w:eastAsia="en-AU"/>
              </w:rPr>
              <w:t>+7.9</w:t>
            </w:r>
            <w:r w:rsidR="003245A0">
              <w:rPr>
                <w:lang w:eastAsia="en-AU"/>
              </w:rPr>
              <w:t>pp</w:t>
            </w:r>
          </w:p>
        </w:tc>
        <w:tc>
          <w:tcPr>
            <w:tcW w:w="1641" w:type="dxa"/>
          </w:tcPr>
          <w:p w14:paraId="29B643E5" w14:textId="1E9F4016" w:rsidR="00080103" w:rsidRPr="00406DA3" w:rsidRDefault="00196188" w:rsidP="00361D6D">
            <w:pPr>
              <w:pStyle w:val="Tabletext"/>
              <w:rPr>
                <w:lang w:eastAsia="en-AU"/>
              </w:rPr>
            </w:pPr>
            <w:r>
              <w:rPr>
                <w:rFonts w:cs="Arial"/>
                <w:szCs w:val="21"/>
                <w:lang w:eastAsia="en-AU"/>
              </w:rPr>
              <w:t>Excellent (18</w:t>
            </w:r>
            <w:r w:rsidR="00BB009E">
              <w:rPr>
                <w:rFonts w:cs="Arial"/>
                <w:szCs w:val="21"/>
                <w:lang w:eastAsia="en-AU"/>
              </w:rPr>
              <w:t xml:space="preserve"> – Matrix</w:t>
            </w:r>
            <w:r>
              <w:rPr>
                <w:rFonts w:cs="Arial"/>
                <w:szCs w:val="21"/>
                <w:lang w:eastAsia="en-AU"/>
              </w:rPr>
              <w:t>)</w:t>
            </w:r>
          </w:p>
        </w:tc>
      </w:tr>
      <w:tr w:rsidR="00080103" w:rsidRPr="00406DA3" w14:paraId="2B6BF59B" w14:textId="76B17976" w:rsidTr="007C1807">
        <w:tc>
          <w:tcPr>
            <w:tcW w:w="1705" w:type="dxa"/>
            <w:hideMark/>
          </w:tcPr>
          <w:p w14:paraId="1B9B2F22" w14:textId="0FC4746E" w:rsidR="00080103" w:rsidRPr="00406DA3" w:rsidRDefault="00080103" w:rsidP="00361D6D">
            <w:pPr>
              <w:pStyle w:val="Tabletext"/>
              <w:rPr>
                <w:lang w:eastAsia="en-AU"/>
              </w:rPr>
            </w:pPr>
            <w:r w:rsidRPr="00406DA3">
              <w:rPr>
                <w:lang w:eastAsia="en-AU"/>
              </w:rPr>
              <w:t xml:space="preserve">Victorian </w:t>
            </w:r>
            <w:r w:rsidR="00E77DB3">
              <w:rPr>
                <w:lang w:eastAsia="en-AU"/>
              </w:rPr>
              <w:t>P</w:t>
            </w:r>
            <w:r w:rsidRPr="00406DA3">
              <w:rPr>
                <w:lang w:eastAsia="en-AU"/>
              </w:rPr>
              <w:t xml:space="preserve">ublic </w:t>
            </w:r>
            <w:r w:rsidR="00E77DB3">
              <w:rPr>
                <w:lang w:eastAsia="en-AU"/>
              </w:rPr>
              <w:t>S</w:t>
            </w:r>
            <w:r w:rsidRPr="00406DA3">
              <w:rPr>
                <w:lang w:eastAsia="en-AU"/>
              </w:rPr>
              <w:t>ervice</w:t>
            </w:r>
          </w:p>
        </w:tc>
        <w:tc>
          <w:tcPr>
            <w:tcW w:w="1344" w:type="dxa"/>
          </w:tcPr>
          <w:p w14:paraId="01996BEC" w14:textId="2714BA0D" w:rsidR="00080103" w:rsidRPr="00406DA3" w:rsidRDefault="00BC2831" w:rsidP="00361D6D">
            <w:pPr>
              <w:pStyle w:val="Tabletext"/>
              <w:rPr>
                <w:lang w:eastAsia="en-AU"/>
              </w:rPr>
            </w:pPr>
            <w:r>
              <w:rPr>
                <w:lang w:eastAsia="en-AU"/>
              </w:rPr>
              <w:t>50.2%</w:t>
            </w:r>
          </w:p>
        </w:tc>
        <w:tc>
          <w:tcPr>
            <w:tcW w:w="1382" w:type="dxa"/>
          </w:tcPr>
          <w:p w14:paraId="3CF56C9E" w14:textId="37E7B136" w:rsidR="00080103" w:rsidRPr="00406DA3" w:rsidRDefault="00BC2831" w:rsidP="00361D6D">
            <w:pPr>
              <w:pStyle w:val="Tabletext"/>
              <w:rPr>
                <w:lang w:eastAsia="en-AU"/>
              </w:rPr>
            </w:pPr>
            <w:r>
              <w:rPr>
                <w:lang w:eastAsia="en-AU"/>
              </w:rPr>
              <w:t>52.4%</w:t>
            </w:r>
          </w:p>
        </w:tc>
        <w:tc>
          <w:tcPr>
            <w:tcW w:w="1461" w:type="dxa"/>
          </w:tcPr>
          <w:p w14:paraId="2DAE5FFA" w14:textId="26E8F935" w:rsidR="00080103" w:rsidRPr="00406DA3" w:rsidRDefault="00BC2831" w:rsidP="00361D6D">
            <w:pPr>
              <w:pStyle w:val="Tabletext"/>
              <w:rPr>
                <w:lang w:eastAsia="en-AU"/>
              </w:rPr>
            </w:pPr>
            <w:r>
              <w:rPr>
                <w:lang w:eastAsia="en-AU"/>
              </w:rPr>
              <w:t>56.7%</w:t>
            </w:r>
          </w:p>
        </w:tc>
        <w:tc>
          <w:tcPr>
            <w:tcW w:w="1539" w:type="dxa"/>
          </w:tcPr>
          <w:p w14:paraId="1B9859A4" w14:textId="20FBEB80" w:rsidR="00080103" w:rsidRPr="00406DA3" w:rsidRDefault="003F11F6" w:rsidP="00361D6D">
            <w:pPr>
              <w:pStyle w:val="Tabletext"/>
              <w:rPr>
                <w:lang w:eastAsia="en-AU"/>
              </w:rPr>
            </w:pPr>
            <w:r>
              <w:rPr>
                <w:lang w:eastAsia="en-AU"/>
              </w:rPr>
              <w:t>+6.5</w:t>
            </w:r>
            <w:r w:rsidR="003245A0">
              <w:rPr>
                <w:lang w:eastAsia="en-AU"/>
              </w:rPr>
              <w:t>pp</w:t>
            </w:r>
          </w:p>
        </w:tc>
        <w:tc>
          <w:tcPr>
            <w:tcW w:w="1641" w:type="dxa"/>
          </w:tcPr>
          <w:p w14:paraId="1AF65B8C" w14:textId="208164B8" w:rsidR="00080103" w:rsidRPr="00406DA3" w:rsidRDefault="00196188" w:rsidP="00361D6D">
            <w:pPr>
              <w:pStyle w:val="Tabletext"/>
              <w:rPr>
                <w:lang w:eastAsia="en-AU"/>
              </w:rPr>
            </w:pPr>
            <w:r>
              <w:rPr>
                <w:rFonts w:cs="Arial"/>
                <w:szCs w:val="21"/>
                <w:lang w:eastAsia="en-AU"/>
              </w:rPr>
              <w:t>Poor (6</w:t>
            </w:r>
            <w:r w:rsidR="00BB009E">
              <w:rPr>
                <w:rFonts w:cs="Arial"/>
                <w:szCs w:val="21"/>
                <w:lang w:eastAsia="en-AU"/>
              </w:rPr>
              <w:t xml:space="preserve"> – Matrix</w:t>
            </w:r>
            <w:r>
              <w:rPr>
                <w:rFonts w:cs="Arial"/>
                <w:szCs w:val="21"/>
                <w:lang w:eastAsia="en-AU"/>
              </w:rPr>
              <w:t>)</w:t>
            </w:r>
          </w:p>
        </w:tc>
      </w:tr>
      <w:tr w:rsidR="00080103" w:rsidRPr="00406DA3" w14:paraId="68D2C416" w14:textId="19889F60" w:rsidTr="007C1807">
        <w:tc>
          <w:tcPr>
            <w:tcW w:w="1705" w:type="dxa"/>
            <w:hideMark/>
          </w:tcPr>
          <w:p w14:paraId="67BA155F" w14:textId="77777777" w:rsidR="00080103" w:rsidRPr="00406DA3" w:rsidRDefault="00080103" w:rsidP="00361D6D">
            <w:pPr>
              <w:pStyle w:val="Tabletext"/>
              <w:rPr>
                <w:lang w:eastAsia="en-AU"/>
              </w:rPr>
            </w:pPr>
            <w:r w:rsidRPr="00406DA3">
              <w:rPr>
                <w:lang w:eastAsia="en-AU"/>
              </w:rPr>
              <w:t>Water and land management</w:t>
            </w:r>
          </w:p>
        </w:tc>
        <w:tc>
          <w:tcPr>
            <w:tcW w:w="1344" w:type="dxa"/>
          </w:tcPr>
          <w:p w14:paraId="53CAE56C" w14:textId="3C0966B0" w:rsidR="00080103" w:rsidRPr="00406DA3" w:rsidRDefault="003F11F6" w:rsidP="00361D6D">
            <w:pPr>
              <w:pStyle w:val="Tabletext"/>
              <w:rPr>
                <w:lang w:eastAsia="en-AU"/>
              </w:rPr>
            </w:pPr>
            <w:r>
              <w:rPr>
                <w:lang w:eastAsia="en-AU"/>
              </w:rPr>
              <w:t>55.4%</w:t>
            </w:r>
          </w:p>
        </w:tc>
        <w:tc>
          <w:tcPr>
            <w:tcW w:w="1382" w:type="dxa"/>
          </w:tcPr>
          <w:p w14:paraId="4A34BCB2" w14:textId="4F1FEA4F" w:rsidR="00080103" w:rsidRPr="00406DA3" w:rsidRDefault="003F11F6" w:rsidP="00361D6D">
            <w:pPr>
              <w:pStyle w:val="Tabletext"/>
              <w:rPr>
                <w:lang w:eastAsia="en-AU"/>
              </w:rPr>
            </w:pPr>
            <w:r>
              <w:rPr>
                <w:lang w:eastAsia="en-AU"/>
              </w:rPr>
              <w:t>58.0%</w:t>
            </w:r>
          </w:p>
        </w:tc>
        <w:tc>
          <w:tcPr>
            <w:tcW w:w="1461" w:type="dxa"/>
          </w:tcPr>
          <w:p w14:paraId="49BD5C3E" w14:textId="04127D18" w:rsidR="00080103" w:rsidRPr="00406DA3" w:rsidRDefault="003F11F6" w:rsidP="00361D6D">
            <w:pPr>
              <w:pStyle w:val="Tabletext"/>
              <w:rPr>
                <w:lang w:eastAsia="en-AU"/>
              </w:rPr>
            </w:pPr>
            <w:r>
              <w:rPr>
                <w:lang w:eastAsia="en-AU"/>
              </w:rPr>
              <w:t>55.3%</w:t>
            </w:r>
          </w:p>
        </w:tc>
        <w:tc>
          <w:tcPr>
            <w:tcW w:w="1539" w:type="dxa"/>
          </w:tcPr>
          <w:p w14:paraId="19BBDE04" w14:textId="696BDD7F" w:rsidR="00080103" w:rsidRPr="00406DA3" w:rsidRDefault="003F11F6" w:rsidP="00361D6D">
            <w:pPr>
              <w:pStyle w:val="Tabletext"/>
              <w:rPr>
                <w:lang w:eastAsia="en-AU"/>
              </w:rPr>
            </w:pPr>
            <w:r>
              <w:rPr>
                <w:lang w:eastAsia="en-AU"/>
              </w:rPr>
              <w:t>-0.1</w:t>
            </w:r>
            <w:r w:rsidR="003245A0">
              <w:rPr>
                <w:lang w:eastAsia="en-AU"/>
              </w:rPr>
              <w:t>pp</w:t>
            </w:r>
          </w:p>
        </w:tc>
        <w:tc>
          <w:tcPr>
            <w:tcW w:w="1641" w:type="dxa"/>
          </w:tcPr>
          <w:p w14:paraId="6DD51634" w14:textId="39463D0B" w:rsidR="00080103" w:rsidRPr="00406DA3" w:rsidRDefault="00196188" w:rsidP="00361D6D">
            <w:pPr>
              <w:pStyle w:val="Tabletext"/>
              <w:rPr>
                <w:lang w:eastAsia="en-AU"/>
              </w:rPr>
            </w:pPr>
            <w:r>
              <w:rPr>
                <w:rFonts w:cs="Arial"/>
                <w:szCs w:val="21"/>
                <w:lang w:eastAsia="en-AU"/>
              </w:rPr>
              <w:t>Moderate (9</w:t>
            </w:r>
            <w:r w:rsidR="00BB009E">
              <w:rPr>
                <w:rFonts w:cs="Arial"/>
                <w:szCs w:val="21"/>
                <w:lang w:eastAsia="en-AU"/>
              </w:rPr>
              <w:t xml:space="preserve"> – Matrix</w:t>
            </w:r>
            <w:r>
              <w:rPr>
                <w:rFonts w:cs="Arial"/>
                <w:szCs w:val="21"/>
                <w:lang w:eastAsia="en-AU"/>
              </w:rPr>
              <w:t>)</w:t>
            </w:r>
          </w:p>
        </w:tc>
      </w:tr>
    </w:tbl>
    <w:p w14:paraId="347318D4" w14:textId="77777777" w:rsidR="00C61709" w:rsidRDefault="00C61709" w:rsidP="00D36A3C">
      <w:pPr>
        <w:pStyle w:val="Tablefigurenote"/>
      </w:pPr>
      <w:r w:rsidRPr="00136D6E">
        <w:t>Source: Workplace gender audit workforce data, 2021</w:t>
      </w:r>
      <w:r>
        <w:t>, 2023 and 2025.</w:t>
      </w:r>
    </w:p>
    <w:p w14:paraId="0C453403" w14:textId="50EC2DF1" w:rsidR="00C66D1D" w:rsidRDefault="00D36A3C" w:rsidP="00D36A3C">
      <w:pPr>
        <w:pStyle w:val="Tablefigurenote"/>
        <w:rPr>
          <w:lang w:eastAsia="en-AU"/>
        </w:rPr>
      </w:pPr>
      <w:r w:rsidRPr="00C27278">
        <w:t xml:space="preserve">Notes: </w:t>
      </w:r>
      <w:r w:rsidRPr="00C27278">
        <w:rPr>
          <w:rFonts w:cs="Arial"/>
          <w:szCs w:val="21"/>
        </w:rPr>
        <w:t xml:space="preserve">To understand how to interpret the different types of progress ratings, see </w:t>
      </w:r>
      <w:hyperlink w:anchor="_Data_measures" w:history="1">
        <w:r w:rsidR="00395C1B">
          <w:rPr>
            <w:rStyle w:val="Hyperlink"/>
            <w:rFonts w:cs="Times New Roman"/>
          </w:rPr>
          <w:t>Data measures</w:t>
        </w:r>
      </w:hyperlink>
      <w:r w:rsidR="00395C1B">
        <w:t xml:space="preserve"> in </w:t>
      </w:r>
      <w:r w:rsidR="00395C1B" w:rsidRPr="00A2089E">
        <w:t>Appendix 1</w:t>
      </w:r>
      <w:r w:rsidR="00395C1B">
        <w:t>.</w:t>
      </w:r>
      <w:r w:rsidR="00F66CEC" w:rsidRPr="00C27278">
        <w:t xml:space="preserve"> </w:t>
      </w:r>
      <w:r w:rsidR="00F66CEC">
        <w:rPr>
          <w:lang w:eastAsia="en-AU"/>
        </w:rPr>
        <w:t>Women chairs are not included</w:t>
      </w:r>
      <w:r w:rsidR="004947DD">
        <w:rPr>
          <w:lang w:eastAsia="en-AU"/>
        </w:rPr>
        <w:t xml:space="preserve"> for industry analysis</w:t>
      </w:r>
      <w:r w:rsidR="007941CB" w:rsidRPr="00C27278">
        <w:rPr>
          <w:lang w:eastAsia="en-AU"/>
        </w:rPr>
        <w:t>,</w:t>
      </w:r>
      <w:r w:rsidR="00F66CEC">
        <w:rPr>
          <w:lang w:eastAsia="en-AU"/>
        </w:rPr>
        <w:t xml:space="preserve"> </w:t>
      </w:r>
      <w:r w:rsidR="004947DD">
        <w:rPr>
          <w:lang w:eastAsia="en-AU"/>
        </w:rPr>
        <w:t>because the numbers are</w:t>
      </w:r>
      <w:r w:rsidR="00F66CEC">
        <w:rPr>
          <w:lang w:eastAsia="en-AU"/>
        </w:rPr>
        <w:t xml:space="preserve"> too small to provide valid trends. </w:t>
      </w:r>
      <w:r w:rsidR="00277FED" w:rsidRPr="00AE1037">
        <w:t xml:space="preserve">The </w:t>
      </w:r>
      <w:r w:rsidR="00277FED">
        <w:t xml:space="preserve">percentage point </w:t>
      </w:r>
      <w:r w:rsidR="00277FED" w:rsidRPr="00AE1037">
        <w:t>change column may not always reflect the exact difference between years due to rounding</w:t>
      </w:r>
      <w:r w:rsidR="00277FED">
        <w:t>.</w:t>
      </w:r>
    </w:p>
    <w:p w14:paraId="59FC0655" w14:textId="7BB1D6DE" w:rsidR="00972AC3" w:rsidRDefault="00280AAC" w:rsidP="00131CF6">
      <w:pPr>
        <w:pStyle w:val="Heading3"/>
      </w:pPr>
      <w:r>
        <w:t>Signs of progress</w:t>
      </w:r>
    </w:p>
    <w:p w14:paraId="698C8FA2" w14:textId="5CDF187A" w:rsidR="008706FB" w:rsidRPr="008706FB" w:rsidRDefault="00073C32" w:rsidP="00073C32">
      <w:pPr>
        <w:pStyle w:val="Heading4"/>
      </w:pPr>
      <w:r>
        <w:t>Governing bodies continue</w:t>
      </w:r>
      <w:r w:rsidR="003F6BA5">
        <w:t>d</w:t>
      </w:r>
      <w:r>
        <w:t xml:space="preserve"> to be gender balanced </w:t>
      </w:r>
    </w:p>
    <w:p w14:paraId="3DBA0507" w14:textId="71C8B74E" w:rsidR="008F1A3E" w:rsidRPr="008F1A3E" w:rsidRDefault="008F1A3E" w:rsidP="0078531C">
      <w:pPr>
        <w:pStyle w:val="BodyText"/>
      </w:pPr>
      <w:r w:rsidRPr="008F1A3E">
        <w:t>Across the sector in 2025, governing bodies remained balanced. Since 2021, women</w:t>
      </w:r>
      <w:r w:rsidR="002F55AB">
        <w:t>’</w:t>
      </w:r>
      <w:r w:rsidRPr="008F1A3E">
        <w:t>s representation rose slightly (from 52.</w:t>
      </w:r>
      <w:r w:rsidR="00AC282A">
        <w:t>2</w:t>
      </w:r>
      <w:r w:rsidRPr="008F1A3E">
        <w:t>% to 53.9%)</w:t>
      </w:r>
      <w:r w:rsidR="00AA2468">
        <w:t>,</w:t>
      </w:r>
      <w:r w:rsidRPr="008F1A3E">
        <w:t xml:space="preserve"> and men</w:t>
      </w:r>
      <w:r w:rsidR="002F55AB">
        <w:t>’</w:t>
      </w:r>
      <w:r w:rsidRPr="008F1A3E">
        <w:t xml:space="preserve">s fell </w:t>
      </w:r>
      <w:r w:rsidR="00803308">
        <w:t>slightly</w:t>
      </w:r>
      <w:r w:rsidR="00803308" w:rsidRPr="008F1A3E">
        <w:t xml:space="preserve"> </w:t>
      </w:r>
      <w:r w:rsidRPr="008F1A3E">
        <w:t>(from 47.8% to 46.1%). The number of women chairs also rose slightly over the same period (from 49.2% to 51.1%) and remained balanced overall.</w:t>
      </w:r>
    </w:p>
    <w:p w14:paraId="245FA447" w14:textId="7A2DD39C" w:rsidR="008F1A3E" w:rsidRPr="008F1A3E" w:rsidRDefault="008F1A3E" w:rsidP="0078531C">
      <w:pPr>
        <w:pStyle w:val="BodyText"/>
      </w:pPr>
      <w:r w:rsidRPr="008F1A3E">
        <w:t xml:space="preserve">While the recent movement is small, it </w:t>
      </w:r>
      <w:r w:rsidR="009C4D4F">
        <w:t>adds to</w:t>
      </w:r>
      <w:r w:rsidRPr="008F1A3E">
        <w:t xml:space="preserve"> substantial longer-term gains. Victorian Public Sector Commission data shows women</w:t>
      </w:r>
      <w:r w:rsidR="002F55AB">
        <w:t>’</w:t>
      </w:r>
      <w:r w:rsidRPr="008F1A3E">
        <w:t>s representation on larger public entity boards rose from 39% to 55% between 2015 and 2020 (VPSC 2022)</w:t>
      </w:r>
      <w:r w:rsidR="007E047B">
        <w:t>. This</w:t>
      </w:r>
      <w:r w:rsidRPr="008F1A3E">
        <w:t xml:space="preserve"> shift points to the value of setting measurable targets.</w:t>
      </w:r>
    </w:p>
    <w:p w14:paraId="735968B2" w14:textId="3FB76B51" w:rsidR="008F1A3E" w:rsidRPr="008F1A3E" w:rsidRDefault="008F1A3E" w:rsidP="0078531C">
      <w:pPr>
        <w:pStyle w:val="BodyText"/>
      </w:pPr>
      <w:r w:rsidRPr="008F1A3E">
        <w:t xml:space="preserve">Three industries received a numerically </w:t>
      </w:r>
      <w:r w:rsidR="002F55AB">
        <w:t>‘</w:t>
      </w:r>
      <w:r w:rsidRPr="008F1A3E">
        <w:t>poor</w:t>
      </w:r>
      <w:r w:rsidR="002F55AB">
        <w:t>’</w:t>
      </w:r>
      <w:r w:rsidRPr="008F1A3E">
        <w:t xml:space="preserve"> rating against this indicator (TAFE and other education, the Victorian </w:t>
      </w:r>
      <w:r w:rsidR="00E77DB3">
        <w:t>P</w:t>
      </w:r>
      <w:r w:rsidRPr="008F1A3E">
        <w:t xml:space="preserve">ublic </w:t>
      </w:r>
      <w:r w:rsidR="00E77DB3">
        <w:t>S</w:t>
      </w:r>
      <w:r w:rsidRPr="008F1A3E">
        <w:t>ervice, and other</w:t>
      </w:r>
      <w:r w:rsidR="00AE23E5">
        <w:rPr>
          <w:rStyle w:val="FootnoteReference"/>
        </w:rPr>
        <w:footnoteReference w:id="3"/>
      </w:r>
      <w:r w:rsidRPr="008F1A3E">
        <w:t xml:space="preserve">), each having moved further from a </w:t>
      </w:r>
      <w:r w:rsidR="008D34C2">
        <w:t>45</w:t>
      </w:r>
      <w:r w:rsidRPr="008F1A3E">
        <w:t>:</w:t>
      </w:r>
      <w:r w:rsidR="005E1BAE">
        <w:t>45:10</w:t>
      </w:r>
      <w:r w:rsidRPr="008F1A3E">
        <w:t xml:space="preserve"> split – by between 4 and 7 percentage points – towards a higher share of women.</w:t>
      </w:r>
    </w:p>
    <w:p w14:paraId="48127CCF" w14:textId="0499951D" w:rsidR="008F1A3E" w:rsidRPr="008F1A3E" w:rsidRDefault="008F1A3E" w:rsidP="0078531C">
      <w:pPr>
        <w:pStyle w:val="BodyText"/>
      </w:pPr>
      <w:r w:rsidRPr="008F1A3E">
        <w:t xml:space="preserve">This is where the rating needs context rather than alarm. </w:t>
      </w:r>
      <w:r w:rsidR="00E13F3B">
        <w:t xml:space="preserve">All except the </w:t>
      </w:r>
      <w:r w:rsidR="00F947AF">
        <w:t>‘o</w:t>
      </w:r>
      <w:r w:rsidR="00E13F3B">
        <w:t>ther</w:t>
      </w:r>
      <w:r w:rsidR="00F947AF">
        <w:t>’</w:t>
      </w:r>
      <w:r w:rsidR="00E13F3B">
        <w:t xml:space="preserve"> industry</w:t>
      </w:r>
      <w:r w:rsidRPr="008F1A3E">
        <w:t xml:space="preserve"> are women-concentrated</w:t>
      </w:r>
      <w:r w:rsidR="00E13F3B">
        <w:t>. As explained above</w:t>
      </w:r>
      <w:r w:rsidR="008F6EF0" w:rsidRPr="00C9657E">
        <w:t>,</w:t>
      </w:r>
      <w:r w:rsidRPr="008F1A3E">
        <w:t xml:space="preserve"> </w:t>
      </w:r>
      <w:r w:rsidR="00C9657E" w:rsidRPr="00C9657E">
        <w:t>boards of organisations that are</w:t>
      </w:r>
      <w:r w:rsidR="009E442D">
        <w:t xml:space="preserve"> women-concentrated </w:t>
      </w:r>
      <w:r w:rsidR="00C9657E" w:rsidRPr="00C9657E">
        <w:t xml:space="preserve">may increase their proportion of women without concern during the period where the wider industry is </w:t>
      </w:r>
      <w:r w:rsidR="009E442D">
        <w:t xml:space="preserve">gradually </w:t>
      </w:r>
      <w:r w:rsidR="00C9657E" w:rsidRPr="00C9657E">
        <w:t>shifting</w:t>
      </w:r>
      <w:r w:rsidR="009E442D">
        <w:t xml:space="preserve"> towards greater gender balance.</w:t>
      </w:r>
      <w:r w:rsidRPr="008F1A3E">
        <w:t xml:space="preserve"> The </w:t>
      </w:r>
      <w:r w:rsidR="002F55AB">
        <w:t>‘</w:t>
      </w:r>
      <w:r w:rsidRPr="008F1A3E">
        <w:t>poor</w:t>
      </w:r>
      <w:r w:rsidR="002F55AB">
        <w:t>’</w:t>
      </w:r>
      <w:r w:rsidRPr="008F1A3E">
        <w:t xml:space="preserve"> label reflects movement away from </w:t>
      </w:r>
      <w:r w:rsidR="00501A80" w:rsidRPr="00501A80">
        <w:t>a 45:45:10</w:t>
      </w:r>
      <w:r w:rsidR="00501A80">
        <w:t xml:space="preserve"> sp</w:t>
      </w:r>
      <w:r w:rsidR="00D43286">
        <w:t>lit</w:t>
      </w:r>
      <w:r w:rsidR="00B2631C" w:rsidRPr="008F1A3E">
        <w:t>,</w:t>
      </w:r>
      <w:r w:rsidRPr="008F1A3E">
        <w:t xml:space="preserve"> </w:t>
      </w:r>
      <w:r w:rsidR="00EC3C38">
        <w:t>but it</w:t>
      </w:r>
      <w:r w:rsidRPr="008F1A3E">
        <w:t xml:space="preserve"> does not indicate a gender equality problem on these boards</w:t>
      </w:r>
      <w:r w:rsidR="00F65FEA">
        <w:t xml:space="preserve"> at the present time</w:t>
      </w:r>
      <w:r w:rsidRPr="008F1A3E">
        <w:t>. Women</w:t>
      </w:r>
      <w:r w:rsidR="002F55AB">
        <w:t>’</w:t>
      </w:r>
      <w:r w:rsidRPr="008F1A3E">
        <w:t>s expertise and experience being valued at the governance level in industries where women predominate is a reasonable and acceptable outcome</w:t>
      </w:r>
      <w:r w:rsidR="00B32145">
        <w:t xml:space="preserve"> in a context of ongoing gender</w:t>
      </w:r>
      <w:r w:rsidR="00456E39">
        <w:t xml:space="preserve"> </w:t>
      </w:r>
      <w:r w:rsidR="00B32145">
        <w:lastRenderedPageBreak/>
        <w:t>inequality</w:t>
      </w:r>
      <w:r w:rsidRPr="008F1A3E">
        <w:t>.</w:t>
      </w:r>
      <w:r w:rsidR="00567319">
        <w:t xml:space="preserve"> As noted above, the overall goal should be to bring </w:t>
      </w:r>
      <w:r w:rsidR="00AA4DFF">
        <w:t>both the employee population and the board closer to balance.</w:t>
      </w:r>
      <w:r w:rsidRPr="008F1A3E">
        <w:t xml:space="preserve"> (</w:t>
      </w:r>
      <w:hyperlink w:anchor="_Data_measures" w:history="1">
        <w:r w:rsidR="00106442">
          <w:rPr>
            <w:rStyle w:val="Hyperlink"/>
            <w:rFonts w:cs="Times New Roman"/>
          </w:rPr>
          <w:t>Data measures</w:t>
        </w:r>
      </w:hyperlink>
      <w:r w:rsidR="00106442">
        <w:t xml:space="preserve"> in </w:t>
      </w:r>
      <w:r w:rsidRPr="008F1A3E">
        <w:t xml:space="preserve">Appendix 1 explains how the ratings are calculated and why a movement away from </w:t>
      </w:r>
      <w:r w:rsidR="00D43286" w:rsidRPr="00D43286">
        <w:t xml:space="preserve">a 45:45:10 </w:t>
      </w:r>
      <w:r w:rsidR="00D43286">
        <w:t>split</w:t>
      </w:r>
      <w:r w:rsidRPr="008F1A3E">
        <w:t xml:space="preserve"> is scored this way regardless of direction.)</w:t>
      </w:r>
    </w:p>
    <w:p w14:paraId="2F0FA0AD" w14:textId="708D0685" w:rsidR="00F4091C" w:rsidRDefault="00280AAC" w:rsidP="005F688D">
      <w:pPr>
        <w:pStyle w:val="Heading3"/>
      </w:pPr>
      <w:r>
        <w:t>Areas for attention</w:t>
      </w:r>
    </w:p>
    <w:p w14:paraId="7A128C4B" w14:textId="44F1D282" w:rsidR="00BB47F6" w:rsidRPr="00BB47F6" w:rsidRDefault="00D828BE" w:rsidP="00BB47F6">
      <w:pPr>
        <w:pStyle w:val="Heading4"/>
      </w:pPr>
      <w:r>
        <w:t xml:space="preserve">Local government </w:t>
      </w:r>
      <w:r w:rsidR="003F6BA5">
        <w:t>was</w:t>
      </w:r>
      <w:r>
        <w:t xml:space="preserve"> the only industry</w:t>
      </w:r>
      <w:r w:rsidR="00CF3C7E">
        <w:t xml:space="preserve"> where women </w:t>
      </w:r>
      <w:r w:rsidR="003F6BA5">
        <w:t>were</w:t>
      </w:r>
      <w:r w:rsidR="00CF3C7E">
        <w:t xml:space="preserve"> underrepresented on governing bodies</w:t>
      </w:r>
    </w:p>
    <w:p w14:paraId="234DC3FC" w14:textId="4D331F9D" w:rsidR="00572D37" w:rsidRPr="00572D37" w:rsidRDefault="00572D37" w:rsidP="0078531C">
      <w:pPr>
        <w:pStyle w:val="BodyText"/>
        <w:rPr>
          <w:lang w:eastAsia="en-AU"/>
        </w:rPr>
      </w:pPr>
      <w:r w:rsidRPr="00572D37">
        <w:t>Every</w:t>
      </w:r>
      <w:r w:rsidR="00B06BE6" w:rsidRPr="004F36D2">
        <w:t xml:space="preserve"> industr</w:t>
      </w:r>
      <w:r w:rsidR="004F36D2" w:rsidRPr="004F36D2">
        <w:t xml:space="preserve">y </w:t>
      </w:r>
      <w:r w:rsidR="000822DF">
        <w:t>except local government</w:t>
      </w:r>
      <w:r w:rsidR="004F36D2" w:rsidRPr="004F36D2">
        <w:t xml:space="preserve"> either achieved gender balance or </w:t>
      </w:r>
      <w:r w:rsidR="004F36D2" w:rsidRPr="00C27278">
        <w:t>ha</w:t>
      </w:r>
      <w:r w:rsidR="00F6624E">
        <w:t>d</w:t>
      </w:r>
      <w:r w:rsidR="004F36D2" w:rsidRPr="004F36D2">
        <w:t xml:space="preserve"> </w:t>
      </w:r>
      <w:r w:rsidRPr="00572D37">
        <w:t xml:space="preserve">a higher share </w:t>
      </w:r>
      <w:r w:rsidR="004F36D2" w:rsidRPr="004F36D2">
        <w:t>of women</w:t>
      </w:r>
      <w:r w:rsidR="000F5C1B" w:rsidRPr="00C27278">
        <w:t xml:space="preserve"> on boards</w:t>
      </w:r>
      <w:r w:rsidR="00F6624E">
        <w:t xml:space="preserve"> in 2025</w:t>
      </w:r>
      <w:r w:rsidR="000822DF" w:rsidRPr="00C27278">
        <w:t>.</w:t>
      </w:r>
      <w:r w:rsidR="000822DF">
        <w:t xml:space="preserve"> </w:t>
      </w:r>
      <w:r w:rsidRPr="00572D37">
        <w:t>Local government is distinct, because each council</w:t>
      </w:r>
      <w:r w:rsidR="002F55AB">
        <w:t>’</w:t>
      </w:r>
      <w:r w:rsidRPr="00572D37">
        <w:t>s governing body is made up of elected councillors rather than appointed members</w:t>
      </w:r>
      <w:r w:rsidR="008D378F">
        <w:t>. B</w:t>
      </w:r>
      <w:r w:rsidRPr="00572D37">
        <w:t xml:space="preserve">oard composition here reflects election outcomes, not appointment decisions. </w:t>
      </w:r>
      <w:r w:rsidR="00771D30">
        <w:t>Nevertheless, c</w:t>
      </w:r>
      <w:r w:rsidR="003D5CA7">
        <w:t>ouncillors</w:t>
      </w:r>
      <w:r w:rsidRPr="00572D37">
        <w:t xml:space="preserve"> govern some of the services closest to communities – local roads, libraries, planning, maternal and child health, waste and recreation – </w:t>
      </w:r>
      <w:r w:rsidR="00E35F3C">
        <w:t xml:space="preserve">yet </w:t>
      </w:r>
      <w:r w:rsidR="00794E35">
        <w:t>remain</w:t>
      </w:r>
      <w:r w:rsidRPr="00572D37">
        <w:t xml:space="preserve"> less gender balanced than </w:t>
      </w:r>
      <w:r w:rsidR="00794E35">
        <w:t xml:space="preserve">the </w:t>
      </w:r>
      <w:r w:rsidR="00051CEE">
        <w:t xml:space="preserve">governing bodies </w:t>
      </w:r>
      <w:r w:rsidRPr="00572D37">
        <w:t>in any other part of the sector.</w:t>
      </w:r>
    </w:p>
    <w:p w14:paraId="0B42D019" w14:textId="1BC22047" w:rsidR="00E40770" w:rsidRDefault="0059073B" w:rsidP="0078531C">
      <w:pPr>
        <w:pStyle w:val="BodyText"/>
      </w:pPr>
      <w:r>
        <w:t>In local government,</w:t>
      </w:r>
      <w:r w:rsidRPr="004F36D2">
        <w:t xml:space="preserve"> </w:t>
      </w:r>
      <w:r w:rsidR="00572D37" w:rsidRPr="00572D37">
        <w:t>women</w:t>
      </w:r>
      <w:r w:rsidR="002F55AB">
        <w:t>’</w:t>
      </w:r>
      <w:r w:rsidR="00572D37" w:rsidRPr="00572D37">
        <w:t>s</w:t>
      </w:r>
      <w:r w:rsidRPr="004F36D2">
        <w:t xml:space="preserve"> representation </w:t>
      </w:r>
      <w:r w:rsidR="008D75E8">
        <w:t xml:space="preserve">in governing bodies </w:t>
      </w:r>
      <w:r w:rsidR="00572D37" w:rsidRPr="00572D37">
        <w:t>went</w:t>
      </w:r>
      <w:r w:rsidRPr="004F36D2">
        <w:t xml:space="preserve"> backwards.</w:t>
      </w:r>
      <w:r>
        <w:t xml:space="preserve"> </w:t>
      </w:r>
      <w:r w:rsidR="00D8682A">
        <w:t>T</w:t>
      </w:r>
      <w:r w:rsidR="00572D37" w:rsidRPr="00572D37">
        <w:t>he share</w:t>
      </w:r>
      <w:r w:rsidR="00763FD0">
        <w:t xml:space="preserve"> of women elected to councils </w:t>
      </w:r>
      <w:r w:rsidR="00572D37" w:rsidRPr="00572D37">
        <w:t>fell</w:t>
      </w:r>
      <w:r w:rsidR="00763FD0">
        <w:t xml:space="preserve"> from 45.6% </w:t>
      </w:r>
      <w:r w:rsidR="00572D37" w:rsidRPr="00572D37">
        <w:t xml:space="preserve">in 2021 </w:t>
      </w:r>
      <w:r w:rsidR="00763FD0">
        <w:t>to 44.2</w:t>
      </w:r>
      <w:r w:rsidR="00572D37" w:rsidRPr="00572D37">
        <w:t>% in 2025</w:t>
      </w:r>
      <w:r w:rsidR="00F5547B">
        <w:t>.</w:t>
      </w:r>
      <w:r w:rsidR="00962AA8">
        <w:rPr>
          <w:rStyle w:val="FootnoteReference"/>
          <w:rFonts w:cs="Arial"/>
          <w:szCs w:val="21"/>
        </w:rPr>
        <w:footnoteReference w:id="4"/>
      </w:r>
      <w:r w:rsidR="001A7540">
        <w:t xml:space="preserve"> T</w:t>
      </w:r>
      <w:r w:rsidR="00763FD0">
        <w:t xml:space="preserve">he state target of 50% women councillors and mayors by 2025 </w:t>
      </w:r>
      <w:r w:rsidR="001A7540">
        <w:t xml:space="preserve">was not achieved </w:t>
      </w:r>
      <w:r w:rsidR="00763FD0">
        <w:t>(Victorian Government 2023, p.</w:t>
      </w:r>
      <w:r w:rsidR="00572D37" w:rsidRPr="00572D37">
        <w:t xml:space="preserve"> </w:t>
      </w:r>
      <w:r w:rsidR="00763FD0">
        <w:t>65)</w:t>
      </w:r>
      <w:r w:rsidR="00837051">
        <w:t>,</w:t>
      </w:r>
      <w:r w:rsidR="00BD19A8">
        <w:t xml:space="preserve"> nor was the </w:t>
      </w:r>
      <w:r w:rsidR="0009151F">
        <w:t>Commission</w:t>
      </w:r>
      <w:r w:rsidR="004C23C0">
        <w:t>’</w:t>
      </w:r>
      <w:r w:rsidR="0009151F">
        <w:t xml:space="preserve">s </w:t>
      </w:r>
      <w:r w:rsidR="0009151F" w:rsidRPr="0009151F">
        <w:t xml:space="preserve">complementary 45:45:10 </w:t>
      </w:r>
      <w:r w:rsidR="00420B02">
        <w:t xml:space="preserve">board </w:t>
      </w:r>
      <w:r w:rsidR="0009151F" w:rsidRPr="0009151F">
        <w:t>framework</w:t>
      </w:r>
      <w:r w:rsidR="0009151F">
        <w:t>.</w:t>
      </w:r>
      <w:r w:rsidR="00763FD0">
        <w:t xml:space="preserve"> </w:t>
      </w:r>
      <w:r w:rsidR="00572D37" w:rsidRPr="00572D37">
        <w:t>The Commission</w:t>
      </w:r>
      <w:r w:rsidR="002F55AB">
        <w:t>’</w:t>
      </w:r>
      <w:r w:rsidR="00572D37" w:rsidRPr="00572D37">
        <w:t>s</w:t>
      </w:r>
      <w:r w:rsidR="00CD28D3">
        <w:t xml:space="preserve"> 2025 audit data </w:t>
      </w:r>
      <w:r w:rsidR="00572D37" w:rsidRPr="00572D37">
        <w:t>also identified</w:t>
      </w:r>
      <w:r w:rsidR="00CD28D3">
        <w:t xml:space="preserve"> </w:t>
      </w:r>
      <w:r w:rsidR="00D60FDD">
        <w:t xml:space="preserve">8 councils with only one woman councillor and 15 councils with only </w:t>
      </w:r>
      <w:r w:rsidR="00053542">
        <w:t>2</w:t>
      </w:r>
      <w:r w:rsidR="00572D37" w:rsidRPr="00572D37">
        <w:t xml:space="preserve">. This </w:t>
      </w:r>
      <w:r w:rsidR="00623B29">
        <w:t xml:space="preserve">is </w:t>
      </w:r>
      <w:r w:rsidR="00572D37" w:rsidRPr="00572D37">
        <w:t xml:space="preserve">a </w:t>
      </w:r>
      <w:r w:rsidR="00623B29">
        <w:t>disappointing</w:t>
      </w:r>
      <w:r w:rsidR="00572D37" w:rsidRPr="00572D37">
        <w:t xml:space="preserve"> result, particularly given the </w:t>
      </w:r>
      <w:r w:rsidR="00623B29">
        <w:t xml:space="preserve">significant effort </w:t>
      </w:r>
      <w:r w:rsidR="00572D37" w:rsidRPr="00572D37">
        <w:t>many councils have put into encouraging more women to stand – including</w:t>
      </w:r>
      <w:r w:rsidR="003C46BF">
        <w:t xml:space="preserve"> partnerships with peak bodies and</w:t>
      </w:r>
      <w:r w:rsidR="00623B29">
        <w:t xml:space="preserve"> campaigns such as </w:t>
      </w:r>
      <w:r w:rsidR="0099692E" w:rsidRPr="00FF70B0">
        <w:t xml:space="preserve">1000 </w:t>
      </w:r>
      <w:r w:rsidR="0099692E">
        <w:t>W</w:t>
      </w:r>
      <w:r w:rsidR="0099692E" w:rsidRPr="00FF70B0">
        <w:t xml:space="preserve">omen </w:t>
      </w:r>
      <w:r w:rsidR="0099692E">
        <w:t>S</w:t>
      </w:r>
      <w:r w:rsidR="0099692E" w:rsidRPr="00FF70B0">
        <w:t>tanding</w:t>
      </w:r>
      <w:r w:rsidR="00623B29">
        <w:t xml:space="preserve">. </w:t>
      </w:r>
    </w:p>
    <w:p w14:paraId="43EE2420" w14:textId="4D5FB256" w:rsidR="008F375E" w:rsidRDefault="00D67A99" w:rsidP="0078531C">
      <w:pPr>
        <w:pStyle w:val="BodyText"/>
        <w:rPr>
          <w:lang w:eastAsia="en-AU"/>
        </w:rPr>
      </w:pPr>
      <w:r>
        <w:t>R</w:t>
      </w:r>
      <w:r w:rsidR="00F6384D">
        <w:t>esearch</w:t>
      </w:r>
      <w:r w:rsidR="00F6384D" w:rsidDel="00D67A99">
        <w:t xml:space="preserve"> </w:t>
      </w:r>
      <w:r w:rsidR="00C51F50" w:rsidRPr="00C51F50">
        <w:t>on</w:t>
      </w:r>
      <w:r w:rsidR="00F6384D">
        <w:t xml:space="preserve"> the experience of Victorian councillors between </w:t>
      </w:r>
      <w:r w:rsidR="00326754">
        <w:t xml:space="preserve">2020 and 2024 </w:t>
      </w:r>
      <w:r w:rsidR="00C51F50" w:rsidRPr="00C51F50">
        <w:t>points to</w:t>
      </w:r>
      <w:r w:rsidR="00326754">
        <w:t xml:space="preserve"> significant barriers </w:t>
      </w:r>
      <w:r w:rsidR="0059127C">
        <w:t>to</w:t>
      </w:r>
      <w:r w:rsidR="00326754">
        <w:t xml:space="preserve"> women running for</w:t>
      </w:r>
      <w:r w:rsidR="00C85C9D">
        <w:t>,</w:t>
      </w:r>
      <w:r w:rsidR="00326754">
        <w:t xml:space="preserve"> and serving on</w:t>
      </w:r>
      <w:r w:rsidR="00C85C9D">
        <w:t>,</w:t>
      </w:r>
      <w:r w:rsidR="00326754">
        <w:t xml:space="preserve"> councils. These include </w:t>
      </w:r>
      <w:r w:rsidR="00C51F50" w:rsidRPr="00C51F50">
        <w:t>difficult</w:t>
      </w:r>
      <w:r w:rsidR="00663B22">
        <w:t>ies</w:t>
      </w:r>
      <w:r w:rsidR="00862A76">
        <w:t xml:space="preserve"> balancing </w:t>
      </w:r>
      <w:r w:rsidR="00C51F50" w:rsidRPr="00C51F50">
        <w:t>caring responsibilities</w:t>
      </w:r>
      <w:r w:rsidR="00862A76">
        <w:t xml:space="preserve"> with </w:t>
      </w:r>
      <w:r w:rsidR="00C51F50" w:rsidRPr="00C51F50">
        <w:t>council</w:t>
      </w:r>
      <w:r w:rsidR="00862A76">
        <w:t xml:space="preserve"> demands, </w:t>
      </w:r>
      <w:r w:rsidR="00C51F50" w:rsidRPr="00C51F50">
        <w:t>and</w:t>
      </w:r>
      <w:r w:rsidR="00077F94">
        <w:t xml:space="preserve"> </w:t>
      </w:r>
      <w:r w:rsidR="00EA670A">
        <w:t xml:space="preserve">sustained gender-based harassment and abuse from </w:t>
      </w:r>
      <w:r w:rsidR="00C51F50" w:rsidRPr="00C51F50">
        <w:t>members of the public, the</w:t>
      </w:r>
      <w:r w:rsidR="00EA670A">
        <w:t xml:space="preserve"> media and other councillors (</w:t>
      </w:r>
      <w:r w:rsidR="00EA670A">
        <w:rPr>
          <w:lang w:eastAsia="en-AU"/>
        </w:rPr>
        <w:t>Carson and Ruppanner 2024)</w:t>
      </w:r>
      <w:r w:rsidR="00EA670A" w:rsidRPr="0030704F">
        <w:rPr>
          <w:lang w:eastAsia="en-AU"/>
        </w:rPr>
        <w:t>.</w:t>
      </w:r>
    </w:p>
    <w:tbl>
      <w:tblPr>
        <w:tblStyle w:val="TableGrid"/>
        <w:tblW w:w="0" w:type="auto"/>
        <w:tblLook w:val="04A0" w:firstRow="1" w:lastRow="0" w:firstColumn="1" w:lastColumn="0" w:noHBand="0" w:noVBand="1"/>
      </w:tblPr>
      <w:tblGrid>
        <w:gridCol w:w="9288"/>
      </w:tblGrid>
      <w:tr w:rsidR="00C75CFF" w14:paraId="334F79A2" w14:textId="77777777" w:rsidTr="005F688D">
        <w:tc>
          <w:tcPr>
            <w:tcW w:w="9288" w:type="dxa"/>
            <w:tcBorders>
              <w:top w:val="nil"/>
              <w:left w:val="nil"/>
              <w:bottom w:val="nil"/>
              <w:right w:val="nil"/>
            </w:tcBorders>
            <w:shd w:val="clear" w:color="auto" w:fill="E3F3F9"/>
          </w:tcPr>
          <w:p w14:paraId="5D4C1E9C" w14:textId="77777777" w:rsidR="00C75CFF" w:rsidRDefault="00C75CFF" w:rsidP="00C75CFF">
            <w:pPr>
              <w:pStyle w:val="Heading2"/>
            </w:pPr>
            <w:bookmarkStart w:id="29" w:name="_Toc237259522"/>
            <w:r>
              <w:lastRenderedPageBreak/>
              <w:t>Commissioner expectations</w:t>
            </w:r>
            <w:bookmarkEnd w:id="29"/>
          </w:p>
          <w:p w14:paraId="30A6E0A7" w14:textId="3FE243CB" w:rsidR="00F11D79" w:rsidRPr="00F11D79" w:rsidRDefault="00F11D79" w:rsidP="004444B7">
            <w:pPr>
              <w:pStyle w:val="BodyText"/>
            </w:pPr>
            <w:r w:rsidRPr="00F11D79">
              <w:t xml:space="preserve">The Commissioner expects continued vigilance on board composition. Strong progress </w:t>
            </w:r>
            <w:r w:rsidR="00E07BEA">
              <w:t xml:space="preserve">across most of the sector </w:t>
            </w:r>
            <w:r w:rsidRPr="00F11D79">
              <w:t>should not give way to complacency</w:t>
            </w:r>
            <w:r w:rsidR="008E338D">
              <w:t>.</w:t>
            </w:r>
            <w:r w:rsidRPr="00F11D79">
              <w:t xml:space="preserve"> </w:t>
            </w:r>
            <w:r w:rsidR="008E338D">
              <w:t>O</w:t>
            </w:r>
            <w:r w:rsidRPr="00F11D79">
              <w:t xml:space="preserve">rganisations must keep monitoring </w:t>
            </w:r>
            <w:r w:rsidR="00405923">
              <w:t xml:space="preserve">governing body </w:t>
            </w:r>
            <w:r w:rsidR="005A130E">
              <w:t xml:space="preserve">gender </w:t>
            </w:r>
            <w:r w:rsidRPr="00F11D79">
              <w:t>composition and act on any inequalities they identify. Balanced governance matters not only for fairness in who holds decision-making power, but for the quality and reach of the services these boards oversee for Victorian communities.</w:t>
            </w:r>
          </w:p>
          <w:p w14:paraId="0D0522B0" w14:textId="7681A084" w:rsidR="00F11D79" w:rsidRPr="00F11D79" w:rsidRDefault="00F11D79" w:rsidP="004444B7">
            <w:pPr>
              <w:pStyle w:val="BodyText"/>
            </w:pPr>
            <w:r w:rsidRPr="00F11D79">
              <w:t xml:space="preserve">Duty holders must continue to ensure diverse voices are represented on their governing bodies. Organisations that control their own board membership should consider gender alongside other attributes when recruiting members. Those that do not make appointments should actively advocate to the relevant Minister or appointments committee to ensure gender and </w:t>
            </w:r>
            <w:r w:rsidR="008614E3">
              <w:t xml:space="preserve">other forms of </w:t>
            </w:r>
            <w:r w:rsidRPr="00F11D79">
              <w:t>diversity are considered</w:t>
            </w:r>
            <w:r w:rsidR="00821F8F">
              <w:t>. Taking action in this way</w:t>
            </w:r>
            <w:r w:rsidRPr="00F11D79">
              <w:t xml:space="preserve"> recognis</w:t>
            </w:r>
            <w:r w:rsidR="00821F8F">
              <w:t>es</w:t>
            </w:r>
            <w:r w:rsidRPr="00F11D79">
              <w:t xml:space="preserve"> that the composition of these boards shapes decisions affecting the whole community. Duty holders should also</w:t>
            </w:r>
            <w:r w:rsidR="00CA1143">
              <w:t xml:space="preserve"> </w:t>
            </w:r>
            <w:r w:rsidRPr="00F11D79">
              <w:t>continue to build their pipeline of women leaders through programs and initiatives suited to their industry, including preparing women for board roles where appropriate.</w:t>
            </w:r>
          </w:p>
          <w:p w14:paraId="1910805F" w14:textId="4DC700C1" w:rsidR="00F11D79" w:rsidRPr="00F11D79" w:rsidRDefault="00C75CFF" w:rsidP="004444B7">
            <w:pPr>
              <w:pStyle w:val="BodyText"/>
            </w:pPr>
            <w:r>
              <w:t xml:space="preserve">In local government specifically, gender-based bullying and harassment of women candidates and councillors is </w:t>
            </w:r>
            <w:r w:rsidR="0082292B">
              <w:t xml:space="preserve">a </w:t>
            </w:r>
            <w:r w:rsidR="00F11D79" w:rsidRPr="00F11D79">
              <w:t>serious</w:t>
            </w:r>
            <w:r>
              <w:t xml:space="preserve"> concern. </w:t>
            </w:r>
            <w:r w:rsidR="00821F8F">
              <w:t>B</w:t>
            </w:r>
            <w:r w:rsidR="00F11D79" w:rsidRPr="00F11D79">
              <w:t>ecause councillors govern services that communities depend on, barriers to women</w:t>
            </w:r>
            <w:r w:rsidR="002F55AB">
              <w:t>’</w:t>
            </w:r>
            <w:r w:rsidR="00F11D79" w:rsidRPr="00F11D79">
              <w:t xml:space="preserve">s participation have </w:t>
            </w:r>
            <w:r w:rsidR="001F0EA1">
              <w:t xml:space="preserve">additional </w:t>
            </w:r>
            <w:r w:rsidR="00F11D79" w:rsidRPr="00F11D79">
              <w:t xml:space="preserve">consequences well beyond the </w:t>
            </w:r>
            <w:r>
              <w:t xml:space="preserve">council </w:t>
            </w:r>
            <w:r w:rsidR="00F11D79" w:rsidRPr="00F11D79">
              <w:t xml:space="preserve">chamber. Council schedules and </w:t>
            </w:r>
            <w:r>
              <w:t xml:space="preserve">rules that make it </w:t>
            </w:r>
            <w:r w:rsidR="00F11D79" w:rsidRPr="00F11D79">
              <w:t>hard</w:t>
            </w:r>
            <w:r>
              <w:t xml:space="preserve"> to balance </w:t>
            </w:r>
            <w:r w:rsidR="00F11D79" w:rsidRPr="00F11D79">
              <w:t xml:space="preserve">council duties with </w:t>
            </w:r>
            <w:r w:rsidR="008C7B96">
              <w:t>caring</w:t>
            </w:r>
            <w:r>
              <w:t xml:space="preserve"> responsibilities can also </w:t>
            </w:r>
            <w:r w:rsidR="00F11D79" w:rsidRPr="00F11D79">
              <w:t>limit women</w:t>
            </w:r>
            <w:r w:rsidR="002F55AB">
              <w:t>’</w:t>
            </w:r>
            <w:r w:rsidR="00F11D79" w:rsidRPr="00F11D79">
              <w:t>s</w:t>
            </w:r>
            <w:r w:rsidR="002D4582">
              <w:t xml:space="preserve"> participation</w:t>
            </w:r>
            <w:r>
              <w:t xml:space="preserve">. Peak bodies have done </w:t>
            </w:r>
            <w:r w:rsidR="00F11D79" w:rsidRPr="00F11D79">
              <w:t>valuable</w:t>
            </w:r>
            <w:r>
              <w:t xml:space="preserve"> work to address these barriers</w:t>
            </w:r>
            <w:r w:rsidR="001A324A">
              <w:t>.</w:t>
            </w:r>
            <w:r>
              <w:t xml:space="preserve"> </w:t>
            </w:r>
            <w:r w:rsidR="001A324A">
              <w:t>I</w:t>
            </w:r>
            <w:r w:rsidR="00F11D79" w:rsidRPr="00F11D79">
              <w:t>ndividual councils</w:t>
            </w:r>
            <w:r>
              <w:t xml:space="preserve"> </w:t>
            </w:r>
            <w:r w:rsidR="001143F7">
              <w:t>must</w:t>
            </w:r>
            <w:r>
              <w:t xml:space="preserve"> consider how gender inequality </w:t>
            </w:r>
            <w:r w:rsidR="00F11D79" w:rsidRPr="00F11D79">
              <w:t>shows up</w:t>
            </w:r>
            <w:r>
              <w:t xml:space="preserve"> in their </w:t>
            </w:r>
            <w:r w:rsidR="00F11D79" w:rsidRPr="00F11D79">
              <w:t>own</w:t>
            </w:r>
            <w:r>
              <w:t xml:space="preserve"> context </w:t>
            </w:r>
            <w:r w:rsidR="0071304B">
              <w:t>and</w:t>
            </w:r>
            <w:r>
              <w:t xml:space="preserve"> </w:t>
            </w:r>
            <w:r w:rsidR="00481DDB">
              <w:t>develop strategies</w:t>
            </w:r>
            <w:r>
              <w:t xml:space="preserve"> to address </w:t>
            </w:r>
            <w:r w:rsidR="00F11D79" w:rsidRPr="00F11D79">
              <w:t xml:space="preserve">the </w:t>
            </w:r>
            <w:r>
              <w:t xml:space="preserve">gendered barriers to standing for </w:t>
            </w:r>
            <w:r w:rsidR="00F11D79" w:rsidRPr="00F11D79">
              <w:t>election</w:t>
            </w:r>
            <w:r w:rsidR="00632DF3">
              <w:t xml:space="preserve"> and participating </w:t>
            </w:r>
            <w:r w:rsidR="00BA6122">
              <w:t>once elected</w:t>
            </w:r>
            <w:r w:rsidR="00F11D79" w:rsidRPr="00F11D79">
              <w:t>.</w:t>
            </w:r>
          </w:p>
          <w:p w14:paraId="586EF23A" w14:textId="61E0AC43" w:rsidR="00C75CFF" w:rsidRDefault="00C75CFF" w:rsidP="0078531C">
            <w:pPr>
              <w:pStyle w:val="BodyText"/>
            </w:pPr>
            <w:r>
              <w:t xml:space="preserve">You can read more </w:t>
            </w:r>
            <w:r w:rsidR="0071304B">
              <w:t>about</w:t>
            </w:r>
            <w:r>
              <w:t xml:space="preserve"> </w:t>
            </w:r>
            <w:hyperlink r:id="rId31" w:history="1">
              <w:r w:rsidR="0071304B">
                <w:rPr>
                  <w:rStyle w:val="Hyperlink"/>
                  <w:rFonts w:cs="Times New Roman"/>
                </w:rPr>
                <w:t>h</w:t>
              </w:r>
              <w:r w:rsidRPr="00C75CFF">
                <w:rPr>
                  <w:rStyle w:val="Hyperlink"/>
                  <w:rFonts w:cs="Times New Roman"/>
                </w:rPr>
                <w:t>ow local government GEAPs can support more women to stand for council</w:t>
              </w:r>
            </w:hyperlink>
            <w:r>
              <w:t>.</w:t>
            </w:r>
          </w:p>
        </w:tc>
      </w:tr>
    </w:tbl>
    <w:p w14:paraId="465E337E" w14:textId="761A6D86" w:rsidR="007B6873" w:rsidRDefault="007B6873" w:rsidP="007B6873">
      <w:pPr>
        <w:pStyle w:val="Heading1"/>
      </w:pPr>
      <w:bookmarkStart w:id="30" w:name="_Toc237259523"/>
      <w:r>
        <w:t xml:space="preserve">Indicator </w:t>
      </w:r>
      <w:r w:rsidR="00D2329E" w:rsidRPr="009C57F5">
        <w:t xml:space="preserve">3: Gender </w:t>
      </w:r>
      <w:r w:rsidR="00BA3693">
        <w:t>p</w:t>
      </w:r>
      <w:r w:rsidR="00D2329E" w:rsidRPr="009C57F5">
        <w:t xml:space="preserve">ay </w:t>
      </w:r>
      <w:r w:rsidR="00BA3693">
        <w:t>g</w:t>
      </w:r>
      <w:r w:rsidR="00D2329E" w:rsidRPr="009C57F5">
        <w:t>aps</w:t>
      </w:r>
      <w:bookmarkEnd w:id="30"/>
    </w:p>
    <w:p w14:paraId="26EA45D6" w14:textId="77777777" w:rsidR="007B6873" w:rsidRDefault="007B6873" w:rsidP="007B6873">
      <w:pPr>
        <w:pStyle w:val="Heading2"/>
      </w:pPr>
      <w:bookmarkStart w:id="31" w:name="_Toc237259524"/>
      <w:r>
        <w:t>Why this matters</w:t>
      </w:r>
      <w:bookmarkEnd w:id="31"/>
    </w:p>
    <w:p w14:paraId="62A03105" w14:textId="1D5C6ABB" w:rsidR="00940BAE" w:rsidRDefault="00BC2DC8" w:rsidP="0078531C">
      <w:pPr>
        <w:pStyle w:val="BodyText"/>
        <w:rPr>
          <w:lang w:eastAsia="en-AU"/>
        </w:rPr>
      </w:pPr>
      <w:r w:rsidRPr="00BC2DC8">
        <w:rPr>
          <w:lang w:eastAsia="en-AU"/>
        </w:rPr>
        <w:t>The gender pay gap measures the difference in earnings between gender groups</w:t>
      </w:r>
      <w:r w:rsidR="00E40B47">
        <w:rPr>
          <w:lang w:eastAsia="en-AU"/>
        </w:rPr>
        <w:t xml:space="preserve"> (usually women and men)</w:t>
      </w:r>
      <w:r w:rsidRPr="00BC2DC8">
        <w:rPr>
          <w:lang w:eastAsia="en-AU"/>
        </w:rPr>
        <w:t xml:space="preserve">. </w:t>
      </w:r>
      <w:r w:rsidR="00E40B47">
        <w:rPr>
          <w:lang w:eastAsia="en-AU"/>
        </w:rPr>
        <w:t>This is different to</w:t>
      </w:r>
      <w:r w:rsidR="003849AB">
        <w:rPr>
          <w:lang w:eastAsia="en-AU"/>
        </w:rPr>
        <w:t xml:space="preserve"> unequal pay</w:t>
      </w:r>
      <w:r w:rsidR="0093486E">
        <w:rPr>
          <w:lang w:eastAsia="en-AU"/>
        </w:rPr>
        <w:t xml:space="preserve"> based on gender</w:t>
      </w:r>
      <w:r w:rsidR="003849AB">
        <w:rPr>
          <w:lang w:eastAsia="en-AU"/>
        </w:rPr>
        <w:t xml:space="preserve">, which </w:t>
      </w:r>
      <w:r w:rsidR="002C5388">
        <w:rPr>
          <w:lang w:eastAsia="en-AU"/>
        </w:rPr>
        <w:t xml:space="preserve">occurs </w:t>
      </w:r>
      <w:r w:rsidR="003849AB">
        <w:rPr>
          <w:lang w:eastAsia="en-AU"/>
        </w:rPr>
        <w:t xml:space="preserve">when </w:t>
      </w:r>
      <w:r w:rsidR="004A6DA7">
        <w:rPr>
          <w:lang w:eastAsia="en-AU"/>
        </w:rPr>
        <w:t>people of different genders</w:t>
      </w:r>
      <w:r w:rsidR="00584D08">
        <w:rPr>
          <w:lang w:eastAsia="en-AU"/>
        </w:rPr>
        <w:t xml:space="preserve"> are paid differently for performing the same work</w:t>
      </w:r>
      <w:r w:rsidR="002C5388">
        <w:rPr>
          <w:lang w:eastAsia="en-AU"/>
        </w:rPr>
        <w:t xml:space="preserve"> or work of equal or comparable value</w:t>
      </w:r>
      <w:r w:rsidR="003849AB">
        <w:rPr>
          <w:lang w:eastAsia="en-AU"/>
        </w:rPr>
        <w:t xml:space="preserve">. </w:t>
      </w:r>
      <w:r w:rsidR="00665E92">
        <w:rPr>
          <w:lang w:eastAsia="en-AU"/>
        </w:rPr>
        <w:t>Unequal pay</w:t>
      </w:r>
      <w:r w:rsidR="00DC6A58">
        <w:rPr>
          <w:lang w:eastAsia="en-AU"/>
        </w:rPr>
        <w:t xml:space="preserve"> is </w:t>
      </w:r>
      <w:r w:rsidR="00045672">
        <w:rPr>
          <w:lang w:eastAsia="en-AU"/>
        </w:rPr>
        <w:t>unlawful</w:t>
      </w:r>
      <w:r w:rsidR="00DC6A58">
        <w:rPr>
          <w:lang w:eastAsia="en-AU"/>
        </w:rPr>
        <w:t xml:space="preserve"> in Australia. </w:t>
      </w:r>
      <w:r w:rsidR="00784499">
        <w:rPr>
          <w:lang w:eastAsia="en-AU"/>
        </w:rPr>
        <w:t xml:space="preserve">While unequal pay can contribute to gender pay gaps, gender pay gaps </w:t>
      </w:r>
      <w:r w:rsidR="00707BF3">
        <w:rPr>
          <w:lang w:eastAsia="en-AU"/>
        </w:rPr>
        <w:t>reveal</w:t>
      </w:r>
      <w:r w:rsidR="00DC6A58">
        <w:rPr>
          <w:lang w:eastAsia="en-AU"/>
        </w:rPr>
        <w:t xml:space="preserve"> broader</w:t>
      </w:r>
      <w:r w:rsidR="00707BF3">
        <w:rPr>
          <w:lang w:eastAsia="en-AU"/>
        </w:rPr>
        <w:t xml:space="preserve"> inequalities</w:t>
      </w:r>
      <w:r w:rsidR="00DC6A58">
        <w:rPr>
          <w:lang w:eastAsia="en-AU"/>
        </w:rPr>
        <w:t>. They</w:t>
      </w:r>
      <w:r w:rsidR="00784499" w:rsidDel="00045672">
        <w:rPr>
          <w:lang w:eastAsia="en-AU"/>
        </w:rPr>
        <w:t xml:space="preserve"> </w:t>
      </w:r>
      <w:r w:rsidR="00045672">
        <w:rPr>
          <w:lang w:eastAsia="en-AU"/>
        </w:rPr>
        <w:t>compare the average earnings of women and men across a workforce</w:t>
      </w:r>
      <w:r w:rsidR="00C92062">
        <w:rPr>
          <w:lang w:eastAsia="en-AU"/>
        </w:rPr>
        <w:t>, reflecting the combined effects of factors such as occupational segregation, workforce participation</w:t>
      </w:r>
      <w:r w:rsidR="009F3802">
        <w:rPr>
          <w:lang w:eastAsia="en-AU"/>
        </w:rPr>
        <w:t>, seniority, working hours, and in some cases, unequal pay.</w:t>
      </w:r>
    </w:p>
    <w:p w14:paraId="6C9D52F1" w14:textId="44F52F80" w:rsidR="0049549F" w:rsidRDefault="00675623" w:rsidP="0078531C">
      <w:pPr>
        <w:pStyle w:val="BodyText"/>
        <w:rPr>
          <w:lang w:eastAsia="en-AU"/>
        </w:rPr>
      </w:pPr>
      <w:r>
        <w:rPr>
          <w:lang w:eastAsia="en-AU"/>
        </w:rPr>
        <w:t>Gender pay gaps</w:t>
      </w:r>
      <w:r w:rsidR="00BC2DC8" w:rsidRPr="00BC2DC8">
        <w:rPr>
          <w:lang w:eastAsia="en-AU"/>
        </w:rPr>
        <w:t xml:space="preserve"> shape women</w:t>
      </w:r>
      <w:r w:rsidR="002F55AB">
        <w:rPr>
          <w:lang w:eastAsia="en-AU"/>
        </w:rPr>
        <w:t>’</w:t>
      </w:r>
      <w:r w:rsidR="00BC2DC8" w:rsidRPr="00BC2DC8">
        <w:rPr>
          <w:lang w:eastAsia="en-AU"/>
        </w:rPr>
        <w:t>s financial security across their working lives</w:t>
      </w:r>
      <w:r w:rsidR="00DF0508">
        <w:rPr>
          <w:lang w:eastAsia="en-AU"/>
        </w:rPr>
        <w:t xml:space="preserve"> </w:t>
      </w:r>
      <w:r w:rsidR="006975C1">
        <w:rPr>
          <w:lang w:eastAsia="en-AU"/>
        </w:rPr>
        <w:t>and produce a compounding effect into</w:t>
      </w:r>
      <w:r w:rsidR="00DF0508">
        <w:rPr>
          <w:lang w:eastAsia="en-AU"/>
        </w:rPr>
        <w:t xml:space="preserve"> retirement</w:t>
      </w:r>
      <w:r w:rsidR="00042189">
        <w:rPr>
          <w:lang w:eastAsia="en-AU"/>
        </w:rPr>
        <w:t xml:space="preserve">. </w:t>
      </w:r>
      <w:r w:rsidR="007C4013">
        <w:rPr>
          <w:lang w:eastAsia="en-AU"/>
        </w:rPr>
        <w:t xml:space="preserve">Women </w:t>
      </w:r>
      <w:r w:rsidR="00FD0602">
        <w:rPr>
          <w:lang w:eastAsia="en-AU"/>
        </w:rPr>
        <w:t xml:space="preserve">earn less money than men because they </w:t>
      </w:r>
      <w:r w:rsidR="0034422A">
        <w:rPr>
          <w:lang w:eastAsia="en-AU"/>
        </w:rPr>
        <w:t xml:space="preserve">often work in </w:t>
      </w:r>
      <w:r w:rsidR="000B3831">
        <w:rPr>
          <w:lang w:eastAsia="en-AU"/>
        </w:rPr>
        <w:t>women-concentrated</w:t>
      </w:r>
      <w:r w:rsidR="0034422A">
        <w:rPr>
          <w:lang w:eastAsia="en-AU"/>
        </w:rPr>
        <w:t xml:space="preserve"> occupations and industries that pay less, </w:t>
      </w:r>
      <w:r w:rsidR="00C37B81">
        <w:rPr>
          <w:lang w:eastAsia="en-AU"/>
        </w:rPr>
        <w:t xml:space="preserve">work fewer hours, </w:t>
      </w:r>
      <w:r w:rsidR="00A66E81">
        <w:rPr>
          <w:lang w:eastAsia="en-AU"/>
        </w:rPr>
        <w:t>and</w:t>
      </w:r>
      <w:r w:rsidR="00C37B81">
        <w:rPr>
          <w:lang w:eastAsia="en-AU"/>
        </w:rPr>
        <w:t xml:space="preserve"> spen</w:t>
      </w:r>
      <w:r w:rsidR="00931242">
        <w:rPr>
          <w:lang w:eastAsia="en-AU"/>
        </w:rPr>
        <w:t>d</w:t>
      </w:r>
      <w:r w:rsidR="00C37B81">
        <w:rPr>
          <w:lang w:eastAsia="en-AU"/>
        </w:rPr>
        <w:t xml:space="preserve"> more time on unpaid work like housework and childcare (</w:t>
      </w:r>
      <w:r w:rsidR="008D12C8">
        <w:rPr>
          <w:lang w:eastAsia="en-AU"/>
        </w:rPr>
        <w:t>WGEA</w:t>
      </w:r>
      <w:r w:rsidR="00C37B81">
        <w:rPr>
          <w:lang w:eastAsia="en-AU"/>
        </w:rPr>
        <w:t xml:space="preserve"> e</w:t>
      </w:r>
      <w:r w:rsidR="00D212B4">
        <w:rPr>
          <w:lang w:eastAsia="en-AU"/>
        </w:rPr>
        <w:t>t</w:t>
      </w:r>
      <w:r w:rsidR="00C37B81">
        <w:rPr>
          <w:lang w:eastAsia="en-AU"/>
        </w:rPr>
        <w:t xml:space="preserve"> al. 202</w:t>
      </w:r>
      <w:r w:rsidR="008D12C8">
        <w:rPr>
          <w:lang w:eastAsia="en-AU"/>
        </w:rPr>
        <w:t>6</w:t>
      </w:r>
      <w:r w:rsidR="00C37B81">
        <w:rPr>
          <w:lang w:eastAsia="en-AU"/>
        </w:rPr>
        <w:t>).</w:t>
      </w:r>
      <w:r w:rsidR="00A1296C">
        <w:rPr>
          <w:lang w:eastAsia="en-AU"/>
        </w:rPr>
        <w:t xml:space="preserve"> </w:t>
      </w:r>
      <w:r w:rsidR="00466A94">
        <w:rPr>
          <w:lang w:eastAsia="en-AU"/>
        </w:rPr>
        <w:t>Even when women’s part time pay is converted to a full time equivalent (</w:t>
      </w:r>
      <w:r w:rsidR="005E5446">
        <w:rPr>
          <w:lang w:eastAsia="en-AU"/>
        </w:rPr>
        <w:t>which is how the Commission calculates pay</w:t>
      </w:r>
      <w:r w:rsidR="00466A94">
        <w:rPr>
          <w:lang w:eastAsia="en-AU"/>
        </w:rPr>
        <w:t xml:space="preserve"> </w:t>
      </w:r>
      <w:r w:rsidR="00E07860">
        <w:rPr>
          <w:lang w:eastAsia="en-AU"/>
        </w:rPr>
        <w:t>gaps), they still earn</w:t>
      </w:r>
      <w:r w:rsidR="00D71C35">
        <w:rPr>
          <w:lang w:eastAsia="en-AU"/>
        </w:rPr>
        <w:t xml:space="preserve"> less than men </w:t>
      </w:r>
      <w:r w:rsidR="006974FA">
        <w:rPr>
          <w:lang w:eastAsia="en-AU"/>
        </w:rPr>
        <w:t>on average</w:t>
      </w:r>
      <w:r w:rsidR="00E07860">
        <w:rPr>
          <w:lang w:eastAsia="en-AU"/>
        </w:rPr>
        <w:t>.</w:t>
      </w:r>
      <w:r w:rsidR="00D71C35">
        <w:rPr>
          <w:lang w:eastAsia="en-AU"/>
        </w:rPr>
        <w:t xml:space="preserve"> At retirement age, </w:t>
      </w:r>
      <w:r w:rsidR="006975C1">
        <w:rPr>
          <w:lang w:eastAsia="en-AU"/>
        </w:rPr>
        <w:t>Australian women have around 25% less super than men</w:t>
      </w:r>
      <w:r w:rsidR="009E1743">
        <w:rPr>
          <w:lang w:eastAsia="en-AU"/>
        </w:rPr>
        <w:t xml:space="preserve"> (ASFA 2023)</w:t>
      </w:r>
      <w:r w:rsidR="006975C1">
        <w:rPr>
          <w:lang w:eastAsia="en-AU"/>
        </w:rPr>
        <w:t xml:space="preserve">. </w:t>
      </w:r>
      <w:r w:rsidR="00A1296C">
        <w:rPr>
          <w:lang w:eastAsia="en-AU"/>
        </w:rPr>
        <w:t>Older women are one of the groups most vulnerable to homelessness in Australia (</w:t>
      </w:r>
      <w:r w:rsidR="00FD3EF7">
        <w:rPr>
          <w:lang w:eastAsia="en-AU"/>
        </w:rPr>
        <w:t>Peterson and Tilse</w:t>
      </w:r>
      <w:r w:rsidR="00FB4378">
        <w:rPr>
          <w:lang w:eastAsia="en-AU"/>
        </w:rPr>
        <w:t xml:space="preserve"> 2024</w:t>
      </w:r>
      <w:r w:rsidR="00A1296C">
        <w:rPr>
          <w:lang w:eastAsia="en-AU"/>
        </w:rPr>
        <w:t>).</w:t>
      </w:r>
    </w:p>
    <w:p w14:paraId="1F8F755A" w14:textId="09478AA6" w:rsidR="00987703" w:rsidRPr="00BC2DC8" w:rsidRDefault="00FE3765" w:rsidP="0078531C">
      <w:pPr>
        <w:pStyle w:val="BodyText"/>
        <w:rPr>
          <w:lang w:eastAsia="en-AU"/>
        </w:rPr>
      </w:pPr>
      <w:r w:rsidRPr="00FE3765">
        <w:rPr>
          <w:lang w:eastAsia="en-AU"/>
        </w:rPr>
        <w:lastRenderedPageBreak/>
        <w:t xml:space="preserve">When women have less </w:t>
      </w:r>
      <w:r w:rsidR="0062103F">
        <w:rPr>
          <w:lang w:eastAsia="en-AU"/>
        </w:rPr>
        <w:t>income</w:t>
      </w:r>
      <w:r w:rsidRPr="00FE3765">
        <w:rPr>
          <w:lang w:eastAsia="en-AU"/>
        </w:rPr>
        <w:t xml:space="preserve"> and wealth, it affects their freedom to make </w:t>
      </w:r>
      <w:r w:rsidR="00373D81">
        <w:rPr>
          <w:lang w:eastAsia="en-AU"/>
        </w:rPr>
        <w:t xml:space="preserve">independent life </w:t>
      </w:r>
      <w:r w:rsidRPr="00FE3765">
        <w:rPr>
          <w:lang w:eastAsia="en-AU"/>
        </w:rPr>
        <w:t>choices</w:t>
      </w:r>
      <w:r w:rsidR="00373D81">
        <w:rPr>
          <w:lang w:eastAsia="en-AU"/>
        </w:rPr>
        <w:t>, including to</w:t>
      </w:r>
      <w:r>
        <w:rPr>
          <w:lang w:eastAsia="en-AU"/>
        </w:rPr>
        <w:t xml:space="preserve"> </w:t>
      </w:r>
      <w:r w:rsidR="0042364A">
        <w:rPr>
          <w:lang w:eastAsia="en-AU"/>
        </w:rPr>
        <w:t>leave abusive relationships</w:t>
      </w:r>
      <w:r w:rsidR="006E2BE1">
        <w:rPr>
          <w:lang w:eastAsia="en-AU"/>
        </w:rPr>
        <w:t xml:space="preserve"> (Summers </w:t>
      </w:r>
      <w:r w:rsidR="00EB7EF1">
        <w:rPr>
          <w:lang w:eastAsia="en-AU"/>
        </w:rPr>
        <w:t>2022)</w:t>
      </w:r>
      <w:r w:rsidR="00DA24C5">
        <w:rPr>
          <w:lang w:eastAsia="en-AU"/>
        </w:rPr>
        <w:t xml:space="preserve">. </w:t>
      </w:r>
      <w:r w:rsidR="00DA24C5" w:rsidRPr="00DA24C5">
        <w:rPr>
          <w:lang w:eastAsia="en-AU"/>
        </w:rPr>
        <w:t>Wealth inequality also stops women and gender diverse people from making free choices about their health and how they want to live their lives.</w:t>
      </w:r>
    </w:p>
    <w:p w14:paraId="43A7A893" w14:textId="6696ACF2" w:rsidR="0090587D" w:rsidRDefault="000238E3" w:rsidP="0078531C">
      <w:pPr>
        <w:pStyle w:val="BodyText"/>
        <w:rPr>
          <w:lang w:eastAsia="en-AU"/>
        </w:rPr>
      </w:pPr>
      <w:r>
        <w:rPr>
          <w:lang w:eastAsia="en-AU"/>
        </w:rPr>
        <w:t>As p</w:t>
      </w:r>
      <w:r w:rsidR="00BC2DC8" w:rsidRPr="00BC2DC8">
        <w:rPr>
          <w:lang w:eastAsia="en-AU"/>
        </w:rPr>
        <w:t>ay gaps are driven by several interacting factors</w:t>
      </w:r>
      <w:r>
        <w:rPr>
          <w:lang w:eastAsia="en-AU"/>
        </w:rPr>
        <w:t>, c</w:t>
      </w:r>
      <w:r w:rsidR="00BC2DC8" w:rsidRPr="00BC2DC8">
        <w:rPr>
          <w:lang w:eastAsia="en-AU"/>
        </w:rPr>
        <w:t>losing the</w:t>
      </w:r>
      <w:r w:rsidR="00284E27">
        <w:rPr>
          <w:lang w:eastAsia="en-AU"/>
        </w:rPr>
        <w:t>se gaps</w:t>
      </w:r>
      <w:r w:rsidR="00BC2DC8" w:rsidRPr="00BC2DC8">
        <w:rPr>
          <w:lang w:eastAsia="en-AU"/>
        </w:rPr>
        <w:t xml:space="preserve"> means looking beyond obvious differences in pay for the same job, to the deeper question of how different types of work and workers are valued and rewarded, and where people of different genders sit within an organisation.</w:t>
      </w:r>
    </w:p>
    <w:p w14:paraId="0122B8F0" w14:textId="1911E09F" w:rsidR="00F37171" w:rsidRDefault="00C53A61" w:rsidP="0078531C">
      <w:pPr>
        <w:pStyle w:val="BodyText"/>
        <w:rPr>
          <w:lang w:eastAsia="en-AU"/>
        </w:rPr>
      </w:pPr>
      <w:r>
        <w:rPr>
          <w:lang w:eastAsia="en-AU"/>
        </w:rPr>
        <w:t xml:space="preserve">You can read more about gender pay gaps </w:t>
      </w:r>
      <w:r w:rsidR="00846574">
        <w:rPr>
          <w:lang w:eastAsia="en-AU"/>
        </w:rPr>
        <w:t>and their drivers in our</w:t>
      </w:r>
      <w:r w:rsidR="00DF7031">
        <w:rPr>
          <w:lang w:eastAsia="en-AU"/>
        </w:rPr>
        <w:t xml:space="preserve"> </w:t>
      </w:r>
      <w:hyperlink r:id="rId32" w:history="1">
        <w:r w:rsidR="00DF7031" w:rsidRPr="00DF7031">
          <w:rPr>
            <w:rStyle w:val="Hyperlink"/>
            <w:rFonts w:cs="Times New Roman"/>
            <w:lang w:eastAsia="en-AU"/>
          </w:rPr>
          <w:t xml:space="preserve">Insights </w:t>
        </w:r>
        <w:r w:rsidR="00D65CCB">
          <w:rPr>
            <w:rStyle w:val="Hyperlink"/>
            <w:rFonts w:cs="Times New Roman"/>
            <w:lang w:eastAsia="en-AU"/>
          </w:rPr>
          <w:t>r</w:t>
        </w:r>
        <w:r w:rsidR="00DF7031" w:rsidRPr="00DF7031">
          <w:rPr>
            <w:rStyle w:val="Hyperlink"/>
            <w:rFonts w:cs="Times New Roman"/>
            <w:lang w:eastAsia="en-AU"/>
          </w:rPr>
          <w:t>eport</w:t>
        </w:r>
        <w:r w:rsidR="00D65CCB">
          <w:rPr>
            <w:rStyle w:val="Hyperlink"/>
            <w:rFonts w:cs="Times New Roman"/>
            <w:lang w:eastAsia="en-AU"/>
          </w:rPr>
          <w:t>: Gender pay gap (2025)</w:t>
        </w:r>
        <w:r w:rsidR="00EF7530" w:rsidRPr="00DF7031">
          <w:rPr>
            <w:rStyle w:val="Hyperlink"/>
            <w:rFonts w:cs="Times New Roman"/>
            <w:lang w:eastAsia="en-AU"/>
          </w:rPr>
          <w:t>.</w:t>
        </w:r>
      </w:hyperlink>
      <w:r w:rsidR="00EF7530">
        <w:rPr>
          <w:lang w:eastAsia="en-AU"/>
        </w:rPr>
        <w:t xml:space="preserve"> </w:t>
      </w:r>
    </w:p>
    <w:p w14:paraId="229F58A8" w14:textId="77777777" w:rsidR="007B6873" w:rsidRPr="003C5D29" w:rsidRDefault="007B6873" w:rsidP="007B6873">
      <w:pPr>
        <w:pStyle w:val="Heading2"/>
      </w:pPr>
      <w:bookmarkStart w:id="32" w:name="_Toc237259525"/>
      <w:r w:rsidRPr="003C5D29">
        <w:t>How we define progress</w:t>
      </w:r>
      <w:bookmarkEnd w:id="32"/>
    </w:p>
    <w:p w14:paraId="04610AEC" w14:textId="64390FF5" w:rsidR="004E6D88" w:rsidRPr="00842693" w:rsidRDefault="00193446" w:rsidP="0078531C">
      <w:pPr>
        <w:pStyle w:val="BodyText"/>
      </w:pPr>
      <w:r>
        <w:t xml:space="preserve">Organisations should aim to </w:t>
      </w:r>
      <w:r w:rsidR="00D33171">
        <w:t xml:space="preserve">move any existing gender pay gaps towards zero. </w:t>
      </w:r>
      <w:r w:rsidR="001963E3">
        <w:t>T</w:t>
      </w:r>
      <w:r w:rsidR="002B788D">
        <w:t>he Commission</w:t>
      </w:r>
      <w:r w:rsidR="002F55AB">
        <w:t>’</w:t>
      </w:r>
      <w:r w:rsidR="002B788D">
        <w:t>s</w:t>
      </w:r>
      <w:hyperlink r:id="rId33" w:history="1">
        <w:r w:rsidR="00D65CCB" w:rsidRPr="00842693">
          <w:rPr>
            <w:rStyle w:val="Hyperlink"/>
            <w:rFonts w:cs="Times New Roman"/>
            <w:color w:val="auto"/>
            <w:u w:val="none"/>
          </w:rPr>
          <w:t xml:space="preserve"> </w:t>
        </w:r>
        <w:r w:rsidR="00D65CCB" w:rsidRPr="004444B7">
          <w:rPr>
            <w:rStyle w:val="Hyperlink"/>
          </w:rPr>
          <w:t>Insights report: Gender pay gap</w:t>
        </w:r>
        <w:r w:rsidR="00D65CCB" w:rsidRPr="00842693">
          <w:rPr>
            <w:rStyle w:val="Hyperlink"/>
            <w:rFonts w:cs="Times New Roman"/>
            <w:color w:val="auto"/>
            <w:u w:val="none"/>
          </w:rPr>
          <w:t xml:space="preserve"> (2025)</w:t>
        </w:r>
      </w:hyperlink>
      <w:r w:rsidR="009348C2" w:rsidRPr="00842693">
        <w:t xml:space="preserve"> recommended that </w:t>
      </w:r>
      <w:r w:rsidR="004E6D88" w:rsidRPr="00842693">
        <w:t xml:space="preserve">organisations keep their mean and median total remuneration pay gaps within a target range of </w:t>
      </w:r>
      <w:r w:rsidR="009374F6">
        <w:t>-</w:t>
      </w:r>
      <w:r w:rsidR="004E6D88" w:rsidRPr="00842693">
        <w:t>5% to +5%, mirroring the federal Workplace Gender Equality Agency</w:t>
      </w:r>
      <w:r w:rsidR="002F55AB">
        <w:t>’</w:t>
      </w:r>
      <w:r w:rsidR="004E6D88" w:rsidRPr="00842693">
        <w:t>s established range (WGEA 2025).</w:t>
      </w:r>
    </w:p>
    <w:p w14:paraId="19ECAFC4" w14:textId="7C261CB7" w:rsidR="004E6D88" w:rsidRPr="004E6D88" w:rsidRDefault="004E6D88" w:rsidP="0078531C">
      <w:pPr>
        <w:pStyle w:val="BodyText"/>
      </w:pPr>
      <w:r w:rsidRPr="004E6D88">
        <w:t xml:space="preserve">The Commissioner is now setting a higher standard: a target range of </w:t>
      </w:r>
      <w:r w:rsidR="009374F6">
        <w:t>-</w:t>
      </w:r>
      <w:r w:rsidRPr="004E6D88">
        <w:t>3% to +3%</w:t>
      </w:r>
      <w:r w:rsidR="00965FE1">
        <w:t>.</w:t>
      </w:r>
      <w:r w:rsidRPr="004E6D88">
        <w:t xml:space="preserve"> This tighter target reflects the public sector</w:t>
      </w:r>
      <w:r w:rsidR="002F55AB">
        <w:t>’</w:t>
      </w:r>
      <w:r w:rsidRPr="004E6D88">
        <w:t>s role as a leader in the Victorian community. By holding itself to a higher standard, the public sector can help drive wider progress across the state.</w:t>
      </w:r>
    </w:p>
    <w:tbl>
      <w:tblPr>
        <w:tblStyle w:val="TableGrid"/>
        <w:tblW w:w="0" w:type="auto"/>
        <w:tblLook w:val="04A0" w:firstRow="1" w:lastRow="0" w:firstColumn="1" w:lastColumn="0" w:noHBand="0" w:noVBand="1"/>
      </w:tblPr>
      <w:tblGrid>
        <w:gridCol w:w="9288"/>
      </w:tblGrid>
      <w:tr w:rsidR="00191F33" w14:paraId="41199EC4" w14:textId="77777777" w:rsidTr="005F688D">
        <w:tc>
          <w:tcPr>
            <w:tcW w:w="9288" w:type="dxa"/>
            <w:tcBorders>
              <w:top w:val="nil"/>
              <w:left w:val="nil"/>
              <w:bottom w:val="nil"/>
              <w:right w:val="nil"/>
            </w:tcBorders>
            <w:shd w:val="clear" w:color="auto" w:fill="E3F3F9"/>
          </w:tcPr>
          <w:p w14:paraId="729B382A" w14:textId="77777777" w:rsidR="00191F33" w:rsidRPr="004444B7" w:rsidRDefault="00191F33" w:rsidP="00BD1744">
            <w:pPr>
              <w:pStyle w:val="Heading2"/>
            </w:pPr>
            <w:bookmarkStart w:id="33" w:name="_Toc237259526"/>
            <w:r>
              <w:t xml:space="preserve">How the Commission </w:t>
            </w:r>
            <w:r w:rsidR="00951B39" w:rsidRPr="004444B7">
              <w:t>reports on pay gaps</w:t>
            </w:r>
            <w:bookmarkEnd w:id="33"/>
          </w:p>
          <w:p w14:paraId="4176E7CB" w14:textId="77777777" w:rsidR="00951B39" w:rsidRDefault="00951B39" w:rsidP="0078531C">
            <w:pPr>
              <w:pStyle w:val="BodyText"/>
            </w:pPr>
            <w:r>
              <w:t>The Commission reports pay gaps using four main variables:</w:t>
            </w:r>
          </w:p>
          <w:p w14:paraId="09A73CCD" w14:textId="343579C2" w:rsidR="00951B39" w:rsidRDefault="00951B39" w:rsidP="00951B39">
            <w:pPr>
              <w:pStyle w:val="Bullet1"/>
            </w:pPr>
            <w:r w:rsidRPr="002E2598">
              <w:rPr>
                <w:b/>
                <w:bCs/>
              </w:rPr>
              <w:t>Base salary</w:t>
            </w:r>
            <w:r>
              <w:t xml:space="preserve"> </w:t>
            </w:r>
            <w:r w:rsidR="00045A1F">
              <w:t>r</w:t>
            </w:r>
            <w:r w:rsidRPr="00C43E5C">
              <w:t>efers to an employee</w:t>
            </w:r>
            <w:r w:rsidR="002F55AB">
              <w:t>’</w:t>
            </w:r>
            <w:r w:rsidRPr="00C43E5C">
              <w:t xml:space="preserve">s fixed annual pay, excluding bonuses, allowances </w:t>
            </w:r>
            <w:r w:rsidR="00611584">
              <w:t>and</w:t>
            </w:r>
            <w:r w:rsidRPr="00C43E5C" w:rsidDel="00611584">
              <w:t xml:space="preserve"> </w:t>
            </w:r>
            <w:r w:rsidRPr="00C43E5C">
              <w:t>other discretionary payments</w:t>
            </w:r>
            <w:r>
              <w:t>.</w:t>
            </w:r>
          </w:p>
          <w:p w14:paraId="6FD44715" w14:textId="71A629E4" w:rsidR="00951B39" w:rsidRDefault="00951B39" w:rsidP="00951B39">
            <w:pPr>
              <w:pStyle w:val="Bullet1"/>
            </w:pPr>
            <w:r w:rsidRPr="00DC7799">
              <w:rPr>
                <w:b/>
                <w:bCs/>
              </w:rPr>
              <w:t>Total</w:t>
            </w:r>
            <w:r>
              <w:rPr>
                <w:b/>
                <w:bCs/>
              </w:rPr>
              <w:t xml:space="preserve"> </w:t>
            </w:r>
            <w:r w:rsidRPr="00DC7799">
              <w:rPr>
                <w:b/>
                <w:bCs/>
              </w:rPr>
              <w:t>remuneration</w:t>
            </w:r>
            <w:r w:rsidRPr="00DC50C2">
              <w:t xml:space="preserve"> </w:t>
            </w:r>
            <w:r w:rsidR="003524F6" w:rsidRPr="003524F6">
              <w:t>is</w:t>
            </w:r>
            <w:r w:rsidRPr="00C43E5C">
              <w:t xml:space="preserve"> base salary plus all</w:t>
            </w:r>
            <w:r w:rsidR="003524F6" w:rsidRPr="003524F6">
              <w:t xml:space="preserve"> </w:t>
            </w:r>
            <w:r w:rsidRPr="00C43E5C">
              <w:t>additional</w:t>
            </w:r>
            <w:r w:rsidR="003524F6" w:rsidRPr="003524F6">
              <w:t xml:space="preserve"> </w:t>
            </w:r>
            <w:r w:rsidRPr="00C43E5C">
              <w:t xml:space="preserve">payments, such as allowances and bonuses. </w:t>
            </w:r>
            <w:r w:rsidR="003524F6" w:rsidRPr="003524F6">
              <w:t>Because these</w:t>
            </w:r>
            <w:r w:rsidRPr="00C43E5C">
              <w:t xml:space="preserve"> are often </w:t>
            </w:r>
            <w:r>
              <w:t xml:space="preserve">distributed </w:t>
            </w:r>
            <w:r w:rsidR="003524F6" w:rsidRPr="003524F6">
              <w:t xml:space="preserve">unequally </w:t>
            </w:r>
            <w:r>
              <w:t xml:space="preserve">between genders, total remuneration </w:t>
            </w:r>
            <w:r w:rsidR="003524F6" w:rsidRPr="003524F6">
              <w:t>gives</w:t>
            </w:r>
            <w:r w:rsidRPr="00C43E5C">
              <w:t xml:space="preserve"> a fuller picture of overall pay equity.</w:t>
            </w:r>
          </w:p>
          <w:p w14:paraId="3DB7DCD3" w14:textId="7C168718" w:rsidR="00951B39" w:rsidRPr="003073CE" w:rsidRDefault="00951B39" w:rsidP="00951B39">
            <w:pPr>
              <w:pStyle w:val="Bullet1"/>
              <w:rPr>
                <w:lang w:eastAsia="en-AU"/>
              </w:rPr>
            </w:pPr>
            <w:r>
              <w:rPr>
                <w:b/>
                <w:bCs/>
                <w:lang w:eastAsia="en-AU"/>
              </w:rPr>
              <w:t>Mean</w:t>
            </w:r>
            <w:r>
              <w:rPr>
                <w:lang w:eastAsia="en-AU"/>
              </w:rPr>
              <w:t xml:space="preserve"> </w:t>
            </w:r>
            <w:r w:rsidR="00045A1F" w:rsidRPr="00045A1F">
              <w:rPr>
                <w:lang w:eastAsia="en-AU"/>
              </w:rPr>
              <w:t>is</w:t>
            </w:r>
            <w:r>
              <w:rPr>
                <w:lang w:eastAsia="en-AU"/>
              </w:rPr>
              <w:t xml:space="preserve"> the average earnings of </w:t>
            </w:r>
            <w:r w:rsidR="00BC0524">
              <w:rPr>
                <w:lang w:eastAsia="en-AU"/>
              </w:rPr>
              <w:t>a particular group</w:t>
            </w:r>
            <w:r w:rsidR="00045A1F" w:rsidRPr="00045A1F">
              <w:rPr>
                <w:lang w:eastAsia="en-AU"/>
              </w:rPr>
              <w:t>. It</w:t>
            </w:r>
            <w:r>
              <w:rPr>
                <w:lang w:eastAsia="en-AU"/>
              </w:rPr>
              <w:t xml:space="preserve"> is sensitive to very high </w:t>
            </w:r>
            <w:r w:rsidR="00045A1F" w:rsidRPr="00045A1F">
              <w:rPr>
                <w:lang w:eastAsia="en-AU"/>
              </w:rPr>
              <w:t>and</w:t>
            </w:r>
            <w:r>
              <w:rPr>
                <w:lang w:eastAsia="en-AU"/>
              </w:rPr>
              <w:t xml:space="preserve"> very low salaries and typically </w:t>
            </w:r>
            <w:r w:rsidR="00045A1F" w:rsidRPr="00045A1F">
              <w:rPr>
                <w:lang w:eastAsia="en-AU"/>
              </w:rPr>
              <w:t>produces</w:t>
            </w:r>
            <w:r>
              <w:rPr>
                <w:lang w:eastAsia="en-AU"/>
              </w:rPr>
              <w:t xml:space="preserve"> a larger </w:t>
            </w:r>
            <w:r w:rsidR="000E39C4">
              <w:rPr>
                <w:lang w:eastAsia="en-AU"/>
              </w:rPr>
              <w:t xml:space="preserve">gap </w:t>
            </w:r>
            <w:r w:rsidR="00045A1F" w:rsidRPr="00045A1F">
              <w:rPr>
                <w:lang w:eastAsia="en-AU"/>
              </w:rPr>
              <w:t>figure</w:t>
            </w:r>
            <w:r>
              <w:rPr>
                <w:lang w:eastAsia="en-AU"/>
              </w:rPr>
              <w:t>.</w:t>
            </w:r>
          </w:p>
          <w:p w14:paraId="519F6F94" w14:textId="7C3CFE99" w:rsidR="00951B39" w:rsidRDefault="00951B39" w:rsidP="00951B39">
            <w:pPr>
              <w:pStyle w:val="Bullet1"/>
              <w:rPr>
                <w:lang w:eastAsia="en-AU"/>
              </w:rPr>
            </w:pPr>
            <w:r>
              <w:rPr>
                <w:b/>
                <w:bCs/>
                <w:lang w:eastAsia="en-AU"/>
              </w:rPr>
              <w:t>Median</w:t>
            </w:r>
            <w:r w:rsidR="005B0FA0">
              <w:rPr>
                <w:b/>
                <w:bCs/>
                <w:lang w:eastAsia="en-AU"/>
              </w:rPr>
              <w:t xml:space="preserve"> </w:t>
            </w:r>
            <w:r w:rsidR="005B0FA0" w:rsidRPr="005B0FA0">
              <w:rPr>
                <w:lang w:eastAsia="en-AU"/>
              </w:rPr>
              <w:t>is based</w:t>
            </w:r>
            <w:r>
              <w:rPr>
                <w:lang w:eastAsia="en-AU"/>
              </w:rPr>
              <w:t xml:space="preserve"> on the middle </w:t>
            </w:r>
            <w:r w:rsidR="005B0FA0" w:rsidRPr="005B0FA0">
              <w:rPr>
                <w:lang w:eastAsia="en-AU"/>
              </w:rPr>
              <w:t>earner</w:t>
            </w:r>
            <w:r>
              <w:rPr>
                <w:lang w:eastAsia="en-AU"/>
              </w:rPr>
              <w:t xml:space="preserve"> in each </w:t>
            </w:r>
            <w:r w:rsidR="005B0FA0" w:rsidRPr="005B0FA0">
              <w:rPr>
                <w:lang w:eastAsia="en-AU"/>
              </w:rPr>
              <w:t>group.</w:t>
            </w:r>
            <w:r>
              <w:rPr>
                <w:lang w:eastAsia="en-AU"/>
              </w:rPr>
              <w:t xml:space="preserve"> It is less affected by extremes.</w:t>
            </w:r>
          </w:p>
          <w:p w14:paraId="58B8B58C" w14:textId="7D96E7C3" w:rsidR="00951B39" w:rsidRPr="005F688D" w:rsidRDefault="00951B39" w:rsidP="005F688D">
            <w:pPr>
              <w:pStyle w:val="Bodyafterbullets"/>
              <w:rPr>
                <w:b/>
              </w:rPr>
            </w:pPr>
            <w:r>
              <w:rPr>
                <w:lang w:eastAsia="en-AU"/>
              </w:rPr>
              <w:t xml:space="preserve">The Commission </w:t>
            </w:r>
            <w:r w:rsidR="00AC01FB" w:rsidRPr="00AC01FB">
              <w:rPr>
                <w:lang w:eastAsia="en-AU"/>
              </w:rPr>
              <w:t>focuses</w:t>
            </w:r>
            <w:r>
              <w:rPr>
                <w:lang w:eastAsia="en-AU"/>
              </w:rPr>
              <w:t xml:space="preserve"> primarily on </w:t>
            </w:r>
            <w:r w:rsidR="00AC01FB" w:rsidRPr="00AC01FB">
              <w:rPr>
                <w:lang w:eastAsia="en-AU"/>
              </w:rPr>
              <w:t xml:space="preserve">the </w:t>
            </w:r>
            <w:r w:rsidRPr="00E87728">
              <w:rPr>
                <w:b/>
                <w:bCs/>
                <w:lang w:eastAsia="en-AU"/>
              </w:rPr>
              <w:t xml:space="preserve">mean total remuneration pay </w:t>
            </w:r>
            <w:r w:rsidR="00AC01FB" w:rsidRPr="00E87728">
              <w:rPr>
                <w:b/>
                <w:bCs/>
                <w:lang w:eastAsia="en-AU"/>
              </w:rPr>
              <w:t>gap</w:t>
            </w:r>
            <w:r w:rsidR="00AC01FB" w:rsidRPr="00AC01FB">
              <w:rPr>
                <w:lang w:eastAsia="en-AU"/>
              </w:rPr>
              <w:t>,</w:t>
            </w:r>
            <w:r>
              <w:rPr>
                <w:lang w:eastAsia="en-AU"/>
              </w:rPr>
              <w:t xml:space="preserve"> </w:t>
            </w:r>
            <w:r w:rsidRPr="003E3F28">
              <w:rPr>
                <w:lang w:eastAsia="en-AU"/>
              </w:rPr>
              <w:t xml:space="preserve">because </w:t>
            </w:r>
            <w:r w:rsidR="00AC01FB" w:rsidRPr="00AC01FB">
              <w:rPr>
                <w:lang w:eastAsia="en-AU"/>
              </w:rPr>
              <w:t>it best reveals</w:t>
            </w:r>
            <w:r w:rsidRPr="003E3F28">
              <w:rPr>
                <w:lang w:eastAsia="en-AU"/>
              </w:rPr>
              <w:t xml:space="preserve"> structural inequality in earnings. </w:t>
            </w:r>
            <w:r w:rsidR="00AC01FB" w:rsidRPr="00AC01FB">
              <w:rPr>
                <w:lang w:eastAsia="en-AU"/>
              </w:rPr>
              <w:t xml:space="preserve">Where the </w:t>
            </w:r>
            <w:r w:rsidRPr="003E3F28">
              <w:rPr>
                <w:lang w:eastAsia="en-AU"/>
              </w:rPr>
              <w:t xml:space="preserve">median </w:t>
            </w:r>
            <w:r w:rsidR="00AC01FB" w:rsidRPr="00AC01FB">
              <w:rPr>
                <w:lang w:eastAsia="en-AU"/>
              </w:rPr>
              <w:t xml:space="preserve">shows the </w:t>
            </w:r>
            <w:r w:rsidR="002F55AB">
              <w:rPr>
                <w:lang w:eastAsia="en-AU"/>
              </w:rPr>
              <w:t>‘</w:t>
            </w:r>
            <w:r w:rsidR="00AC01FB" w:rsidRPr="00AC01FB">
              <w:rPr>
                <w:lang w:eastAsia="en-AU"/>
              </w:rPr>
              <w:t>typical</w:t>
            </w:r>
            <w:r w:rsidR="002F55AB">
              <w:rPr>
                <w:lang w:eastAsia="en-AU"/>
              </w:rPr>
              <w:t>’</w:t>
            </w:r>
            <w:r w:rsidRPr="003E3F28">
              <w:rPr>
                <w:lang w:eastAsia="en-AU"/>
              </w:rPr>
              <w:t xml:space="preserve"> difference between women and men, </w:t>
            </w:r>
            <w:r w:rsidR="00AC01FB" w:rsidRPr="00AC01FB">
              <w:rPr>
                <w:lang w:eastAsia="en-AU"/>
              </w:rPr>
              <w:t xml:space="preserve">the </w:t>
            </w:r>
            <w:r w:rsidRPr="003E3F28">
              <w:rPr>
                <w:lang w:eastAsia="en-AU"/>
              </w:rPr>
              <w:t xml:space="preserve">mean </w:t>
            </w:r>
            <w:r w:rsidR="00AC01FB" w:rsidRPr="00AC01FB">
              <w:rPr>
                <w:lang w:eastAsia="en-AU"/>
              </w:rPr>
              <w:t>captures the effect</w:t>
            </w:r>
            <w:r w:rsidRPr="003E3F28">
              <w:rPr>
                <w:lang w:eastAsia="en-AU"/>
              </w:rPr>
              <w:t xml:space="preserve"> of pay being concentrated at the top of organisations</w:t>
            </w:r>
            <w:r>
              <w:rPr>
                <w:lang w:eastAsia="en-AU"/>
              </w:rPr>
              <w:t>.</w:t>
            </w:r>
            <w:r w:rsidRPr="003E3F28">
              <w:rPr>
                <w:lang w:eastAsia="en-AU"/>
              </w:rPr>
              <w:t xml:space="preserve"> </w:t>
            </w:r>
            <w:r>
              <w:rPr>
                <w:lang w:eastAsia="en-AU"/>
              </w:rPr>
              <w:t>This i</w:t>
            </w:r>
            <w:r w:rsidRPr="003E3F28">
              <w:rPr>
                <w:lang w:eastAsia="en-AU"/>
              </w:rPr>
              <w:t>nclud</w:t>
            </w:r>
            <w:r>
              <w:rPr>
                <w:lang w:eastAsia="en-AU"/>
              </w:rPr>
              <w:t>es</w:t>
            </w:r>
            <w:r w:rsidRPr="003E3F28">
              <w:rPr>
                <w:lang w:eastAsia="en-AU"/>
              </w:rPr>
              <w:t xml:space="preserve"> the overrepresentation of men in highly paid senior roles</w:t>
            </w:r>
            <w:r>
              <w:rPr>
                <w:lang w:eastAsia="en-AU"/>
              </w:rPr>
              <w:t>.</w:t>
            </w:r>
          </w:p>
        </w:tc>
      </w:tr>
    </w:tbl>
    <w:p w14:paraId="08F39712" w14:textId="414CBB71" w:rsidR="0046279A" w:rsidRPr="00C27278" w:rsidRDefault="0046279A" w:rsidP="0046279A">
      <w:pPr>
        <w:pStyle w:val="Heading2"/>
      </w:pPr>
      <w:bookmarkStart w:id="34" w:name="_Toc237259527"/>
      <w:r w:rsidRPr="00C27278">
        <w:t xml:space="preserve">Progress </w:t>
      </w:r>
      <w:r>
        <w:t>between</w:t>
      </w:r>
      <w:r w:rsidRPr="00C27278">
        <w:t xml:space="preserve"> 2021</w:t>
      </w:r>
      <w:r>
        <w:t xml:space="preserve"> and 2025</w:t>
      </w:r>
      <w:bookmarkEnd w:id="34"/>
    </w:p>
    <w:p w14:paraId="1CFBCB52" w14:textId="0DB551D9" w:rsidR="001B26B7" w:rsidRPr="001B26B7" w:rsidRDefault="00901308" w:rsidP="0078531C">
      <w:pPr>
        <w:pStyle w:val="BodyText"/>
      </w:pPr>
      <w:r>
        <w:t xml:space="preserve">While </w:t>
      </w:r>
      <w:r w:rsidR="00BA4D2E">
        <w:t xml:space="preserve">gender pay gaps </w:t>
      </w:r>
      <w:r w:rsidR="001322AD">
        <w:t xml:space="preserve">have </w:t>
      </w:r>
      <w:r w:rsidR="002E1CF7">
        <w:t>narrowed</w:t>
      </w:r>
      <w:r w:rsidR="001B26B7" w:rsidRPr="001B26B7">
        <w:t xml:space="preserve"> within </w:t>
      </w:r>
      <w:r w:rsidR="001322AD">
        <w:t xml:space="preserve">many public sector </w:t>
      </w:r>
      <w:r w:rsidR="001B26B7" w:rsidRPr="001B26B7">
        <w:t>organisations</w:t>
      </w:r>
      <w:r w:rsidR="00D117B3">
        <w:t xml:space="preserve"> and in </w:t>
      </w:r>
      <w:r w:rsidR="00C26D75">
        <w:t>most</w:t>
      </w:r>
      <w:r w:rsidR="00D117B3">
        <w:t xml:space="preserve"> industries</w:t>
      </w:r>
      <w:r w:rsidR="000B61C8">
        <w:t xml:space="preserve">, the sector-wide gap </w:t>
      </w:r>
      <w:r w:rsidR="00B17E83">
        <w:t>has not narrowed.</w:t>
      </w:r>
      <w:r w:rsidR="001B26B7" w:rsidRPr="001B26B7">
        <w:t xml:space="preserve"> </w:t>
      </w:r>
      <w:r w:rsidR="00C56E1E">
        <w:t>U</w:t>
      </w:r>
      <w:r w:rsidR="001B26B7" w:rsidRPr="001B26B7">
        <w:t>nderstanding th</w:t>
      </w:r>
      <w:r w:rsidR="0061479E">
        <w:t>is dynamic</w:t>
      </w:r>
      <w:r w:rsidR="001B26B7" w:rsidRPr="001B26B7">
        <w:t xml:space="preserve"> is essential to </w:t>
      </w:r>
      <w:r w:rsidR="007E0800">
        <w:t>interpreting</w:t>
      </w:r>
      <w:r w:rsidR="0061479E">
        <w:t xml:space="preserve"> </w:t>
      </w:r>
      <w:r w:rsidR="002B1184">
        <w:t xml:space="preserve">progress on </w:t>
      </w:r>
      <w:r w:rsidR="001B26B7" w:rsidRPr="001B26B7">
        <w:t>this indicator.</w:t>
      </w:r>
    </w:p>
    <w:p w14:paraId="02B3C782" w14:textId="2C28DE6E" w:rsidR="001B26B7" w:rsidRPr="001B26B7" w:rsidRDefault="007946B8" w:rsidP="0078531C">
      <w:pPr>
        <w:pStyle w:val="BodyText"/>
      </w:pPr>
      <w:r>
        <w:t xml:space="preserve">Most </w:t>
      </w:r>
      <w:r w:rsidR="001B26B7" w:rsidRPr="001B26B7">
        <w:t xml:space="preserve">organisations are closing their </w:t>
      </w:r>
      <w:r w:rsidR="00DF5061">
        <w:t xml:space="preserve">gender </w:t>
      </w:r>
      <w:r w:rsidR="001B26B7" w:rsidRPr="001B26B7">
        <w:t>pay gaps. The proportion of organisations with a small total remuneration pay gap (</w:t>
      </w:r>
      <w:r w:rsidR="0071093A">
        <w:t>+/-</w:t>
      </w:r>
      <w:r w:rsidR="001B26B7" w:rsidRPr="001B26B7">
        <w:t xml:space="preserve">3%) rose between 2021 and 2025, while the proportion with moderate to large gaps fell. Some of the largest reductions occurred in </w:t>
      </w:r>
      <w:r w:rsidR="00371226">
        <w:t>traditionally</w:t>
      </w:r>
      <w:r w:rsidR="00371226" w:rsidRPr="001B26B7">
        <w:t xml:space="preserve"> </w:t>
      </w:r>
      <w:r w:rsidR="001B26B7" w:rsidRPr="001B26B7">
        <w:t>men-concentrated industries and occupations</w:t>
      </w:r>
      <w:r w:rsidR="00201989">
        <w:t>. This</w:t>
      </w:r>
      <w:r w:rsidR="001B26B7" w:rsidRPr="001B26B7">
        <w:t xml:space="preserve"> is consistent with some organisations beginning to </w:t>
      </w:r>
      <w:r w:rsidR="001B26B7" w:rsidRPr="001B26B7">
        <w:lastRenderedPageBreak/>
        <w:t xml:space="preserve">address structural drivers </w:t>
      </w:r>
      <w:r w:rsidR="00E72E36">
        <w:t xml:space="preserve">of the pay gap </w:t>
      </w:r>
      <w:r w:rsidR="001B26B7" w:rsidRPr="001B26B7">
        <w:t xml:space="preserve">such as </w:t>
      </w:r>
      <w:r w:rsidR="00743CD8">
        <w:t xml:space="preserve">gendered </w:t>
      </w:r>
      <w:r w:rsidR="001B26B7" w:rsidRPr="001B26B7">
        <w:t>occupational segregation and access to higher-paid roles.</w:t>
      </w:r>
    </w:p>
    <w:p w14:paraId="45F97AFA" w14:textId="5D620FDA" w:rsidR="001B26B7" w:rsidRPr="001B26B7" w:rsidRDefault="001B26B7" w:rsidP="0078531C">
      <w:pPr>
        <w:pStyle w:val="BodyText"/>
      </w:pPr>
      <w:r w:rsidRPr="001B26B7">
        <w:t xml:space="preserve">At the whole-of-sector level, however, </w:t>
      </w:r>
      <w:r w:rsidR="00576D84">
        <w:t>t</w:t>
      </w:r>
      <w:r w:rsidR="00576D84" w:rsidRPr="00576D84">
        <w:t>he gender pay gap has not narrowed since 2021</w:t>
      </w:r>
      <w:r w:rsidR="001E3CAD">
        <w:t xml:space="preserve">. </w:t>
      </w:r>
      <w:r w:rsidR="00576D84" w:rsidRPr="00576D84">
        <w:t>Organisations that reported in</w:t>
      </w:r>
      <w:r w:rsidR="00922D79">
        <w:t xml:space="preserve"> both</w:t>
      </w:r>
      <w:r w:rsidR="00576D84" w:rsidRPr="00576D84">
        <w:t xml:space="preserve"> </w:t>
      </w:r>
      <w:r w:rsidR="00B62F3D">
        <w:t>2021 and 2025</w:t>
      </w:r>
      <w:r w:rsidR="00576D84" w:rsidRPr="00576D84">
        <w:t xml:space="preserve"> improved on average, and</w:t>
      </w:r>
      <w:r w:rsidR="00922D79">
        <w:t xml:space="preserve"> gender pay</w:t>
      </w:r>
      <w:r w:rsidR="00576D84" w:rsidRPr="00576D84">
        <w:t xml:space="preserve"> gaps narrowed across many industries. </w:t>
      </w:r>
      <w:r w:rsidR="00210006" w:rsidRPr="000019CD">
        <w:rPr>
          <w:lang w:eastAsia="en-AU"/>
        </w:rPr>
        <w:t xml:space="preserve">The </w:t>
      </w:r>
      <w:r w:rsidR="00210006">
        <w:rPr>
          <w:lang w:eastAsia="en-AU"/>
        </w:rPr>
        <w:t>2025 sector-level pay gap</w:t>
      </w:r>
      <w:r w:rsidR="00210006" w:rsidRPr="000019CD">
        <w:rPr>
          <w:lang w:eastAsia="en-AU"/>
        </w:rPr>
        <w:t xml:space="preserve"> </w:t>
      </w:r>
      <w:r w:rsidR="001E3CAD">
        <w:t xml:space="preserve">therefore </w:t>
      </w:r>
      <w:r w:rsidR="00576D84" w:rsidRPr="00576D84">
        <w:t>reflects broader reporting coverage</w:t>
      </w:r>
      <w:r w:rsidR="00896275">
        <w:t>,</w:t>
      </w:r>
      <w:r w:rsidR="00576D84" w:rsidRPr="00576D84">
        <w:t xml:space="preserve"> and where women and men sit </w:t>
      </w:r>
      <w:r w:rsidR="00B62F3D" w:rsidRPr="00A93F23">
        <w:t>across different industries and pay bands</w:t>
      </w:r>
      <w:r w:rsidR="00576D84" w:rsidRPr="00576D84">
        <w:t>, rather than a decline in pay equity</w:t>
      </w:r>
      <w:r w:rsidR="001E3CAD">
        <w:t>.</w:t>
      </w:r>
      <w:r w:rsidRPr="001B26B7">
        <w:t xml:space="preserve"> </w:t>
      </w:r>
      <w:r w:rsidR="004B7973" w:rsidRPr="004B7973">
        <w:t xml:space="preserve">Closing the sector-wide gap depends not only on action within organisations, but also on reducing </w:t>
      </w:r>
      <w:r w:rsidR="00604EFE">
        <w:t xml:space="preserve">gendered </w:t>
      </w:r>
      <w:r w:rsidR="004B7973" w:rsidRPr="004B7973">
        <w:t xml:space="preserve">occupational and industry segregation (see </w:t>
      </w:r>
      <w:hyperlink w:anchor="_Indicator_7:_Gendered" w:history="1">
        <w:r w:rsidR="00EA4A71" w:rsidRPr="00EA4A71">
          <w:rPr>
            <w:rStyle w:val="Hyperlink"/>
            <w:rFonts w:cs="Times New Roman"/>
          </w:rPr>
          <w:t>Indicator 7: Gendered segregation</w:t>
        </w:r>
      </w:hyperlink>
      <w:r w:rsidR="004B7973" w:rsidRPr="004B7973">
        <w:t>)</w:t>
      </w:r>
      <w:r w:rsidR="00A85DF7">
        <w:t xml:space="preserve"> </w:t>
      </w:r>
      <w:r w:rsidR="00A85DF7" w:rsidRPr="00A85DF7">
        <w:t xml:space="preserve">and the value placed on women-concentrated </w:t>
      </w:r>
      <w:r w:rsidR="006B3624">
        <w:t>industries and occupations</w:t>
      </w:r>
      <w:r w:rsidR="004B7973" w:rsidRPr="004B7973">
        <w:t>.</w:t>
      </w:r>
    </w:p>
    <w:p w14:paraId="7A40E925" w14:textId="3A71BCEA" w:rsidR="00326B9B" w:rsidRDefault="00326B9B" w:rsidP="0078531C">
      <w:pPr>
        <w:pStyle w:val="BodyText"/>
        <w:rPr>
          <w:lang w:eastAsia="en-AU"/>
        </w:rPr>
      </w:pPr>
      <w:r w:rsidRPr="006A1DB5">
        <w:rPr>
          <w:lang w:eastAsia="en-AU"/>
        </w:rPr>
        <w:t xml:space="preserve">Key data measures are presented in Tables </w:t>
      </w:r>
      <w:r w:rsidRPr="00062527">
        <w:rPr>
          <w:lang w:eastAsia="en-AU"/>
        </w:rPr>
        <w:t>3.1 to 3.4</w:t>
      </w:r>
      <w:r w:rsidRPr="006A1DB5">
        <w:rPr>
          <w:lang w:eastAsia="en-AU"/>
        </w:rPr>
        <w:t>. Findings are discussed in further detail after the tables</w:t>
      </w:r>
      <w:r>
        <w:rPr>
          <w:lang w:eastAsia="en-AU"/>
        </w:rPr>
        <w:t>.</w:t>
      </w:r>
    </w:p>
    <w:p w14:paraId="6CA4F281" w14:textId="4AEF16E6" w:rsidR="002308C6" w:rsidRPr="000443D8" w:rsidRDefault="002308C6" w:rsidP="00694F3A">
      <w:pPr>
        <w:pStyle w:val="Tablecaption"/>
        <w:rPr>
          <w:lang w:eastAsia="en-AU"/>
        </w:rPr>
      </w:pPr>
      <w:r w:rsidRPr="000443D8">
        <w:rPr>
          <w:lang w:eastAsia="en-AU"/>
        </w:rPr>
        <w:t xml:space="preserve">Table 3.1: Gender </w:t>
      </w:r>
      <w:r w:rsidR="00694F3A">
        <w:rPr>
          <w:lang w:eastAsia="en-AU"/>
        </w:rPr>
        <w:t>p</w:t>
      </w:r>
      <w:r w:rsidRPr="000443D8">
        <w:rPr>
          <w:lang w:eastAsia="en-AU"/>
        </w:rPr>
        <w:t xml:space="preserve">ay </w:t>
      </w:r>
      <w:r w:rsidR="00694F3A">
        <w:rPr>
          <w:lang w:eastAsia="en-AU"/>
        </w:rPr>
        <w:t>g</w:t>
      </w:r>
      <w:r w:rsidRPr="000443D8">
        <w:rPr>
          <w:lang w:eastAsia="en-AU"/>
        </w:rPr>
        <w:t xml:space="preserve">ap </w:t>
      </w:r>
      <w:r w:rsidR="00694F3A">
        <w:rPr>
          <w:lang w:eastAsia="en-AU"/>
        </w:rPr>
        <w:t>p</w:t>
      </w:r>
      <w:r w:rsidRPr="000443D8">
        <w:rPr>
          <w:lang w:eastAsia="en-AU"/>
        </w:rPr>
        <w:t>rogress</w:t>
      </w:r>
    </w:p>
    <w:tbl>
      <w:tblPr>
        <w:tblStyle w:val="CGEPStable"/>
        <w:tblW w:w="0" w:type="auto"/>
        <w:tblLook w:val="04A0" w:firstRow="1" w:lastRow="0" w:firstColumn="1" w:lastColumn="0" w:noHBand="0" w:noVBand="1"/>
      </w:tblPr>
      <w:tblGrid>
        <w:gridCol w:w="2963"/>
        <w:gridCol w:w="1069"/>
        <w:gridCol w:w="1069"/>
        <w:gridCol w:w="1070"/>
        <w:gridCol w:w="1650"/>
        <w:gridCol w:w="1477"/>
      </w:tblGrid>
      <w:tr w:rsidR="002308C6" w:rsidRPr="003365E2" w14:paraId="46EDA7BB" w14:textId="77777777" w:rsidTr="00694F3A">
        <w:trPr>
          <w:cnfStyle w:val="100000000000" w:firstRow="1" w:lastRow="0" w:firstColumn="0" w:lastColumn="0" w:oddVBand="0" w:evenVBand="0" w:oddHBand="0" w:evenHBand="0" w:firstRowFirstColumn="0" w:firstRowLastColumn="0" w:lastRowFirstColumn="0" w:lastRowLastColumn="0"/>
        </w:trPr>
        <w:tc>
          <w:tcPr>
            <w:tcW w:w="0" w:type="auto"/>
            <w:hideMark/>
          </w:tcPr>
          <w:p w14:paraId="0EF832DB" w14:textId="77777777" w:rsidR="002308C6" w:rsidRPr="000443D8" w:rsidRDefault="002308C6" w:rsidP="00694F3A">
            <w:pPr>
              <w:pStyle w:val="Tablecolhead"/>
              <w:rPr>
                <w:lang w:eastAsia="en-AU"/>
              </w:rPr>
            </w:pPr>
            <w:r w:rsidRPr="000443D8">
              <w:rPr>
                <w:lang w:eastAsia="en-AU"/>
              </w:rPr>
              <w:t>Measure</w:t>
            </w:r>
          </w:p>
        </w:tc>
        <w:tc>
          <w:tcPr>
            <w:tcW w:w="1069" w:type="dxa"/>
            <w:hideMark/>
          </w:tcPr>
          <w:p w14:paraId="62C3B5ED" w14:textId="77777777" w:rsidR="002308C6" w:rsidRPr="000443D8" w:rsidRDefault="002308C6" w:rsidP="00694F3A">
            <w:pPr>
              <w:pStyle w:val="Tablecolhead"/>
              <w:rPr>
                <w:lang w:eastAsia="en-AU"/>
              </w:rPr>
            </w:pPr>
            <w:r w:rsidRPr="000443D8">
              <w:rPr>
                <w:lang w:eastAsia="en-AU"/>
              </w:rPr>
              <w:t>2021</w:t>
            </w:r>
          </w:p>
        </w:tc>
        <w:tc>
          <w:tcPr>
            <w:tcW w:w="1069" w:type="dxa"/>
            <w:hideMark/>
          </w:tcPr>
          <w:p w14:paraId="0927320C" w14:textId="77777777" w:rsidR="002308C6" w:rsidRPr="000443D8" w:rsidRDefault="002308C6" w:rsidP="00694F3A">
            <w:pPr>
              <w:pStyle w:val="Tablecolhead"/>
              <w:rPr>
                <w:lang w:eastAsia="en-AU"/>
              </w:rPr>
            </w:pPr>
            <w:r w:rsidRPr="000443D8">
              <w:rPr>
                <w:lang w:eastAsia="en-AU"/>
              </w:rPr>
              <w:t>2023</w:t>
            </w:r>
          </w:p>
        </w:tc>
        <w:tc>
          <w:tcPr>
            <w:tcW w:w="1070" w:type="dxa"/>
            <w:hideMark/>
          </w:tcPr>
          <w:p w14:paraId="3FB7ADE2" w14:textId="77777777" w:rsidR="002308C6" w:rsidRPr="000443D8" w:rsidRDefault="002308C6" w:rsidP="00694F3A">
            <w:pPr>
              <w:pStyle w:val="Tablecolhead"/>
              <w:rPr>
                <w:lang w:eastAsia="en-AU"/>
              </w:rPr>
            </w:pPr>
            <w:r w:rsidRPr="000443D8">
              <w:rPr>
                <w:lang w:eastAsia="en-AU"/>
              </w:rPr>
              <w:t>2025</w:t>
            </w:r>
          </w:p>
        </w:tc>
        <w:tc>
          <w:tcPr>
            <w:tcW w:w="1650" w:type="dxa"/>
            <w:hideMark/>
          </w:tcPr>
          <w:p w14:paraId="0496816F" w14:textId="075AD74D" w:rsidR="002308C6" w:rsidRPr="000443D8" w:rsidRDefault="003245A0" w:rsidP="00694F3A">
            <w:pPr>
              <w:pStyle w:val="Tablecolhead"/>
              <w:rPr>
                <w:lang w:eastAsia="en-AU"/>
              </w:rPr>
            </w:pPr>
            <w:r>
              <w:rPr>
                <w:lang w:eastAsia="en-AU"/>
              </w:rPr>
              <w:t xml:space="preserve">Percentage </w:t>
            </w:r>
            <w:r w:rsidR="00694F3A">
              <w:rPr>
                <w:lang w:eastAsia="en-AU"/>
              </w:rPr>
              <w:t>p</w:t>
            </w:r>
            <w:r>
              <w:rPr>
                <w:lang w:eastAsia="en-AU"/>
              </w:rPr>
              <w:t xml:space="preserve">oint </w:t>
            </w:r>
            <w:r w:rsidR="00694F3A">
              <w:rPr>
                <w:lang w:eastAsia="en-AU"/>
              </w:rPr>
              <w:t>c</w:t>
            </w:r>
            <w:r w:rsidR="002308C6" w:rsidRPr="000443D8">
              <w:rPr>
                <w:lang w:eastAsia="en-AU"/>
              </w:rPr>
              <w:t>hange</w:t>
            </w:r>
            <w:r w:rsidR="00A73F7B">
              <w:rPr>
                <w:lang w:eastAsia="en-AU"/>
              </w:rPr>
              <w:t xml:space="preserve"> 2021-2025</w:t>
            </w:r>
          </w:p>
        </w:tc>
        <w:tc>
          <w:tcPr>
            <w:tcW w:w="0" w:type="auto"/>
            <w:hideMark/>
          </w:tcPr>
          <w:p w14:paraId="1CF039FF" w14:textId="77777777" w:rsidR="002308C6" w:rsidRPr="000443D8" w:rsidRDefault="002308C6" w:rsidP="00694F3A">
            <w:pPr>
              <w:pStyle w:val="Tablecolhead"/>
              <w:rPr>
                <w:lang w:eastAsia="en-AU"/>
              </w:rPr>
            </w:pPr>
            <w:r w:rsidRPr="000443D8">
              <w:rPr>
                <w:lang w:eastAsia="en-AU"/>
              </w:rPr>
              <w:t>Progress</w:t>
            </w:r>
          </w:p>
        </w:tc>
      </w:tr>
      <w:tr w:rsidR="00074C20" w:rsidRPr="003365E2" w14:paraId="6B12DBF0" w14:textId="77777777" w:rsidTr="00694F3A">
        <w:tc>
          <w:tcPr>
            <w:tcW w:w="0" w:type="auto"/>
            <w:hideMark/>
          </w:tcPr>
          <w:p w14:paraId="26487E56" w14:textId="77777777" w:rsidR="00074C20" w:rsidRPr="003365E2" w:rsidRDefault="00074C20" w:rsidP="00694F3A">
            <w:pPr>
              <w:pStyle w:val="Tabletext"/>
              <w:rPr>
                <w:lang w:eastAsia="en-AU"/>
              </w:rPr>
            </w:pPr>
            <w:r w:rsidRPr="003365E2">
              <w:rPr>
                <w:lang w:eastAsia="en-AU"/>
              </w:rPr>
              <w:t xml:space="preserve">All employees </w:t>
            </w:r>
            <w:r>
              <w:rPr>
                <w:lang w:eastAsia="en-AU"/>
              </w:rPr>
              <w:t xml:space="preserve">mean base </w:t>
            </w:r>
            <w:r w:rsidRPr="003365E2">
              <w:rPr>
                <w:lang w:eastAsia="en-AU"/>
              </w:rPr>
              <w:t xml:space="preserve">salary gap </w:t>
            </w:r>
          </w:p>
        </w:tc>
        <w:tc>
          <w:tcPr>
            <w:tcW w:w="1069" w:type="dxa"/>
            <w:hideMark/>
          </w:tcPr>
          <w:p w14:paraId="46237512" w14:textId="0F5E92C1" w:rsidR="00074C20" w:rsidRPr="003365E2" w:rsidRDefault="00E126CF" w:rsidP="00694F3A">
            <w:pPr>
              <w:pStyle w:val="Tabletext"/>
              <w:rPr>
                <w:lang w:eastAsia="en-AU"/>
              </w:rPr>
            </w:pPr>
            <w:r>
              <w:rPr>
                <w:lang w:eastAsia="en-AU"/>
              </w:rPr>
              <w:t>13.8</w:t>
            </w:r>
            <w:r w:rsidR="00545638">
              <w:rPr>
                <w:lang w:eastAsia="en-AU"/>
              </w:rPr>
              <w:t>%</w:t>
            </w:r>
          </w:p>
        </w:tc>
        <w:tc>
          <w:tcPr>
            <w:tcW w:w="1069" w:type="dxa"/>
            <w:hideMark/>
          </w:tcPr>
          <w:p w14:paraId="594F067C" w14:textId="7702909A" w:rsidR="00074C20" w:rsidRPr="003365E2" w:rsidRDefault="0007605A" w:rsidP="00694F3A">
            <w:pPr>
              <w:pStyle w:val="Tabletext"/>
              <w:rPr>
                <w:lang w:eastAsia="en-AU"/>
              </w:rPr>
            </w:pPr>
            <w:r>
              <w:rPr>
                <w:lang w:eastAsia="en-AU"/>
              </w:rPr>
              <w:t>14.3</w:t>
            </w:r>
            <w:r w:rsidR="00545638">
              <w:rPr>
                <w:lang w:eastAsia="en-AU"/>
              </w:rPr>
              <w:t>%</w:t>
            </w:r>
          </w:p>
        </w:tc>
        <w:tc>
          <w:tcPr>
            <w:tcW w:w="1070" w:type="dxa"/>
            <w:hideMark/>
          </w:tcPr>
          <w:p w14:paraId="47B89FCF" w14:textId="393A4A6D" w:rsidR="00074C20" w:rsidRPr="003365E2" w:rsidRDefault="00E93D51" w:rsidP="00694F3A">
            <w:pPr>
              <w:pStyle w:val="Tabletext"/>
              <w:rPr>
                <w:lang w:eastAsia="en-AU"/>
              </w:rPr>
            </w:pPr>
            <w:r>
              <w:rPr>
                <w:lang w:eastAsia="en-AU"/>
              </w:rPr>
              <w:t>13.3</w:t>
            </w:r>
            <w:r w:rsidR="00545638">
              <w:rPr>
                <w:lang w:eastAsia="en-AU"/>
              </w:rPr>
              <w:t>%</w:t>
            </w:r>
          </w:p>
        </w:tc>
        <w:tc>
          <w:tcPr>
            <w:tcW w:w="1650" w:type="dxa"/>
            <w:hideMark/>
          </w:tcPr>
          <w:p w14:paraId="10D79D19" w14:textId="464813D5" w:rsidR="00074C20" w:rsidRPr="003365E2" w:rsidRDefault="00E93D51" w:rsidP="00694F3A">
            <w:pPr>
              <w:pStyle w:val="Tabletext"/>
              <w:rPr>
                <w:lang w:eastAsia="en-AU"/>
              </w:rPr>
            </w:pPr>
            <w:r>
              <w:rPr>
                <w:lang w:eastAsia="en-AU"/>
              </w:rPr>
              <w:t>-0.5</w:t>
            </w:r>
            <w:r w:rsidR="003245A0">
              <w:rPr>
                <w:lang w:eastAsia="en-AU"/>
              </w:rPr>
              <w:t>pp</w:t>
            </w:r>
          </w:p>
        </w:tc>
        <w:tc>
          <w:tcPr>
            <w:tcW w:w="0" w:type="auto"/>
            <w:hideMark/>
          </w:tcPr>
          <w:p w14:paraId="3AB273D7" w14:textId="25A4E2C0" w:rsidR="00074C20" w:rsidRPr="003365E2" w:rsidRDefault="00183754" w:rsidP="00694F3A">
            <w:pPr>
              <w:pStyle w:val="Tabletext"/>
              <w:rPr>
                <w:lang w:eastAsia="en-AU"/>
              </w:rPr>
            </w:pPr>
            <w:r>
              <w:rPr>
                <w:rFonts w:cs="Arial"/>
                <w:szCs w:val="21"/>
                <w:lang w:eastAsia="en-AU"/>
              </w:rPr>
              <w:t>Poor (</w:t>
            </w:r>
            <w:r w:rsidR="00841106">
              <w:rPr>
                <w:rFonts w:cs="Arial"/>
                <w:szCs w:val="21"/>
                <w:lang w:eastAsia="en-AU"/>
              </w:rPr>
              <w:t>8</w:t>
            </w:r>
            <w:r w:rsidR="00BB009E">
              <w:rPr>
                <w:rFonts w:cs="Arial"/>
                <w:szCs w:val="21"/>
                <w:lang w:eastAsia="en-AU"/>
              </w:rPr>
              <w:t xml:space="preserve"> – Matrix</w:t>
            </w:r>
            <w:r w:rsidR="00841106">
              <w:rPr>
                <w:rFonts w:cs="Arial"/>
                <w:szCs w:val="21"/>
                <w:lang w:eastAsia="en-AU"/>
              </w:rPr>
              <w:t>)</w:t>
            </w:r>
          </w:p>
        </w:tc>
      </w:tr>
      <w:tr w:rsidR="00074C20" w:rsidRPr="003365E2" w14:paraId="79AE31FE" w14:textId="77777777" w:rsidTr="00694F3A">
        <w:tc>
          <w:tcPr>
            <w:tcW w:w="0" w:type="auto"/>
            <w:hideMark/>
          </w:tcPr>
          <w:p w14:paraId="4D8C886A" w14:textId="77777777" w:rsidR="00074C20" w:rsidRPr="003365E2" w:rsidRDefault="00074C20" w:rsidP="00694F3A">
            <w:pPr>
              <w:pStyle w:val="Tabletext"/>
              <w:rPr>
                <w:lang w:eastAsia="en-AU"/>
              </w:rPr>
            </w:pPr>
            <w:r w:rsidRPr="003365E2">
              <w:rPr>
                <w:lang w:eastAsia="en-AU"/>
              </w:rPr>
              <w:t xml:space="preserve">All employees </w:t>
            </w:r>
            <w:r>
              <w:rPr>
                <w:lang w:eastAsia="en-AU"/>
              </w:rPr>
              <w:t xml:space="preserve">mean </w:t>
            </w:r>
            <w:r w:rsidRPr="003365E2">
              <w:rPr>
                <w:lang w:eastAsia="en-AU"/>
              </w:rPr>
              <w:t>total remuneration gap</w:t>
            </w:r>
          </w:p>
        </w:tc>
        <w:tc>
          <w:tcPr>
            <w:tcW w:w="1069" w:type="dxa"/>
            <w:hideMark/>
          </w:tcPr>
          <w:p w14:paraId="235A18A9" w14:textId="6BC21127" w:rsidR="00074C20" w:rsidRPr="003365E2" w:rsidRDefault="00E93D51" w:rsidP="00694F3A">
            <w:pPr>
              <w:pStyle w:val="Tabletext"/>
              <w:rPr>
                <w:lang w:eastAsia="en-AU"/>
              </w:rPr>
            </w:pPr>
            <w:r>
              <w:rPr>
                <w:lang w:eastAsia="en-AU"/>
              </w:rPr>
              <w:t>15.2</w:t>
            </w:r>
            <w:r w:rsidR="00545638">
              <w:rPr>
                <w:lang w:eastAsia="en-AU"/>
              </w:rPr>
              <w:t>%</w:t>
            </w:r>
          </w:p>
        </w:tc>
        <w:tc>
          <w:tcPr>
            <w:tcW w:w="1069" w:type="dxa"/>
            <w:hideMark/>
          </w:tcPr>
          <w:p w14:paraId="5270D02E" w14:textId="4BBC789B" w:rsidR="00074C20" w:rsidRPr="003365E2" w:rsidRDefault="00E93D51" w:rsidP="00694F3A">
            <w:pPr>
              <w:pStyle w:val="Tabletext"/>
              <w:rPr>
                <w:lang w:eastAsia="en-AU"/>
              </w:rPr>
            </w:pPr>
            <w:r>
              <w:rPr>
                <w:lang w:eastAsia="en-AU"/>
              </w:rPr>
              <w:t>15.8</w:t>
            </w:r>
            <w:r w:rsidR="00545638">
              <w:rPr>
                <w:lang w:eastAsia="en-AU"/>
              </w:rPr>
              <w:t>%</w:t>
            </w:r>
          </w:p>
        </w:tc>
        <w:tc>
          <w:tcPr>
            <w:tcW w:w="1070" w:type="dxa"/>
            <w:hideMark/>
          </w:tcPr>
          <w:p w14:paraId="4CEF44CF" w14:textId="75EFB4AD" w:rsidR="00074C20" w:rsidRPr="003365E2" w:rsidRDefault="00E93D51" w:rsidP="00694F3A">
            <w:pPr>
              <w:pStyle w:val="Tabletext"/>
              <w:rPr>
                <w:lang w:eastAsia="en-AU"/>
              </w:rPr>
            </w:pPr>
            <w:r>
              <w:rPr>
                <w:lang w:eastAsia="en-AU"/>
              </w:rPr>
              <w:t>15.7</w:t>
            </w:r>
            <w:r w:rsidR="00545638">
              <w:rPr>
                <w:lang w:eastAsia="en-AU"/>
              </w:rPr>
              <w:t>%</w:t>
            </w:r>
          </w:p>
        </w:tc>
        <w:tc>
          <w:tcPr>
            <w:tcW w:w="1650" w:type="dxa"/>
            <w:hideMark/>
          </w:tcPr>
          <w:p w14:paraId="122F99B6" w14:textId="30E9F561" w:rsidR="00074C20" w:rsidRPr="003365E2" w:rsidRDefault="00E93D51" w:rsidP="00694F3A">
            <w:pPr>
              <w:pStyle w:val="Tabletext"/>
              <w:rPr>
                <w:lang w:eastAsia="en-AU"/>
              </w:rPr>
            </w:pPr>
            <w:r>
              <w:rPr>
                <w:lang w:eastAsia="en-AU"/>
              </w:rPr>
              <w:t>+0.5</w:t>
            </w:r>
            <w:r w:rsidR="003245A0">
              <w:rPr>
                <w:lang w:eastAsia="en-AU"/>
              </w:rPr>
              <w:t>pp</w:t>
            </w:r>
          </w:p>
        </w:tc>
        <w:tc>
          <w:tcPr>
            <w:tcW w:w="0" w:type="auto"/>
            <w:hideMark/>
          </w:tcPr>
          <w:p w14:paraId="47288CCB" w14:textId="65506DD4" w:rsidR="00074C20" w:rsidRPr="003365E2" w:rsidRDefault="00841106" w:rsidP="00694F3A">
            <w:pPr>
              <w:pStyle w:val="Tabletext"/>
              <w:rPr>
                <w:lang w:eastAsia="en-AU"/>
              </w:rPr>
            </w:pPr>
            <w:r>
              <w:rPr>
                <w:rFonts w:cs="Arial"/>
                <w:szCs w:val="21"/>
                <w:lang w:eastAsia="en-AU"/>
              </w:rPr>
              <w:t>Poor (8</w:t>
            </w:r>
            <w:r w:rsidR="00BB009E">
              <w:rPr>
                <w:rFonts w:cs="Arial"/>
                <w:szCs w:val="21"/>
                <w:lang w:eastAsia="en-AU"/>
              </w:rPr>
              <w:t xml:space="preserve"> – Matrix</w:t>
            </w:r>
            <w:r>
              <w:rPr>
                <w:rFonts w:cs="Arial"/>
                <w:szCs w:val="21"/>
                <w:lang w:eastAsia="en-AU"/>
              </w:rPr>
              <w:t>)</w:t>
            </w:r>
          </w:p>
        </w:tc>
      </w:tr>
      <w:tr w:rsidR="00074C20" w:rsidRPr="003365E2" w14:paraId="616569C6" w14:textId="77777777" w:rsidTr="00694F3A">
        <w:tc>
          <w:tcPr>
            <w:tcW w:w="0" w:type="auto"/>
            <w:hideMark/>
          </w:tcPr>
          <w:p w14:paraId="2AC0CCD8" w14:textId="0D5D6CAA" w:rsidR="00074C20" w:rsidRPr="003365E2" w:rsidRDefault="00074C20" w:rsidP="00694F3A">
            <w:pPr>
              <w:pStyle w:val="Tabletext"/>
              <w:rPr>
                <w:lang w:eastAsia="en-AU"/>
              </w:rPr>
            </w:pPr>
            <w:r>
              <w:rPr>
                <w:lang w:eastAsia="en-AU"/>
              </w:rPr>
              <w:t>Senior leader mean total remuneration gap</w:t>
            </w:r>
          </w:p>
        </w:tc>
        <w:tc>
          <w:tcPr>
            <w:tcW w:w="1069" w:type="dxa"/>
            <w:shd w:val="clear" w:color="auto" w:fill="BFBFBF" w:themeFill="background1" w:themeFillShade="BF"/>
            <w:hideMark/>
          </w:tcPr>
          <w:p w14:paraId="417F3FC7" w14:textId="0B06C896" w:rsidR="00074C20" w:rsidRPr="003365E2" w:rsidRDefault="003245A0" w:rsidP="00694F3A">
            <w:pPr>
              <w:pStyle w:val="Tabletext"/>
              <w:rPr>
                <w:lang w:eastAsia="en-AU"/>
              </w:rPr>
            </w:pPr>
            <w:r>
              <w:rPr>
                <w:lang w:eastAsia="en-AU"/>
              </w:rPr>
              <w:t>n/a</w:t>
            </w:r>
          </w:p>
        </w:tc>
        <w:tc>
          <w:tcPr>
            <w:tcW w:w="1069" w:type="dxa"/>
            <w:hideMark/>
          </w:tcPr>
          <w:p w14:paraId="49BE8FCE" w14:textId="155F4FAA" w:rsidR="00074C20" w:rsidRPr="003365E2" w:rsidRDefault="00E93D51" w:rsidP="00694F3A">
            <w:pPr>
              <w:pStyle w:val="Tabletext"/>
              <w:rPr>
                <w:lang w:eastAsia="en-AU"/>
              </w:rPr>
            </w:pPr>
            <w:r>
              <w:rPr>
                <w:lang w:eastAsia="en-AU"/>
              </w:rPr>
              <w:t>11.2</w:t>
            </w:r>
            <w:r w:rsidR="00545638">
              <w:rPr>
                <w:lang w:eastAsia="en-AU"/>
              </w:rPr>
              <w:t>%</w:t>
            </w:r>
          </w:p>
        </w:tc>
        <w:tc>
          <w:tcPr>
            <w:tcW w:w="1070" w:type="dxa"/>
            <w:hideMark/>
          </w:tcPr>
          <w:p w14:paraId="2E9FBBDC" w14:textId="1CC6CE0E" w:rsidR="00074C20" w:rsidRPr="003365E2" w:rsidRDefault="00E93D51" w:rsidP="00694F3A">
            <w:pPr>
              <w:pStyle w:val="Tabletext"/>
              <w:rPr>
                <w:lang w:eastAsia="en-AU"/>
              </w:rPr>
            </w:pPr>
            <w:r>
              <w:rPr>
                <w:lang w:eastAsia="en-AU"/>
              </w:rPr>
              <w:t>12.5</w:t>
            </w:r>
            <w:r w:rsidR="00545638">
              <w:rPr>
                <w:lang w:eastAsia="en-AU"/>
              </w:rPr>
              <w:t>%</w:t>
            </w:r>
          </w:p>
        </w:tc>
        <w:tc>
          <w:tcPr>
            <w:tcW w:w="1650" w:type="dxa"/>
            <w:hideMark/>
          </w:tcPr>
          <w:p w14:paraId="40F6C196" w14:textId="7005336B" w:rsidR="00074C20" w:rsidRPr="003365E2" w:rsidRDefault="00E93D51" w:rsidP="00694F3A">
            <w:pPr>
              <w:pStyle w:val="Tabletext"/>
              <w:rPr>
                <w:lang w:eastAsia="en-AU"/>
              </w:rPr>
            </w:pPr>
            <w:r>
              <w:rPr>
                <w:lang w:eastAsia="en-AU"/>
              </w:rPr>
              <w:t>+1.3</w:t>
            </w:r>
            <w:r w:rsidR="003245A0">
              <w:rPr>
                <w:lang w:eastAsia="en-AU"/>
              </w:rPr>
              <w:t>pp</w:t>
            </w:r>
          </w:p>
        </w:tc>
        <w:tc>
          <w:tcPr>
            <w:tcW w:w="0" w:type="auto"/>
            <w:hideMark/>
          </w:tcPr>
          <w:p w14:paraId="556D6917" w14:textId="5D12A686" w:rsidR="00074C20" w:rsidRPr="003365E2" w:rsidRDefault="00841106" w:rsidP="00694F3A">
            <w:pPr>
              <w:pStyle w:val="Tabletext"/>
              <w:rPr>
                <w:lang w:eastAsia="en-AU"/>
              </w:rPr>
            </w:pPr>
            <w:r>
              <w:rPr>
                <w:rFonts w:cs="Arial"/>
                <w:szCs w:val="21"/>
                <w:lang w:eastAsia="en-AU"/>
              </w:rPr>
              <w:t>Poor (8</w:t>
            </w:r>
            <w:r w:rsidR="00BB009E">
              <w:rPr>
                <w:rFonts w:cs="Arial"/>
                <w:szCs w:val="21"/>
                <w:lang w:eastAsia="en-AU"/>
              </w:rPr>
              <w:t xml:space="preserve"> – Matrix</w:t>
            </w:r>
            <w:r>
              <w:rPr>
                <w:rFonts w:cs="Arial"/>
                <w:szCs w:val="21"/>
                <w:lang w:eastAsia="en-AU"/>
              </w:rPr>
              <w:t>)</w:t>
            </w:r>
          </w:p>
        </w:tc>
      </w:tr>
    </w:tbl>
    <w:p w14:paraId="1757803D" w14:textId="77777777" w:rsidR="00C61709" w:rsidRDefault="00C61709" w:rsidP="001F709D">
      <w:pPr>
        <w:pStyle w:val="Tablefigurenote"/>
      </w:pPr>
      <w:r w:rsidRPr="00136D6E">
        <w:t>Source: Workplace gender audit workforce data, 2021</w:t>
      </w:r>
      <w:r>
        <w:t>, 2023 and 2025.</w:t>
      </w:r>
    </w:p>
    <w:p w14:paraId="6388F5DF" w14:textId="7E8577CB" w:rsidR="002308C6" w:rsidRDefault="00DC11A4" w:rsidP="001F709D">
      <w:pPr>
        <w:pStyle w:val="Tablefigurenote"/>
      </w:pPr>
      <w:r w:rsidRPr="00C27278">
        <w:t xml:space="preserve">Notes: </w:t>
      </w:r>
      <w:r w:rsidR="00125964">
        <w:t xml:space="preserve">Unlike the overall pay gaps, the Commission can only measure changes in senior leader pay gaps from 2023, when the senior leader category was introduced. You can review the definition of senior leader in </w:t>
      </w:r>
      <w:hyperlink r:id="rId34" w:history="1">
        <w:r w:rsidR="00125964" w:rsidRPr="0093789F">
          <w:rPr>
            <w:rStyle w:val="Hyperlink"/>
            <w:rFonts w:cs="Times New Roman"/>
          </w:rPr>
          <w:t>the audit guidance</w:t>
        </w:r>
      </w:hyperlink>
      <w:r w:rsidR="00125964">
        <w:t xml:space="preserve">. </w:t>
      </w:r>
      <w:r w:rsidR="00171754" w:rsidRPr="00C27278">
        <w:t xml:space="preserve">To understand how to interpret the different types of progress ratings, see </w:t>
      </w:r>
      <w:hyperlink w:anchor="_Data_measures" w:history="1">
        <w:r w:rsidR="001F1A1D" w:rsidRPr="00137E91">
          <w:rPr>
            <w:rStyle w:val="Hyperlink"/>
            <w:rFonts w:cs="Times New Roman"/>
          </w:rPr>
          <w:t>Data measures</w:t>
        </w:r>
      </w:hyperlink>
      <w:r w:rsidR="00137E91">
        <w:t xml:space="preserve"> in</w:t>
      </w:r>
      <w:r w:rsidR="00171754" w:rsidRPr="00A2089E">
        <w:t xml:space="preserve"> </w:t>
      </w:r>
      <w:r w:rsidR="00171754" w:rsidRPr="00C27278">
        <w:t xml:space="preserve">Appendix 1. </w:t>
      </w:r>
      <w:r w:rsidR="009D5E45" w:rsidRPr="00C27278">
        <w:t>To</w:t>
      </w:r>
      <w:r w:rsidR="00B02F7B" w:rsidRPr="00C27278">
        <w:t xml:space="preserve"> read more about how the Commission calculates </w:t>
      </w:r>
      <w:hyperlink w:anchor="_Gender_gaps" w:history="1">
        <w:r w:rsidR="00B02F7B" w:rsidRPr="003F7A99">
          <w:rPr>
            <w:rStyle w:val="Hyperlink"/>
            <w:rFonts w:cs="Times New Roman"/>
          </w:rPr>
          <w:t>gender gaps</w:t>
        </w:r>
      </w:hyperlink>
      <w:r w:rsidR="00B02F7B">
        <w:t>,</w:t>
      </w:r>
      <w:r w:rsidR="00B02F7B" w:rsidRPr="00C27278">
        <w:t xml:space="preserve"> see </w:t>
      </w:r>
      <w:r w:rsidR="003F7A99">
        <w:t>Appendix 1</w:t>
      </w:r>
      <w:r>
        <w:t>.</w:t>
      </w:r>
      <w:r w:rsidRPr="00C27278">
        <w:t xml:space="preserve"> Gender gaps are always calculated between men and women</w:t>
      </w:r>
      <w:r w:rsidR="00A16A74">
        <w:t>.</w:t>
      </w:r>
      <w:r w:rsidRPr="00C27278">
        <w:t xml:space="preserve"> A gap </w:t>
      </w:r>
      <w:r w:rsidR="00A33093">
        <w:rPr>
          <w:lang w:eastAsia="en-AU"/>
        </w:rPr>
        <w:t>greater than zero</w:t>
      </w:r>
      <w:r w:rsidR="00A33093" w:rsidRPr="00C27278">
        <w:t xml:space="preserve"> </w:t>
      </w:r>
      <w:r w:rsidRPr="00C27278">
        <w:t xml:space="preserve">is in favour of men, and a gap </w:t>
      </w:r>
      <w:r w:rsidR="00A33093">
        <w:t>less than zero</w:t>
      </w:r>
      <w:r w:rsidR="00A33093" w:rsidRPr="00C27278">
        <w:t xml:space="preserve"> </w:t>
      </w:r>
      <w:r w:rsidRPr="00C27278">
        <w:t xml:space="preserve">is in favour of </w:t>
      </w:r>
      <w:r w:rsidR="00000CD4" w:rsidRPr="00C27278">
        <w:t>women.</w:t>
      </w:r>
      <w:r w:rsidR="00A16A74">
        <w:t xml:space="preserve"> </w:t>
      </w:r>
      <w:r w:rsidR="00A16A74" w:rsidRPr="00AE1037">
        <w:t xml:space="preserve">The </w:t>
      </w:r>
      <w:r w:rsidR="00A16A74">
        <w:t xml:space="preserve">percentage point </w:t>
      </w:r>
      <w:r w:rsidR="00A16A74" w:rsidRPr="00AE1037">
        <w:t>change column may not always reflect the exact difference between years due to rounding</w:t>
      </w:r>
      <w:r w:rsidR="00A16A74">
        <w:t>.</w:t>
      </w:r>
    </w:p>
    <w:p w14:paraId="00F8CC1D" w14:textId="1A2BDD37" w:rsidR="00823C90" w:rsidRDefault="00FB76DD" w:rsidP="002318A1">
      <w:pPr>
        <w:pStyle w:val="Tablecaption"/>
        <w:rPr>
          <w:lang w:eastAsia="en-AU"/>
        </w:rPr>
      </w:pPr>
      <w:r w:rsidRPr="00FB76DD">
        <w:rPr>
          <w:lang w:eastAsia="en-AU"/>
        </w:rPr>
        <w:t>Table 3.2</w:t>
      </w:r>
      <w:r w:rsidR="00AB61B8">
        <w:rPr>
          <w:lang w:eastAsia="en-AU"/>
        </w:rPr>
        <w:t>:</w:t>
      </w:r>
      <w:r w:rsidRPr="00FB76DD">
        <w:rPr>
          <w:lang w:eastAsia="en-AU"/>
        </w:rPr>
        <w:t xml:space="preserve"> </w:t>
      </w:r>
      <w:r w:rsidR="005C43A4">
        <w:rPr>
          <w:lang w:eastAsia="en-AU"/>
        </w:rPr>
        <w:t xml:space="preserve">Gender </w:t>
      </w:r>
      <w:r w:rsidR="002318A1">
        <w:rPr>
          <w:lang w:eastAsia="en-AU"/>
        </w:rPr>
        <w:t>p</w:t>
      </w:r>
      <w:r w:rsidRPr="00FB76DD">
        <w:rPr>
          <w:lang w:eastAsia="en-AU"/>
        </w:rPr>
        <w:t xml:space="preserve">ay </w:t>
      </w:r>
      <w:r w:rsidR="002318A1">
        <w:rPr>
          <w:lang w:eastAsia="en-AU"/>
        </w:rPr>
        <w:t>g</w:t>
      </w:r>
      <w:r w:rsidRPr="00FB76DD">
        <w:rPr>
          <w:lang w:eastAsia="en-AU"/>
        </w:rPr>
        <w:t xml:space="preserve">ap </w:t>
      </w:r>
      <w:r w:rsidR="002318A1">
        <w:rPr>
          <w:lang w:eastAsia="en-AU"/>
        </w:rPr>
        <w:t>p</w:t>
      </w:r>
      <w:r w:rsidRPr="00FB76DD">
        <w:rPr>
          <w:lang w:eastAsia="en-AU"/>
        </w:rPr>
        <w:t xml:space="preserve">rogress </w:t>
      </w:r>
      <w:r w:rsidR="00960583">
        <w:rPr>
          <w:lang w:eastAsia="en-AU"/>
        </w:rPr>
        <w:t xml:space="preserve">by </w:t>
      </w:r>
      <w:r w:rsidR="002318A1">
        <w:rPr>
          <w:lang w:eastAsia="en-AU"/>
        </w:rPr>
        <w:t>i</w:t>
      </w:r>
      <w:r w:rsidR="00960583">
        <w:rPr>
          <w:lang w:eastAsia="en-AU"/>
        </w:rPr>
        <w:t>ndustry</w:t>
      </w:r>
      <w:r w:rsidR="003028EE">
        <w:rPr>
          <w:lang w:eastAsia="en-AU"/>
        </w:rPr>
        <w:t xml:space="preserve"> (</w:t>
      </w:r>
      <w:r w:rsidR="002318A1">
        <w:rPr>
          <w:lang w:eastAsia="en-AU"/>
        </w:rPr>
        <w:t>m</w:t>
      </w:r>
      <w:r w:rsidR="00B522B7">
        <w:rPr>
          <w:lang w:eastAsia="en-AU"/>
        </w:rPr>
        <w:t xml:space="preserve">ean </w:t>
      </w:r>
      <w:r w:rsidR="002318A1">
        <w:rPr>
          <w:lang w:eastAsia="en-AU"/>
        </w:rPr>
        <w:t>t</w:t>
      </w:r>
      <w:r w:rsidR="003028EE">
        <w:rPr>
          <w:lang w:eastAsia="en-AU"/>
        </w:rPr>
        <w:t xml:space="preserve">otal </w:t>
      </w:r>
      <w:r w:rsidR="002318A1">
        <w:rPr>
          <w:lang w:eastAsia="en-AU"/>
        </w:rPr>
        <w:t>r</w:t>
      </w:r>
      <w:r w:rsidR="004A4D44">
        <w:rPr>
          <w:lang w:eastAsia="en-AU"/>
        </w:rPr>
        <w:t>emuneration</w:t>
      </w:r>
      <w:r w:rsidR="003028EE">
        <w:rPr>
          <w:lang w:eastAsia="en-AU"/>
        </w:rPr>
        <w:t>)</w:t>
      </w:r>
    </w:p>
    <w:tbl>
      <w:tblPr>
        <w:tblStyle w:val="CGEPStable"/>
        <w:tblW w:w="9781" w:type="dxa"/>
        <w:tblLook w:val="04A0" w:firstRow="1" w:lastRow="0" w:firstColumn="1" w:lastColumn="0" w:noHBand="0" w:noVBand="1"/>
      </w:tblPr>
      <w:tblGrid>
        <w:gridCol w:w="1907"/>
        <w:gridCol w:w="1434"/>
        <w:gridCol w:w="1434"/>
        <w:gridCol w:w="1434"/>
        <w:gridCol w:w="1962"/>
        <w:gridCol w:w="1610"/>
      </w:tblGrid>
      <w:tr w:rsidR="00726EC7" w:rsidRPr="006A2E07" w14:paraId="3E05CEDB" w14:textId="77777777" w:rsidTr="002318A1">
        <w:trPr>
          <w:cnfStyle w:val="100000000000" w:firstRow="1" w:lastRow="0" w:firstColumn="0" w:lastColumn="0" w:oddVBand="0" w:evenVBand="0" w:oddHBand="0" w:evenHBand="0" w:firstRowFirstColumn="0" w:firstRowLastColumn="0" w:lastRowFirstColumn="0" w:lastRowLastColumn="0"/>
        </w:trPr>
        <w:tc>
          <w:tcPr>
            <w:tcW w:w="1907" w:type="dxa"/>
            <w:hideMark/>
          </w:tcPr>
          <w:p w14:paraId="1760C839" w14:textId="77777777" w:rsidR="00726EC7" w:rsidRPr="006A2E07" w:rsidRDefault="00726EC7" w:rsidP="007B6D81">
            <w:pPr>
              <w:pStyle w:val="Tablecolhead"/>
              <w:ind w:left="-11"/>
              <w:rPr>
                <w:lang w:eastAsia="en-AU"/>
              </w:rPr>
            </w:pPr>
            <w:r w:rsidRPr="006A2E07">
              <w:rPr>
                <w:lang w:eastAsia="en-AU"/>
              </w:rPr>
              <w:t>Industry</w:t>
            </w:r>
          </w:p>
        </w:tc>
        <w:tc>
          <w:tcPr>
            <w:tcW w:w="1434" w:type="dxa"/>
          </w:tcPr>
          <w:p w14:paraId="76EDFFA8" w14:textId="26F87B4C" w:rsidR="00726EC7" w:rsidRPr="006A2E07" w:rsidRDefault="00726EC7" w:rsidP="002318A1">
            <w:pPr>
              <w:pStyle w:val="Tablecolhead"/>
              <w:rPr>
                <w:lang w:eastAsia="en-AU"/>
              </w:rPr>
            </w:pPr>
            <w:r>
              <w:rPr>
                <w:lang w:eastAsia="en-AU"/>
              </w:rPr>
              <w:t xml:space="preserve">2021 </w:t>
            </w:r>
          </w:p>
        </w:tc>
        <w:tc>
          <w:tcPr>
            <w:tcW w:w="1434" w:type="dxa"/>
          </w:tcPr>
          <w:p w14:paraId="2375BEC7" w14:textId="259EE5A2" w:rsidR="00726EC7" w:rsidRPr="006A2E07" w:rsidRDefault="00726EC7" w:rsidP="002318A1">
            <w:pPr>
              <w:pStyle w:val="Tablecolhead"/>
              <w:rPr>
                <w:lang w:eastAsia="en-AU"/>
              </w:rPr>
            </w:pPr>
            <w:r>
              <w:rPr>
                <w:lang w:eastAsia="en-AU"/>
              </w:rPr>
              <w:t xml:space="preserve">2023 </w:t>
            </w:r>
          </w:p>
        </w:tc>
        <w:tc>
          <w:tcPr>
            <w:tcW w:w="1434" w:type="dxa"/>
          </w:tcPr>
          <w:p w14:paraId="77249DC0" w14:textId="5BDC3537" w:rsidR="00726EC7" w:rsidRPr="006A2E07" w:rsidRDefault="00726EC7" w:rsidP="002318A1">
            <w:pPr>
              <w:pStyle w:val="Tablecolhead"/>
              <w:rPr>
                <w:lang w:eastAsia="en-AU"/>
              </w:rPr>
            </w:pPr>
            <w:r>
              <w:rPr>
                <w:lang w:eastAsia="en-AU"/>
              </w:rPr>
              <w:t xml:space="preserve">2025 </w:t>
            </w:r>
          </w:p>
        </w:tc>
        <w:tc>
          <w:tcPr>
            <w:tcW w:w="1962" w:type="dxa"/>
          </w:tcPr>
          <w:p w14:paraId="52C4B733" w14:textId="79961A4F" w:rsidR="00726EC7" w:rsidRDefault="004A0A8C" w:rsidP="002318A1">
            <w:pPr>
              <w:pStyle w:val="Tablecolhead"/>
              <w:rPr>
                <w:lang w:eastAsia="en-AU"/>
              </w:rPr>
            </w:pPr>
            <w:r>
              <w:rPr>
                <w:lang w:eastAsia="en-AU"/>
              </w:rPr>
              <w:t xml:space="preserve">Percentage </w:t>
            </w:r>
            <w:r w:rsidR="002318A1">
              <w:rPr>
                <w:lang w:eastAsia="en-AU"/>
              </w:rPr>
              <w:t>p</w:t>
            </w:r>
            <w:r>
              <w:rPr>
                <w:lang w:eastAsia="en-AU"/>
              </w:rPr>
              <w:t xml:space="preserve">oint </w:t>
            </w:r>
            <w:r w:rsidR="002318A1">
              <w:rPr>
                <w:lang w:eastAsia="en-AU"/>
              </w:rPr>
              <w:t>c</w:t>
            </w:r>
            <w:r w:rsidRPr="000443D8">
              <w:rPr>
                <w:lang w:eastAsia="en-AU"/>
              </w:rPr>
              <w:t>hange</w:t>
            </w:r>
            <w:r>
              <w:rPr>
                <w:lang w:eastAsia="en-AU"/>
              </w:rPr>
              <w:t xml:space="preserve"> </w:t>
            </w:r>
            <w:r w:rsidR="00D213FD">
              <w:rPr>
                <w:lang w:eastAsia="en-AU"/>
              </w:rPr>
              <w:t>2021</w:t>
            </w:r>
            <w:r w:rsidR="00BE46C0">
              <w:rPr>
                <w:lang w:eastAsia="en-AU"/>
              </w:rPr>
              <w:t>-</w:t>
            </w:r>
            <w:r w:rsidR="00D213FD">
              <w:rPr>
                <w:lang w:eastAsia="en-AU"/>
              </w:rPr>
              <w:t xml:space="preserve">2025 </w:t>
            </w:r>
          </w:p>
        </w:tc>
        <w:tc>
          <w:tcPr>
            <w:tcW w:w="1610" w:type="dxa"/>
          </w:tcPr>
          <w:p w14:paraId="5FB50175" w14:textId="55EE82AF" w:rsidR="00726EC7" w:rsidRDefault="00726EC7" w:rsidP="002318A1">
            <w:pPr>
              <w:pStyle w:val="Tablecolhead"/>
              <w:rPr>
                <w:lang w:eastAsia="en-AU"/>
              </w:rPr>
            </w:pPr>
            <w:r>
              <w:rPr>
                <w:lang w:eastAsia="en-AU"/>
              </w:rPr>
              <w:t>Progress</w:t>
            </w:r>
          </w:p>
        </w:tc>
      </w:tr>
      <w:tr w:rsidR="00074C20" w14:paraId="2F6E2AFC" w14:textId="77777777" w:rsidTr="002318A1">
        <w:tc>
          <w:tcPr>
            <w:tcW w:w="1907" w:type="dxa"/>
          </w:tcPr>
          <w:p w14:paraId="7FDD69DE" w14:textId="77777777" w:rsidR="00074C20" w:rsidRDefault="00074C20" w:rsidP="0078531C">
            <w:pPr>
              <w:pStyle w:val="BodyText"/>
              <w:rPr>
                <w:lang w:eastAsia="en-AU"/>
              </w:rPr>
            </w:pPr>
            <w:r>
              <w:rPr>
                <w:lang w:eastAsia="en-AU"/>
              </w:rPr>
              <w:t>Community and cultural services</w:t>
            </w:r>
          </w:p>
        </w:tc>
        <w:tc>
          <w:tcPr>
            <w:tcW w:w="1434" w:type="dxa"/>
          </w:tcPr>
          <w:p w14:paraId="6C336055" w14:textId="3490421C" w:rsidR="00074C20" w:rsidRDefault="00C765C4" w:rsidP="0078531C">
            <w:pPr>
              <w:pStyle w:val="BodyText"/>
              <w:rPr>
                <w:lang w:eastAsia="en-AU"/>
              </w:rPr>
            </w:pPr>
            <w:r>
              <w:rPr>
                <w:lang w:eastAsia="en-AU"/>
              </w:rPr>
              <w:t>1.9</w:t>
            </w:r>
            <w:r w:rsidR="00545638">
              <w:rPr>
                <w:lang w:eastAsia="en-AU"/>
              </w:rPr>
              <w:t>%</w:t>
            </w:r>
          </w:p>
        </w:tc>
        <w:tc>
          <w:tcPr>
            <w:tcW w:w="1434" w:type="dxa"/>
          </w:tcPr>
          <w:p w14:paraId="0A03924C" w14:textId="10A97E35" w:rsidR="00074C20" w:rsidRDefault="00D12D74" w:rsidP="0078531C">
            <w:pPr>
              <w:pStyle w:val="BodyText"/>
              <w:rPr>
                <w:lang w:eastAsia="en-AU"/>
              </w:rPr>
            </w:pPr>
            <w:r>
              <w:rPr>
                <w:lang w:eastAsia="en-AU"/>
              </w:rPr>
              <w:t>4.8</w:t>
            </w:r>
            <w:r w:rsidR="00545638">
              <w:rPr>
                <w:lang w:eastAsia="en-AU"/>
              </w:rPr>
              <w:t>%</w:t>
            </w:r>
          </w:p>
        </w:tc>
        <w:tc>
          <w:tcPr>
            <w:tcW w:w="1434" w:type="dxa"/>
          </w:tcPr>
          <w:p w14:paraId="46101300" w14:textId="3EAF505A" w:rsidR="00074C20" w:rsidRDefault="00D12D74" w:rsidP="0078531C">
            <w:pPr>
              <w:pStyle w:val="BodyText"/>
              <w:rPr>
                <w:lang w:eastAsia="en-AU"/>
              </w:rPr>
            </w:pPr>
            <w:r>
              <w:rPr>
                <w:lang w:eastAsia="en-AU"/>
              </w:rPr>
              <w:t>3.7</w:t>
            </w:r>
            <w:r w:rsidR="00545638">
              <w:rPr>
                <w:lang w:eastAsia="en-AU"/>
              </w:rPr>
              <w:t>%</w:t>
            </w:r>
          </w:p>
        </w:tc>
        <w:tc>
          <w:tcPr>
            <w:tcW w:w="1962" w:type="dxa"/>
          </w:tcPr>
          <w:p w14:paraId="71B5B2F9" w14:textId="583767DF" w:rsidR="00074C20" w:rsidRDefault="0027568D" w:rsidP="0078531C">
            <w:pPr>
              <w:pStyle w:val="BodyText"/>
              <w:rPr>
                <w:lang w:eastAsia="en-AU"/>
              </w:rPr>
            </w:pPr>
            <w:r>
              <w:rPr>
                <w:lang w:eastAsia="en-AU"/>
              </w:rPr>
              <w:t>+</w:t>
            </w:r>
            <w:r w:rsidR="00D12D74">
              <w:rPr>
                <w:lang w:eastAsia="en-AU"/>
              </w:rPr>
              <w:t>1.8</w:t>
            </w:r>
            <w:r w:rsidR="004737BD">
              <w:rPr>
                <w:lang w:eastAsia="en-AU"/>
              </w:rPr>
              <w:t>pp</w:t>
            </w:r>
          </w:p>
        </w:tc>
        <w:tc>
          <w:tcPr>
            <w:tcW w:w="1610" w:type="dxa"/>
          </w:tcPr>
          <w:p w14:paraId="62A001B3" w14:textId="77CE0809" w:rsidR="00074C20" w:rsidRDefault="00926C33" w:rsidP="0078531C">
            <w:pPr>
              <w:pStyle w:val="BodyText"/>
              <w:rPr>
                <w:lang w:eastAsia="en-AU"/>
              </w:rPr>
            </w:pPr>
            <w:r>
              <w:rPr>
                <w:lang w:eastAsia="en-AU"/>
              </w:rPr>
              <w:t>Moderate (9</w:t>
            </w:r>
            <w:r w:rsidR="00BB009E">
              <w:rPr>
                <w:rFonts w:cs="Arial"/>
                <w:szCs w:val="21"/>
                <w:lang w:eastAsia="en-AU"/>
              </w:rPr>
              <w:t xml:space="preserve"> – Matrix</w:t>
            </w:r>
            <w:r>
              <w:rPr>
                <w:lang w:eastAsia="en-AU"/>
              </w:rPr>
              <w:t>)</w:t>
            </w:r>
          </w:p>
        </w:tc>
      </w:tr>
      <w:tr w:rsidR="00074C20" w:rsidRPr="00406DA3" w14:paraId="37597885" w14:textId="77777777" w:rsidTr="002318A1">
        <w:tc>
          <w:tcPr>
            <w:tcW w:w="1907" w:type="dxa"/>
            <w:hideMark/>
          </w:tcPr>
          <w:p w14:paraId="3073E229" w14:textId="77777777" w:rsidR="00074C20" w:rsidRPr="00406DA3" w:rsidRDefault="00074C20" w:rsidP="0078531C">
            <w:pPr>
              <w:pStyle w:val="BodyText"/>
              <w:rPr>
                <w:lang w:eastAsia="en-AU"/>
              </w:rPr>
            </w:pPr>
            <w:r>
              <w:rPr>
                <w:lang w:eastAsia="en-AU"/>
              </w:rPr>
              <w:t>Finance and insurance</w:t>
            </w:r>
          </w:p>
        </w:tc>
        <w:tc>
          <w:tcPr>
            <w:tcW w:w="1434" w:type="dxa"/>
          </w:tcPr>
          <w:p w14:paraId="68B805D9" w14:textId="282E4C80" w:rsidR="00074C20" w:rsidRDefault="00D12D74" w:rsidP="0078531C">
            <w:pPr>
              <w:pStyle w:val="BodyText"/>
              <w:rPr>
                <w:lang w:eastAsia="en-AU"/>
              </w:rPr>
            </w:pPr>
            <w:r>
              <w:rPr>
                <w:lang w:eastAsia="en-AU"/>
              </w:rPr>
              <w:t>14.2</w:t>
            </w:r>
            <w:r w:rsidR="00545638">
              <w:rPr>
                <w:lang w:eastAsia="en-AU"/>
              </w:rPr>
              <w:t>%</w:t>
            </w:r>
          </w:p>
        </w:tc>
        <w:tc>
          <w:tcPr>
            <w:tcW w:w="1434" w:type="dxa"/>
          </w:tcPr>
          <w:p w14:paraId="76C5568E" w14:textId="15681E38" w:rsidR="00074C20" w:rsidRDefault="00D12D74" w:rsidP="0078531C">
            <w:pPr>
              <w:pStyle w:val="BodyText"/>
              <w:rPr>
                <w:lang w:eastAsia="en-AU"/>
              </w:rPr>
            </w:pPr>
            <w:r>
              <w:rPr>
                <w:lang w:eastAsia="en-AU"/>
              </w:rPr>
              <w:t>16.6</w:t>
            </w:r>
            <w:r w:rsidR="00545638">
              <w:rPr>
                <w:lang w:eastAsia="en-AU"/>
              </w:rPr>
              <w:t>%</w:t>
            </w:r>
          </w:p>
        </w:tc>
        <w:tc>
          <w:tcPr>
            <w:tcW w:w="1434" w:type="dxa"/>
          </w:tcPr>
          <w:p w14:paraId="0B96880A" w14:textId="309159F0" w:rsidR="00074C20" w:rsidRDefault="00D12D74" w:rsidP="0078531C">
            <w:pPr>
              <w:pStyle w:val="BodyText"/>
              <w:rPr>
                <w:lang w:eastAsia="en-AU"/>
              </w:rPr>
            </w:pPr>
            <w:r>
              <w:rPr>
                <w:lang w:eastAsia="en-AU"/>
              </w:rPr>
              <w:t>15.1</w:t>
            </w:r>
            <w:r w:rsidR="00545638">
              <w:rPr>
                <w:lang w:eastAsia="en-AU"/>
              </w:rPr>
              <w:t>%</w:t>
            </w:r>
          </w:p>
        </w:tc>
        <w:tc>
          <w:tcPr>
            <w:tcW w:w="1962" w:type="dxa"/>
          </w:tcPr>
          <w:p w14:paraId="28EDA440" w14:textId="0ABA7B06" w:rsidR="00074C20" w:rsidRDefault="00D12D74" w:rsidP="0078531C">
            <w:pPr>
              <w:pStyle w:val="BodyText"/>
              <w:rPr>
                <w:lang w:eastAsia="en-AU"/>
              </w:rPr>
            </w:pPr>
            <w:r>
              <w:rPr>
                <w:lang w:eastAsia="en-AU"/>
              </w:rPr>
              <w:t>+0.9</w:t>
            </w:r>
            <w:r w:rsidR="004737BD">
              <w:rPr>
                <w:lang w:eastAsia="en-AU"/>
              </w:rPr>
              <w:t>pp</w:t>
            </w:r>
          </w:p>
        </w:tc>
        <w:tc>
          <w:tcPr>
            <w:tcW w:w="1610" w:type="dxa"/>
          </w:tcPr>
          <w:p w14:paraId="3FC30311" w14:textId="0CCEB411" w:rsidR="00074C20" w:rsidRDefault="00FE3367" w:rsidP="0078531C">
            <w:pPr>
              <w:pStyle w:val="BodyText"/>
              <w:rPr>
                <w:lang w:eastAsia="en-AU"/>
              </w:rPr>
            </w:pPr>
            <w:r>
              <w:rPr>
                <w:lang w:eastAsia="en-AU"/>
              </w:rPr>
              <w:t>Poor (</w:t>
            </w:r>
            <w:r w:rsidR="0088270D">
              <w:rPr>
                <w:lang w:eastAsia="en-AU"/>
              </w:rPr>
              <w:t>8</w:t>
            </w:r>
            <w:r w:rsidR="00BB009E">
              <w:rPr>
                <w:rFonts w:cs="Arial"/>
                <w:szCs w:val="21"/>
                <w:lang w:eastAsia="en-AU"/>
              </w:rPr>
              <w:t xml:space="preserve"> – Matrix</w:t>
            </w:r>
            <w:r w:rsidR="0088270D">
              <w:rPr>
                <w:lang w:eastAsia="en-AU"/>
              </w:rPr>
              <w:t>)</w:t>
            </w:r>
          </w:p>
        </w:tc>
      </w:tr>
      <w:tr w:rsidR="00074C20" w:rsidRPr="00406DA3" w14:paraId="16CFFAB8" w14:textId="77777777" w:rsidTr="002318A1">
        <w:tc>
          <w:tcPr>
            <w:tcW w:w="1907" w:type="dxa"/>
            <w:hideMark/>
          </w:tcPr>
          <w:p w14:paraId="7E715BE2" w14:textId="77777777" w:rsidR="00074C20" w:rsidRPr="00406DA3" w:rsidRDefault="00074C20" w:rsidP="0078531C">
            <w:pPr>
              <w:pStyle w:val="BodyText"/>
              <w:rPr>
                <w:lang w:eastAsia="en-AU"/>
              </w:rPr>
            </w:pPr>
            <w:r w:rsidRPr="00406DA3">
              <w:rPr>
                <w:lang w:eastAsia="en-AU"/>
              </w:rPr>
              <w:t>Local government</w:t>
            </w:r>
          </w:p>
        </w:tc>
        <w:tc>
          <w:tcPr>
            <w:tcW w:w="1434" w:type="dxa"/>
          </w:tcPr>
          <w:p w14:paraId="5DDED793" w14:textId="22EA0BBB" w:rsidR="00074C20" w:rsidRPr="00406DA3" w:rsidRDefault="00D12D74" w:rsidP="0078531C">
            <w:pPr>
              <w:pStyle w:val="BodyText"/>
              <w:rPr>
                <w:lang w:eastAsia="en-AU"/>
              </w:rPr>
            </w:pPr>
            <w:r>
              <w:rPr>
                <w:lang w:eastAsia="en-AU"/>
              </w:rPr>
              <w:t>5.7</w:t>
            </w:r>
            <w:r w:rsidR="00545638">
              <w:rPr>
                <w:lang w:eastAsia="en-AU"/>
              </w:rPr>
              <w:t>%</w:t>
            </w:r>
          </w:p>
        </w:tc>
        <w:tc>
          <w:tcPr>
            <w:tcW w:w="1434" w:type="dxa"/>
          </w:tcPr>
          <w:p w14:paraId="49010096" w14:textId="0EE67749" w:rsidR="00074C20" w:rsidRPr="00406DA3" w:rsidRDefault="00D12D74" w:rsidP="0078531C">
            <w:pPr>
              <w:pStyle w:val="BodyText"/>
              <w:rPr>
                <w:lang w:eastAsia="en-AU"/>
              </w:rPr>
            </w:pPr>
            <w:r>
              <w:rPr>
                <w:lang w:eastAsia="en-AU"/>
              </w:rPr>
              <w:t>3.5</w:t>
            </w:r>
            <w:r w:rsidR="00545638">
              <w:rPr>
                <w:lang w:eastAsia="en-AU"/>
              </w:rPr>
              <w:t>%</w:t>
            </w:r>
          </w:p>
        </w:tc>
        <w:tc>
          <w:tcPr>
            <w:tcW w:w="1434" w:type="dxa"/>
          </w:tcPr>
          <w:p w14:paraId="468060B2" w14:textId="3D3D5141" w:rsidR="00074C20" w:rsidRPr="00406DA3" w:rsidRDefault="00D12D74" w:rsidP="0078531C">
            <w:pPr>
              <w:pStyle w:val="BodyText"/>
              <w:rPr>
                <w:lang w:eastAsia="en-AU"/>
              </w:rPr>
            </w:pPr>
            <w:r>
              <w:rPr>
                <w:lang w:eastAsia="en-AU"/>
              </w:rPr>
              <w:t>2.4%</w:t>
            </w:r>
          </w:p>
        </w:tc>
        <w:tc>
          <w:tcPr>
            <w:tcW w:w="1962" w:type="dxa"/>
          </w:tcPr>
          <w:p w14:paraId="460A5D36" w14:textId="51FAA738" w:rsidR="00074C20" w:rsidRPr="00406DA3" w:rsidRDefault="00D12D74" w:rsidP="0078531C">
            <w:pPr>
              <w:pStyle w:val="BodyText"/>
              <w:rPr>
                <w:lang w:eastAsia="en-AU"/>
              </w:rPr>
            </w:pPr>
            <w:r>
              <w:rPr>
                <w:lang w:eastAsia="en-AU"/>
              </w:rPr>
              <w:t>-3.3</w:t>
            </w:r>
            <w:r w:rsidR="004737BD">
              <w:rPr>
                <w:lang w:eastAsia="en-AU"/>
              </w:rPr>
              <w:t>pp</w:t>
            </w:r>
          </w:p>
        </w:tc>
        <w:tc>
          <w:tcPr>
            <w:tcW w:w="1610" w:type="dxa"/>
          </w:tcPr>
          <w:p w14:paraId="16A6C493" w14:textId="5FC90038" w:rsidR="00074C20" w:rsidRPr="00406DA3" w:rsidRDefault="00AD4D9C" w:rsidP="0078531C">
            <w:pPr>
              <w:pStyle w:val="BodyText"/>
              <w:rPr>
                <w:lang w:eastAsia="en-AU"/>
              </w:rPr>
            </w:pPr>
            <w:r>
              <w:rPr>
                <w:lang w:eastAsia="en-AU"/>
              </w:rPr>
              <w:t>Excellent (18</w:t>
            </w:r>
            <w:r w:rsidR="00BB009E">
              <w:rPr>
                <w:rFonts w:cs="Arial"/>
                <w:szCs w:val="21"/>
                <w:lang w:eastAsia="en-AU"/>
              </w:rPr>
              <w:t xml:space="preserve"> – Matrix</w:t>
            </w:r>
            <w:r>
              <w:rPr>
                <w:lang w:eastAsia="en-AU"/>
              </w:rPr>
              <w:t>)</w:t>
            </w:r>
          </w:p>
        </w:tc>
      </w:tr>
      <w:tr w:rsidR="00074C20" w:rsidRPr="00406DA3" w14:paraId="377B8F1F" w14:textId="77777777" w:rsidTr="002318A1">
        <w:tc>
          <w:tcPr>
            <w:tcW w:w="1907" w:type="dxa"/>
            <w:hideMark/>
          </w:tcPr>
          <w:p w14:paraId="43D22AFA" w14:textId="77777777" w:rsidR="00074C20" w:rsidRPr="00406DA3" w:rsidRDefault="00074C20" w:rsidP="0078531C">
            <w:pPr>
              <w:pStyle w:val="BodyText"/>
              <w:rPr>
                <w:lang w:eastAsia="en-AU"/>
              </w:rPr>
            </w:pPr>
            <w:r>
              <w:rPr>
                <w:lang w:eastAsia="en-AU"/>
              </w:rPr>
              <w:t>Other</w:t>
            </w:r>
          </w:p>
        </w:tc>
        <w:tc>
          <w:tcPr>
            <w:tcW w:w="1434" w:type="dxa"/>
          </w:tcPr>
          <w:p w14:paraId="70C79342" w14:textId="279677E9" w:rsidR="00074C20" w:rsidRDefault="00A01838" w:rsidP="0078531C">
            <w:pPr>
              <w:pStyle w:val="BodyText"/>
              <w:rPr>
                <w:lang w:eastAsia="en-AU"/>
              </w:rPr>
            </w:pPr>
            <w:r>
              <w:rPr>
                <w:lang w:eastAsia="en-AU"/>
              </w:rPr>
              <w:t>11.6</w:t>
            </w:r>
            <w:r w:rsidR="00545638">
              <w:rPr>
                <w:lang w:eastAsia="en-AU"/>
              </w:rPr>
              <w:t>%</w:t>
            </w:r>
          </w:p>
        </w:tc>
        <w:tc>
          <w:tcPr>
            <w:tcW w:w="1434" w:type="dxa"/>
          </w:tcPr>
          <w:p w14:paraId="33692E08" w14:textId="5042A3E5" w:rsidR="00074C20" w:rsidRDefault="00A01838" w:rsidP="0078531C">
            <w:pPr>
              <w:pStyle w:val="BodyText"/>
              <w:rPr>
                <w:lang w:eastAsia="en-AU"/>
              </w:rPr>
            </w:pPr>
            <w:r>
              <w:rPr>
                <w:lang w:eastAsia="en-AU"/>
              </w:rPr>
              <w:t>7.7</w:t>
            </w:r>
            <w:r w:rsidR="00545638">
              <w:rPr>
                <w:lang w:eastAsia="en-AU"/>
              </w:rPr>
              <w:t>%</w:t>
            </w:r>
          </w:p>
        </w:tc>
        <w:tc>
          <w:tcPr>
            <w:tcW w:w="1434" w:type="dxa"/>
          </w:tcPr>
          <w:p w14:paraId="6517C7D7" w14:textId="4C413A01" w:rsidR="00074C20" w:rsidRDefault="00A01838" w:rsidP="0078531C">
            <w:pPr>
              <w:pStyle w:val="BodyText"/>
              <w:rPr>
                <w:lang w:eastAsia="en-AU"/>
              </w:rPr>
            </w:pPr>
            <w:r>
              <w:rPr>
                <w:lang w:eastAsia="en-AU"/>
              </w:rPr>
              <w:t>6.</w:t>
            </w:r>
            <w:r w:rsidR="00DD5B5B">
              <w:rPr>
                <w:lang w:eastAsia="en-AU"/>
              </w:rPr>
              <w:t>7</w:t>
            </w:r>
            <w:r w:rsidR="00545638">
              <w:rPr>
                <w:lang w:eastAsia="en-AU"/>
              </w:rPr>
              <w:t>%</w:t>
            </w:r>
          </w:p>
        </w:tc>
        <w:tc>
          <w:tcPr>
            <w:tcW w:w="1962" w:type="dxa"/>
          </w:tcPr>
          <w:p w14:paraId="5C5A6243" w14:textId="7D5B2109" w:rsidR="00074C20" w:rsidRDefault="00A01838" w:rsidP="0078531C">
            <w:pPr>
              <w:pStyle w:val="BodyText"/>
              <w:rPr>
                <w:lang w:eastAsia="en-AU"/>
              </w:rPr>
            </w:pPr>
            <w:r>
              <w:rPr>
                <w:lang w:eastAsia="en-AU"/>
              </w:rPr>
              <w:t>-</w:t>
            </w:r>
            <w:r w:rsidR="00DD5B5B">
              <w:rPr>
                <w:lang w:eastAsia="en-AU"/>
              </w:rPr>
              <w:t>4.9</w:t>
            </w:r>
            <w:r w:rsidR="004737BD">
              <w:rPr>
                <w:lang w:eastAsia="en-AU"/>
              </w:rPr>
              <w:t>pp</w:t>
            </w:r>
          </w:p>
        </w:tc>
        <w:tc>
          <w:tcPr>
            <w:tcW w:w="1610" w:type="dxa"/>
          </w:tcPr>
          <w:p w14:paraId="12789868" w14:textId="4AE72086" w:rsidR="00074C20" w:rsidRDefault="00AD4D9C" w:rsidP="0078531C">
            <w:pPr>
              <w:pStyle w:val="BodyText"/>
              <w:rPr>
                <w:lang w:eastAsia="en-AU"/>
              </w:rPr>
            </w:pPr>
            <w:r>
              <w:rPr>
                <w:lang w:eastAsia="en-AU"/>
              </w:rPr>
              <w:t>Moderate (12</w:t>
            </w:r>
            <w:r w:rsidR="00BB009E">
              <w:rPr>
                <w:rFonts w:cs="Arial"/>
                <w:szCs w:val="21"/>
                <w:lang w:eastAsia="en-AU"/>
              </w:rPr>
              <w:t xml:space="preserve"> – Matrix</w:t>
            </w:r>
            <w:r>
              <w:rPr>
                <w:lang w:eastAsia="en-AU"/>
              </w:rPr>
              <w:t>)</w:t>
            </w:r>
          </w:p>
        </w:tc>
      </w:tr>
      <w:tr w:rsidR="00074C20" w:rsidRPr="00406DA3" w14:paraId="66DBD6AF" w14:textId="77777777" w:rsidTr="002318A1">
        <w:tc>
          <w:tcPr>
            <w:tcW w:w="1907" w:type="dxa"/>
            <w:hideMark/>
          </w:tcPr>
          <w:p w14:paraId="1A2E5ABA" w14:textId="77777777" w:rsidR="00074C20" w:rsidRPr="00406DA3" w:rsidRDefault="00074C20" w:rsidP="0078531C">
            <w:pPr>
              <w:pStyle w:val="BodyText"/>
              <w:rPr>
                <w:lang w:eastAsia="en-AU"/>
              </w:rPr>
            </w:pPr>
            <w:r w:rsidRPr="00406DA3">
              <w:rPr>
                <w:lang w:eastAsia="en-AU"/>
              </w:rPr>
              <w:lastRenderedPageBreak/>
              <w:t>Police and emergency services</w:t>
            </w:r>
          </w:p>
        </w:tc>
        <w:tc>
          <w:tcPr>
            <w:tcW w:w="1434" w:type="dxa"/>
          </w:tcPr>
          <w:p w14:paraId="7F5B4977" w14:textId="0590353C" w:rsidR="00074C20" w:rsidRPr="00406DA3" w:rsidRDefault="00A01838" w:rsidP="0078531C">
            <w:pPr>
              <w:pStyle w:val="BodyText"/>
              <w:rPr>
                <w:lang w:eastAsia="en-AU"/>
              </w:rPr>
            </w:pPr>
            <w:r>
              <w:rPr>
                <w:lang w:eastAsia="en-AU"/>
              </w:rPr>
              <w:t>18.1</w:t>
            </w:r>
            <w:r w:rsidR="00545638">
              <w:rPr>
                <w:lang w:eastAsia="en-AU"/>
              </w:rPr>
              <w:t>%</w:t>
            </w:r>
          </w:p>
        </w:tc>
        <w:tc>
          <w:tcPr>
            <w:tcW w:w="1434" w:type="dxa"/>
          </w:tcPr>
          <w:p w14:paraId="6C1E4766" w14:textId="6F0A006B" w:rsidR="00074C20" w:rsidRPr="00406DA3" w:rsidRDefault="00A01838" w:rsidP="0078531C">
            <w:pPr>
              <w:pStyle w:val="BodyText"/>
              <w:rPr>
                <w:lang w:eastAsia="en-AU"/>
              </w:rPr>
            </w:pPr>
            <w:r>
              <w:rPr>
                <w:lang w:eastAsia="en-AU"/>
              </w:rPr>
              <w:t>10.5</w:t>
            </w:r>
            <w:r w:rsidR="00545638">
              <w:rPr>
                <w:lang w:eastAsia="en-AU"/>
              </w:rPr>
              <w:t>%</w:t>
            </w:r>
          </w:p>
        </w:tc>
        <w:tc>
          <w:tcPr>
            <w:tcW w:w="1434" w:type="dxa"/>
          </w:tcPr>
          <w:p w14:paraId="60A606EB" w14:textId="60763F60" w:rsidR="00074C20" w:rsidRPr="00406DA3" w:rsidRDefault="00A01838" w:rsidP="0078531C">
            <w:pPr>
              <w:pStyle w:val="BodyText"/>
              <w:rPr>
                <w:lang w:eastAsia="en-AU"/>
              </w:rPr>
            </w:pPr>
            <w:r>
              <w:rPr>
                <w:lang w:eastAsia="en-AU"/>
              </w:rPr>
              <w:t>12.0</w:t>
            </w:r>
            <w:r w:rsidR="00545638">
              <w:rPr>
                <w:lang w:eastAsia="en-AU"/>
              </w:rPr>
              <w:t>%</w:t>
            </w:r>
          </w:p>
        </w:tc>
        <w:tc>
          <w:tcPr>
            <w:tcW w:w="1962" w:type="dxa"/>
          </w:tcPr>
          <w:p w14:paraId="5C6450BE" w14:textId="53878CE9" w:rsidR="00074C20" w:rsidRPr="00406DA3" w:rsidRDefault="00A01838" w:rsidP="0078531C">
            <w:pPr>
              <w:pStyle w:val="BodyText"/>
              <w:rPr>
                <w:lang w:eastAsia="en-AU"/>
              </w:rPr>
            </w:pPr>
            <w:r>
              <w:rPr>
                <w:lang w:eastAsia="en-AU"/>
              </w:rPr>
              <w:t>-6.1</w:t>
            </w:r>
            <w:r w:rsidR="004737BD">
              <w:rPr>
                <w:lang w:eastAsia="en-AU"/>
              </w:rPr>
              <w:t>pp</w:t>
            </w:r>
          </w:p>
        </w:tc>
        <w:tc>
          <w:tcPr>
            <w:tcW w:w="1610" w:type="dxa"/>
          </w:tcPr>
          <w:p w14:paraId="0F7A6E08" w14:textId="5E150AC8" w:rsidR="00074C20" w:rsidRPr="00406DA3" w:rsidRDefault="00AD4D9C" w:rsidP="0078531C">
            <w:pPr>
              <w:pStyle w:val="BodyText"/>
              <w:rPr>
                <w:lang w:eastAsia="en-AU"/>
              </w:rPr>
            </w:pPr>
            <w:r>
              <w:rPr>
                <w:lang w:eastAsia="en-AU"/>
              </w:rPr>
              <w:t>Moderate (1</w:t>
            </w:r>
            <w:r w:rsidR="00BB260E">
              <w:rPr>
                <w:lang w:eastAsia="en-AU"/>
              </w:rPr>
              <w:t>1</w:t>
            </w:r>
            <w:r w:rsidR="00BB009E">
              <w:rPr>
                <w:rFonts w:cs="Arial"/>
                <w:szCs w:val="21"/>
                <w:lang w:eastAsia="en-AU"/>
              </w:rPr>
              <w:t xml:space="preserve"> – Matrix</w:t>
            </w:r>
            <w:r>
              <w:rPr>
                <w:lang w:eastAsia="en-AU"/>
              </w:rPr>
              <w:t>)</w:t>
            </w:r>
          </w:p>
        </w:tc>
      </w:tr>
      <w:tr w:rsidR="00074C20" w:rsidRPr="00406DA3" w14:paraId="3D54294A" w14:textId="77777777" w:rsidTr="002318A1">
        <w:tc>
          <w:tcPr>
            <w:tcW w:w="1907" w:type="dxa"/>
          </w:tcPr>
          <w:p w14:paraId="1AC7F71B" w14:textId="77777777" w:rsidR="00074C20" w:rsidRPr="00406DA3" w:rsidRDefault="00074C20" w:rsidP="0078531C">
            <w:pPr>
              <w:pStyle w:val="BodyText"/>
              <w:rPr>
                <w:lang w:eastAsia="en-AU"/>
              </w:rPr>
            </w:pPr>
            <w:r w:rsidRPr="00406DA3">
              <w:rPr>
                <w:lang w:eastAsia="en-AU"/>
              </w:rPr>
              <w:t>Public health care</w:t>
            </w:r>
          </w:p>
        </w:tc>
        <w:tc>
          <w:tcPr>
            <w:tcW w:w="1434" w:type="dxa"/>
          </w:tcPr>
          <w:p w14:paraId="045F8022" w14:textId="080136FB" w:rsidR="00074C20" w:rsidRPr="00406DA3" w:rsidRDefault="007B6F03" w:rsidP="0078531C">
            <w:pPr>
              <w:pStyle w:val="BodyText"/>
              <w:rPr>
                <w:lang w:eastAsia="en-AU"/>
              </w:rPr>
            </w:pPr>
            <w:r>
              <w:rPr>
                <w:lang w:eastAsia="en-AU"/>
              </w:rPr>
              <w:t>34.0</w:t>
            </w:r>
            <w:r w:rsidR="00545638">
              <w:rPr>
                <w:lang w:eastAsia="en-AU"/>
              </w:rPr>
              <w:t>%</w:t>
            </w:r>
          </w:p>
        </w:tc>
        <w:tc>
          <w:tcPr>
            <w:tcW w:w="1434" w:type="dxa"/>
          </w:tcPr>
          <w:p w14:paraId="5EC34A1A" w14:textId="6FC887B4" w:rsidR="00074C20" w:rsidRPr="00406DA3" w:rsidRDefault="007B6F03" w:rsidP="0078531C">
            <w:pPr>
              <w:pStyle w:val="BodyText"/>
              <w:rPr>
                <w:lang w:eastAsia="en-AU"/>
              </w:rPr>
            </w:pPr>
            <w:r>
              <w:rPr>
                <w:lang w:eastAsia="en-AU"/>
              </w:rPr>
              <w:t>32.3</w:t>
            </w:r>
            <w:r w:rsidR="00545638">
              <w:rPr>
                <w:lang w:eastAsia="en-AU"/>
              </w:rPr>
              <w:t>%</w:t>
            </w:r>
          </w:p>
        </w:tc>
        <w:tc>
          <w:tcPr>
            <w:tcW w:w="1434" w:type="dxa"/>
          </w:tcPr>
          <w:p w14:paraId="04FEB8AA" w14:textId="11963672" w:rsidR="00074C20" w:rsidRPr="00406DA3" w:rsidRDefault="007B6F03" w:rsidP="0078531C">
            <w:pPr>
              <w:pStyle w:val="BodyText"/>
              <w:rPr>
                <w:lang w:eastAsia="en-AU"/>
              </w:rPr>
            </w:pPr>
            <w:r>
              <w:rPr>
                <w:lang w:eastAsia="en-AU"/>
              </w:rPr>
              <w:t>29.0</w:t>
            </w:r>
            <w:r w:rsidR="00545638">
              <w:rPr>
                <w:lang w:eastAsia="en-AU"/>
              </w:rPr>
              <w:t>%</w:t>
            </w:r>
          </w:p>
        </w:tc>
        <w:tc>
          <w:tcPr>
            <w:tcW w:w="1962" w:type="dxa"/>
          </w:tcPr>
          <w:p w14:paraId="3AFF16D8" w14:textId="2E49477F" w:rsidR="00074C20" w:rsidRPr="00406DA3" w:rsidRDefault="007B6F03" w:rsidP="0078531C">
            <w:pPr>
              <w:pStyle w:val="BodyText"/>
              <w:rPr>
                <w:lang w:eastAsia="en-AU"/>
              </w:rPr>
            </w:pPr>
            <w:r>
              <w:rPr>
                <w:lang w:eastAsia="en-AU"/>
              </w:rPr>
              <w:t>-5.0</w:t>
            </w:r>
            <w:r w:rsidR="004737BD">
              <w:rPr>
                <w:lang w:eastAsia="en-AU"/>
              </w:rPr>
              <w:t>pp</w:t>
            </w:r>
          </w:p>
        </w:tc>
        <w:tc>
          <w:tcPr>
            <w:tcW w:w="1610" w:type="dxa"/>
          </w:tcPr>
          <w:p w14:paraId="671C2213" w14:textId="05306216" w:rsidR="00074C20" w:rsidRPr="00406DA3" w:rsidRDefault="00AD4D9C" w:rsidP="0078531C">
            <w:pPr>
              <w:pStyle w:val="BodyText"/>
              <w:rPr>
                <w:lang w:eastAsia="en-AU"/>
              </w:rPr>
            </w:pPr>
            <w:r>
              <w:rPr>
                <w:lang w:eastAsia="en-AU"/>
              </w:rPr>
              <w:t>Moderate (10</w:t>
            </w:r>
            <w:r w:rsidR="00BB009E">
              <w:rPr>
                <w:rFonts w:cs="Arial"/>
                <w:szCs w:val="21"/>
                <w:lang w:eastAsia="en-AU"/>
              </w:rPr>
              <w:t xml:space="preserve"> – Matrix</w:t>
            </w:r>
            <w:r>
              <w:rPr>
                <w:lang w:eastAsia="en-AU"/>
              </w:rPr>
              <w:t>)</w:t>
            </w:r>
          </w:p>
        </w:tc>
      </w:tr>
      <w:tr w:rsidR="00074C20" w:rsidRPr="00406DA3" w14:paraId="551836B1" w14:textId="77777777" w:rsidTr="002318A1">
        <w:tc>
          <w:tcPr>
            <w:tcW w:w="1907" w:type="dxa"/>
            <w:hideMark/>
          </w:tcPr>
          <w:p w14:paraId="60C0D56C" w14:textId="77777777" w:rsidR="00074C20" w:rsidRPr="00406DA3" w:rsidRDefault="00074C20" w:rsidP="0078531C">
            <w:pPr>
              <w:pStyle w:val="BodyText"/>
              <w:rPr>
                <w:lang w:eastAsia="en-AU"/>
              </w:rPr>
            </w:pPr>
            <w:r w:rsidRPr="00406DA3">
              <w:rPr>
                <w:lang w:eastAsia="en-AU"/>
              </w:rPr>
              <w:t>TAFE and other education</w:t>
            </w:r>
          </w:p>
        </w:tc>
        <w:tc>
          <w:tcPr>
            <w:tcW w:w="1434" w:type="dxa"/>
          </w:tcPr>
          <w:p w14:paraId="60C86C65" w14:textId="6AFC4820" w:rsidR="00074C20" w:rsidRPr="00406DA3" w:rsidRDefault="00151FB8" w:rsidP="0078531C">
            <w:pPr>
              <w:pStyle w:val="BodyText"/>
              <w:rPr>
                <w:lang w:eastAsia="en-AU"/>
              </w:rPr>
            </w:pPr>
            <w:r>
              <w:rPr>
                <w:lang w:eastAsia="en-AU"/>
              </w:rPr>
              <w:t>8.5</w:t>
            </w:r>
            <w:r w:rsidR="00545638">
              <w:rPr>
                <w:lang w:eastAsia="en-AU"/>
              </w:rPr>
              <w:t>%</w:t>
            </w:r>
          </w:p>
        </w:tc>
        <w:tc>
          <w:tcPr>
            <w:tcW w:w="1434" w:type="dxa"/>
          </w:tcPr>
          <w:p w14:paraId="03F34892" w14:textId="7A942F96" w:rsidR="00074C20" w:rsidRPr="00406DA3" w:rsidRDefault="00151FB8" w:rsidP="0078531C">
            <w:pPr>
              <w:pStyle w:val="BodyText"/>
              <w:rPr>
                <w:lang w:eastAsia="en-AU"/>
              </w:rPr>
            </w:pPr>
            <w:r>
              <w:rPr>
                <w:lang w:eastAsia="en-AU"/>
              </w:rPr>
              <w:t>8.4</w:t>
            </w:r>
            <w:r w:rsidR="00545638">
              <w:rPr>
                <w:lang w:eastAsia="en-AU"/>
              </w:rPr>
              <w:t>%</w:t>
            </w:r>
          </w:p>
        </w:tc>
        <w:tc>
          <w:tcPr>
            <w:tcW w:w="1434" w:type="dxa"/>
          </w:tcPr>
          <w:p w14:paraId="2733AF67" w14:textId="13E97062" w:rsidR="00074C20" w:rsidRPr="00406DA3" w:rsidRDefault="00151FB8" w:rsidP="0078531C">
            <w:pPr>
              <w:pStyle w:val="BodyText"/>
              <w:rPr>
                <w:lang w:eastAsia="en-AU"/>
              </w:rPr>
            </w:pPr>
            <w:r>
              <w:rPr>
                <w:lang w:eastAsia="en-AU"/>
              </w:rPr>
              <w:t>8.0</w:t>
            </w:r>
            <w:r w:rsidR="00545638">
              <w:rPr>
                <w:lang w:eastAsia="en-AU"/>
              </w:rPr>
              <w:t>%</w:t>
            </w:r>
          </w:p>
        </w:tc>
        <w:tc>
          <w:tcPr>
            <w:tcW w:w="1962" w:type="dxa"/>
          </w:tcPr>
          <w:p w14:paraId="04DCDC43" w14:textId="19045CCF" w:rsidR="00074C20" w:rsidRPr="00406DA3" w:rsidRDefault="008D15D1" w:rsidP="0078531C">
            <w:pPr>
              <w:pStyle w:val="BodyText"/>
              <w:rPr>
                <w:lang w:eastAsia="en-AU"/>
              </w:rPr>
            </w:pPr>
            <w:r>
              <w:rPr>
                <w:lang w:eastAsia="en-AU"/>
              </w:rPr>
              <w:t>-0.5</w:t>
            </w:r>
            <w:r w:rsidR="004737BD">
              <w:rPr>
                <w:lang w:eastAsia="en-AU"/>
              </w:rPr>
              <w:t>pp</w:t>
            </w:r>
          </w:p>
        </w:tc>
        <w:tc>
          <w:tcPr>
            <w:tcW w:w="1610" w:type="dxa"/>
          </w:tcPr>
          <w:p w14:paraId="27FAA1A6" w14:textId="2AF885CC" w:rsidR="00074C20" w:rsidRPr="00406DA3" w:rsidRDefault="00AD4D9C" w:rsidP="0078531C">
            <w:pPr>
              <w:pStyle w:val="BodyText"/>
              <w:rPr>
                <w:lang w:eastAsia="en-AU"/>
              </w:rPr>
            </w:pPr>
            <w:r>
              <w:rPr>
                <w:lang w:eastAsia="en-AU"/>
              </w:rPr>
              <w:t>Moderate (9</w:t>
            </w:r>
            <w:r w:rsidR="00BB009E">
              <w:rPr>
                <w:rFonts w:cs="Arial"/>
                <w:szCs w:val="21"/>
                <w:lang w:eastAsia="en-AU"/>
              </w:rPr>
              <w:t xml:space="preserve"> – Matrix</w:t>
            </w:r>
            <w:r>
              <w:rPr>
                <w:lang w:eastAsia="en-AU"/>
              </w:rPr>
              <w:t>)</w:t>
            </w:r>
          </w:p>
        </w:tc>
      </w:tr>
      <w:tr w:rsidR="00074C20" w:rsidRPr="00406DA3" w14:paraId="0B1310E8" w14:textId="77777777" w:rsidTr="002318A1">
        <w:tc>
          <w:tcPr>
            <w:tcW w:w="1907" w:type="dxa"/>
          </w:tcPr>
          <w:p w14:paraId="1CF718E4" w14:textId="77777777" w:rsidR="00074C20" w:rsidRPr="00406DA3" w:rsidRDefault="00074C20" w:rsidP="0078531C">
            <w:pPr>
              <w:pStyle w:val="BodyText"/>
              <w:rPr>
                <w:lang w:eastAsia="en-AU"/>
              </w:rPr>
            </w:pPr>
            <w:r>
              <w:rPr>
                <w:lang w:eastAsia="en-AU"/>
              </w:rPr>
              <w:t>Transport</w:t>
            </w:r>
          </w:p>
        </w:tc>
        <w:tc>
          <w:tcPr>
            <w:tcW w:w="1434" w:type="dxa"/>
          </w:tcPr>
          <w:p w14:paraId="4E82AE94" w14:textId="0D13486D" w:rsidR="00074C20" w:rsidRDefault="008D15D1" w:rsidP="0078531C">
            <w:pPr>
              <w:pStyle w:val="BodyText"/>
              <w:rPr>
                <w:lang w:eastAsia="en-AU"/>
              </w:rPr>
            </w:pPr>
            <w:r>
              <w:rPr>
                <w:lang w:eastAsia="en-AU"/>
              </w:rPr>
              <w:t>10.7</w:t>
            </w:r>
            <w:r w:rsidR="00545638">
              <w:rPr>
                <w:lang w:eastAsia="en-AU"/>
              </w:rPr>
              <w:t>%</w:t>
            </w:r>
          </w:p>
        </w:tc>
        <w:tc>
          <w:tcPr>
            <w:tcW w:w="1434" w:type="dxa"/>
          </w:tcPr>
          <w:p w14:paraId="0670561C" w14:textId="1371A2E4" w:rsidR="00074C20" w:rsidRDefault="008D15D1" w:rsidP="0078531C">
            <w:pPr>
              <w:pStyle w:val="BodyText"/>
              <w:rPr>
                <w:lang w:eastAsia="en-AU"/>
              </w:rPr>
            </w:pPr>
            <w:r>
              <w:rPr>
                <w:lang w:eastAsia="en-AU"/>
              </w:rPr>
              <w:t>13.9</w:t>
            </w:r>
            <w:r w:rsidR="00545638">
              <w:rPr>
                <w:lang w:eastAsia="en-AU"/>
              </w:rPr>
              <w:t>%</w:t>
            </w:r>
          </w:p>
        </w:tc>
        <w:tc>
          <w:tcPr>
            <w:tcW w:w="1434" w:type="dxa"/>
          </w:tcPr>
          <w:p w14:paraId="1EA42AB1" w14:textId="6CB3392E" w:rsidR="00074C20" w:rsidRDefault="008D15D1" w:rsidP="0078531C">
            <w:pPr>
              <w:pStyle w:val="BodyText"/>
              <w:rPr>
                <w:lang w:eastAsia="en-AU"/>
              </w:rPr>
            </w:pPr>
            <w:r>
              <w:rPr>
                <w:lang w:eastAsia="en-AU"/>
              </w:rPr>
              <w:t>14.6</w:t>
            </w:r>
            <w:r w:rsidR="00545638">
              <w:rPr>
                <w:lang w:eastAsia="en-AU"/>
              </w:rPr>
              <w:t>%</w:t>
            </w:r>
          </w:p>
        </w:tc>
        <w:tc>
          <w:tcPr>
            <w:tcW w:w="1962" w:type="dxa"/>
          </w:tcPr>
          <w:p w14:paraId="1B069CD3" w14:textId="78BF065C" w:rsidR="00074C20" w:rsidRDefault="008D15D1" w:rsidP="0078531C">
            <w:pPr>
              <w:pStyle w:val="BodyText"/>
              <w:rPr>
                <w:lang w:eastAsia="en-AU"/>
              </w:rPr>
            </w:pPr>
            <w:r>
              <w:rPr>
                <w:lang w:eastAsia="en-AU"/>
              </w:rPr>
              <w:t>+3.9</w:t>
            </w:r>
            <w:r w:rsidR="004737BD">
              <w:rPr>
                <w:lang w:eastAsia="en-AU"/>
              </w:rPr>
              <w:t>pp</w:t>
            </w:r>
          </w:p>
        </w:tc>
        <w:tc>
          <w:tcPr>
            <w:tcW w:w="1610" w:type="dxa"/>
          </w:tcPr>
          <w:p w14:paraId="67BAF9EE" w14:textId="3E85A7D8" w:rsidR="00074C20" w:rsidRDefault="00287232" w:rsidP="0078531C">
            <w:pPr>
              <w:pStyle w:val="BodyText"/>
              <w:rPr>
                <w:lang w:eastAsia="en-AU"/>
              </w:rPr>
            </w:pPr>
            <w:r>
              <w:rPr>
                <w:lang w:eastAsia="en-AU"/>
              </w:rPr>
              <w:t>Poor (8</w:t>
            </w:r>
            <w:r w:rsidR="00BB009E">
              <w:rPr>
                <w:rFonts w:cs="Arial"/>
                <w:szCs w:val="21"/>
                <w:lang w:eastAsia="en-AU"/>
              </w:rPr>
              <w:t xml:space="preserve"> – Matrix</w:t>
            </w:r>
            <w:r>
              <w:rPr>
                <w:lang w:eastAsia="en-AU"/>
              </w:rPr>
              <w:t>)</w:t>
            </w:r>
          </w:p>
        </w:tc>
      </w:tr>
      <w:tr w:rsidR="00074C20" w:rsidRPr="00406DA3" w14:paraId="753A0A5E" w14:textId="77777777" w:rsidTr="002318A1">
        <w:tc>
          <w:tcPr>
            <w:tcW w:w="1907" w:type="dxa"/>
            <w:hideMark/>
          </w:tcPr>
          <w:p w14:paraId="757C47E7" w14:textId="77777777" w:rsidR="00074C20" w:rsidRPr="00406DA3" w:rsidRDefault="00074C20" w:rsidP="0078531C">
            <w:pPr>
              <w:pStyle w:val="BodyText"/>
              <w:rPr>
                <w:lang w:eastAsia="en-AU"/>
              </w:rPr>
            </w:pPr>
            <w:r w:rsidRPr="00406DA3">
              <w:rPr>
                <w:lang w:eastAsia="en-AU"/>
              </w:rPr>
              <w:t>Universities</w:t>
            </w:r>
          </w:p>
        </w:tc>
        <w:tc>
          <w:tcPr>
            <w:tcW w:w="1434" w:type="dxa"/>
          </w:tcPr>
          <w:p w14:paraId="3BDF6EE4" w14:textId="7BB37DC7" w:rsidR="00074C20" w:rsidRPr="00406DA3" w:rsidRDefault="00402845" w:rsidP="0078531C">
            <w:pPr>
              <w:pStyle w:val="BodyText"/>
              <w:rPr>
                <w:lang w:eastAsia="en-AU"/>
              </w:rPr>
            </w:pPr>
            <w:r>
              <w:rPr>
                <w:lang w:eastAsia="en-AU"/>
              </w:rPr>
              <w:t>10.3</w:t>
            </w:r>
            <w:r w:rsidR="00545638">
              <w:rPr>
                <w:lang w:eastAsia="en-AU"/>
              </w:rPr>
              <w:t>%</w:t>
            </w:r>
          </w:p>
        </w:tc>
        <w:tc>
          <w:tcPr>
            <w:tcW w:w="1434" w:type="dxa"/>
          </w:tcPr>
          <w:p w14:paraId="05ADF1FB" w14:textId="04AC1180" w:rsidR="00074C20" w:rsidRPr="00406DA3" w:rsidRDefault="00402845" w:rsidP="0078531C">
            <w:pPr>
              <w:pStyle w:val="BodyText"/>
              <w:rPr>
                <w:lang w:eastAsia="en-AU"/>
              </w:rPr>
            </w:pPr>
            <w:r>
              <w:rPr>
                <w:lang w:eastAsia="en-AU"/>
              </w:rPr>
              <w:t>10.8</w:t>
            </w:r>
            <w:r w:rsidR="00545638">
              <w:rPr>
                <w:lang w:eastAsia="en-AU"/>
              </w:rPr>
              <w:t>%</w:t>
            </w:r>
          </w:p>
        </w:tc>
        <w:tc>
          <w:tcPr>
            <w:tcW w:w="1434" w:type="dxa"/>
          </w:tcPr>
          <w:p w14:paraId="7D28D2CB" w14:textId="111E60B7" w:rsidR="00074C20" w:rsidRPr="00406DA3" w:rsidRDefault="00402845" w:rsidP="0078531C">
            <w:pPr>
              <w:pStyle w:val="BodyText"/>
              <w:rPr>
                <w:lang w:eastAsia="en-AU"/>
              </w:rPr>
            </w:pPr>
            <w:r>
              <w:rPr>
                <w:lang w:eastAsia="en-AU"/>
              </w:rPr>
              <w:t>9.1</w:t>
            </w:r>
            <w:r w:rsidR="00545638">
              <w:rPr>
                <w:lang w:eastAsia="en-AU"/>
              </w:rPr>
              <w:t>%</w:t>
            </w:r>
          </w:p>
        </w:tc>
        <w:tc>
          <w:tcPr>
            <w:tcW w:w="1962" w:type="dxa"/>
          </w:tcPr>
          <w:p w14:paraId="222BA0D2" w14:textId="3C7E8E1D" w:rsidR="00074C20" w:rsidRPr="00406DA3" w:rsidRDefault="00402845" w:rsidP="0078531C">
            <w:pPr>
              <w:pStyle w:val="BodyText"/>
              <w:rPr>
                <w:lang w:eastAsia="en-AU"/>
              </w:rPr>
            </w:pPr>
            <w:r>
              <w:rPr>
                <w:lang w:eastAsia="en-AU"/>
              </w:rPr>
              <w:t>-1.2</w:t>
            </w:r>
            <w:r w:rsidR="004737BD">
              <w:rPr>
                <w:lang w:eastAsia="en-AU"/>
              </w:rPr>
              <w:t>pp</w:t>
            </w:r>
          </w:p>
        </w:tc>
        <w:tc>
          <w:tcPr>
            <w:tcW w:w="1610" w:type="dxa"/>
          </w:tcPr>
          <w:p w14:paraId="7EC5617E" w14:textId="716B8D2E" w:rsidR="00074C20" w:rsidRPr="00406DA3" w:rsidRDefault="002452AF" w:rsidP="0078531C">
            <w:pPr>
              <w:pStyle w:val="BodyText"/>
              <w:rPr>
                <w:lang w:eastAsia="en-AU"/>
              </w:rPr>
            </w:pPr>
            <w:r>
              <w:rPr>
                <w:lang w:eastAsia="en-AU"/>
              </w:rPr>
              <w:t>Moderate (9</w:t>
            </w:r>
            <w:r w:rsidR="00BB009E">
              <w:rPr>
                <w:rFonts w:cs="Arial"/>
                <w:szCs w:val="21"/>
                <w:lang w:eastAsia="en-AU"/>
              </w:rPr>
              <w:t xml:space="preserve"> – Matrix</w:t>
            </w:r>
            <w:r>
              <w:rPr>
                <w:lang w:eastAsia="en-AU"/>
              </w:rPr>
              <w:t>)</w:t>
            </w:r>
          </w:p>
        </w:tc>
      </w:tr>
      <w:tr w:rsidR="00074C20" w:rsidRPr="00406DA3" w14:paraId="14D35EF8" w14:textId="77777777" w:rsidTr="002318A1">
        <w:tc>
          <w:tcPr>
            <w:tcW w:w="1907" w:type="dxa"/>
            <w:hideMark/>
          </w:tcPr>
          <w:p w14:paraId="4EACB20E" w14:textId="713537E5" w:rsidR="00074C20" w:rsidRPr="00406DA3" w:rsidRDefault="00074C20" w:rsidP="0078531C">
            <w:pPr>
              <w:pStyle w:val="BodyText"/>
              <w:rPr>
                <w:lang w:eastAsia="en-AU"/>
              </w:rPr>
            </w:pPr>
            <w:r w:rsidRPr="00406DA3">
              <w:rPr>
                <w:lang w:eastAsia="en-AU"/>
              </w:rPr>
              <w:t xml:space="preserve">Victorian </w:t>
            </w:r>
            <w:r w:rsidR="00E77DB3">
              <w:rPr>
                <w:lang w:eastAsia="en-AU"/>
              </w:rPr>
              <w:t>P</w:t>
            </w:r>
            <w:r w:rsidRPr="00406DA3">
              <w:rPr>
                <w:lang w:eastAsia="en-AU"/>
              </w:rPr>
              <w:t xml:space="preserve">ublic </w:t>
            </w:r>
            <w:r w:rsidR="00E77DB3">
              <w:rPr>
                <w:lang w:eastAsia="en-AU"/>
              </w:rPr>
              <w:t>S</w:t>
            </w:r>
            <w:r w:rsidRPr="00406DA3">
              <w:rPr>
                <w:lang w:eastAsia="en-AU"/>
              </w:rPr>
              <w:t>ervice</w:t>
            </w:r>
          </w:p>
        </w:tc>
        <w:tc>
          <w:tcPr>
            <w:tcW w:w="1434" w:type="dxa"/>
          </w:tcPr>
          <w:p w14:paraId="5237B14E" w14:textId="7C4D35F9" w:rsidR="00074C20" w:rsidRPr="00406DA3" w:rsidRDefault="00402845" w:rsidP="0078531C">
            <w:pPr>
              <w:pStyle w:val="BodyText"/>
              <w:rPr>
                <w:lang w:eastAsia="en-AU"/>
              </w:rPr>
            </w:pPr>
            <w:r>
              <w:rPr>
                <w:lang w:eastAsia="en-AU"/>
              </w:rPr>
              <w:t>12.1</w:t>
            </w:r>
            <w:r w:rsidR="00545638">
              <w:rPr>
                <w:lang w:eastAsia="en-AU"/>
              </w:rPr>
              <w:t>%</w:t>
            </w:r>
          </w:p>
        </w:tc>
        <w:tc>
          <w:tcPr>
            <w:tcW w:w="1434" w:type="dxa"/>
          </w:tcPr>
          <w:p w14:paraId="3D99DE98" w14:textId="6A542009" w:rsidR="00074C20" w:rsidRPr="00406DA3" w:rsidRDefault="00402845" w:rsidP="0078531C">
            <w:pPr>
              <w:pStyle w:val="BodyText"/>
              <w:rPr>
                <w:lang w:eastAsia="en-AU"/>
              </w:rPr>
            </w:pPr>
            <w:r>
              <w:rPr>
                <w:lang w:eastAsia="en-AU"/>
              </w:rPr>
              <w:t>10.1</w:t>
            </w:r>
            <w:r w:rsidR="00545638">
              <w:rPr>
                <w:lang w:eastAsia="en-AU"/>
              </w:rPr>
              <w:t>%</w:t>
            </w:r>
          </w:p>
        </w:tc>
        <w:tc>
          <w:tcPr>
            <w:tcW w:w="1434" w:type="dxa"/>
          </w:tcPr>
          <w:p w14:paraId="52FD3E37" w14:textId="56CD13C8" w:rsidR="00074C20" w:rsidRPr="00406DA3" w:rsidRDefault="00402845" w:rsidP="0078531C">
            <w:pPr>
              <w:pStyle w:val="BodyText"/>
              <w:rPr>
                <w:lang w:eastAsia="en-AU"/>
              </w:rPr>
            </w:pPr>
            <w:r>
              <w:rPr>
                <w:lang w:eastAsia="en-AU"/>
              </w:rPr>
              <w:t>12.1</w:t>
            </w:r>
            <w:r w:rsidR="00545638">
              <w:rPr>
                <w:lang w:eastAsia="en-AU"/>
              </w:rPr>
              <w:t>%</w:t>
            </w:r>
          </w:p>
        </w:tc>
        <w:tc>
          <w:tcPr>
            <w:tcW w:w="1962" w:type="dxa"/>
          </w:tcPr>
          <w:p w14:paraId="5848AB61" w14:textId="41B00BDD" w:rsidR="00074C20" w:rsidRPr="00406DA3" w:rsidRDefault="00402845" w:rsidP="0078531C">
            <w:pPr>
              <w:pStyle w:val="BodyText"/>
              <w:rPr>
                <w:lang w:eastAsia="en-AU"/>
              </w:rPr>
            </w:pPr>
            <w:r>
              <w:rPr>
                <w:lang w:eastAsia="en-AU"/>
              </w:rPr>
              <w:t>0.0</w:t>
            </w:r>
            <w:r w:rsidR="004737BD">
              <w:rPr>
                <w:lang w:eastAsia="en-AU"/>
              </w:rPr>
              <w:t>pp</w:t>
            </w:r>
          </w:p>
        </w:tc>
        <w:tc>
          <w:tcPr>
            <w:tcW w:w="1610" w:type="dxa"/>
          </w:tcPr>
          <w:p w14:paraId="76E39B8D" w14:textId="691CB055" w:rsidR="00074C20" w:rsidRPr="00406DA3" w:rsidRDefault="002452AF" w:rsidP="0078531C">
            <w:pPr>
              <w:pStyle w:val="BodyText"/>
              <w:rPr>
                <w:lang w:eastAsia="en-AU"/>
              </w:rPr>
            </w:pPr>
            <w:r>
              <w:rPr>
                <w:lang w:eastAsia="en-AU"/>
              </w:rPr>
              <w:t>Poor (8</w:t>
            </w:r>
            <w:r w:rsidR="00BB009E">
              <w:rPr>
                <w:rFonts w:cs="Arial"/>
                <w:szCs w:val="21"/>
                <w:lang w:eastAsia="en-AU"/>
              </w:rPr>
              <w:t xml:space="preserve"> – Matrix</w:t>
            </w:r>
            <w:r>
              <w:rPr>
                <w:lang w:eastAsia="en-AU"/>
              </w:rPr>
              <w:t>)</w:t>
            </w:r>
          </w:p>
        </w:tc>
      </w:tr>
      <w:tr w:rsidR="00074C20" w:rsidRPr="00406DA3" w14:paraId="22AB76C7" w14:textId="77777777" w:rsidTr="002318A1">
        <w:tc>
          <w:tcPr>
            <w:tcW w:w="1907" w:type="dxa"/>
            <w:hideMark/>
          </w:tcPr>
          <w:p w14:paraId="0BEF158E" w14:textId="77777777" w:rsidR="00074C20" w:rsidRPr="00406DA3" w:rsidRDefault="00074C20" w:rsidP="0078531C">
            <w:pPr>
              <w:pStyle w:val="BodyText"/>
              <w:rPr>
                <w:lang w:eastAsia="en-AU"/>
              </w:rPr>
            </w:pPr>
            <w:r w:rsidRPr="00406DA3">
              <w:rPr>
                <w:lang w:eastAsia="en-AU"/>
              </w:rPr>
              <w:t>Water and land management</w:t>
            </w:r>
          </w:p>
        </w:tc>
        <w:tc>
          <w:tcPr>
            <w:tcW w:w="1434" w:type="dxa"/>
          </w:tcPr>
          <w:p w14:paraId="6E1AAAAC" w14:textId="3BE4FF50" w:rsidR="00074C20" w:rsidRPr="00406DA3" w:rsidRDefault="00FA7190" w:rsidP="0078531C">
            <w:pPr>
              <w:pStyle w:val="BodyText"/>
              <w:rPr>
                <w:lang w:eastAsia="en-AU"/>
              </w:rPr>
            </w:pPr>
            <w:r>
              <w:rPr>
                <w:lang w:eastAsia="en-AU"/>
              </w:rPr>
              <w:t>6.7</w:t>
            </w:r>
            <w:r w:rsidR="00545638">
              <w:rPr>
                <w:lang w:eastAsia="en-AU"/>
              </w:rPr>
              <w:t>%</w:t>
            </w:r>
          </w:p>
        </w:tc>
        <w:tc>
          <w:tcPr>
            <w:tcW w:w="1434" w:type="dxa"/>
          </w:tcPr>
          <w:p w14:paraId="10126A45" w14:textId="0D9F4F7F" w:rsidR="00074C20" w:rsidRPr="00406DA3" w:rsidRDefault="00FA7190" w:rsidP="0078531C">
            <w:pPr>
              <w:pStyle w:val="BodyText"/>
              <w:rPr>
                <w:lang w:eastAsia="en-AU"/>
              </w:rPr>
            </w:pPr>
            <w:r>
              <w:rPr>
                <w:lang w:eastAsia="en-AU"/>
              </w:rPr>
              <w:t>5.2</w:t>
            </w:r>
            <w:r w:rsidR="00545638">
              <w:rPr>
                <w:lang w:eastAsia="en-AU"/>
              </w:rPr>
              <w:t>%</w:t>
            </w:r>
          </w:p>
        </w:tc>
        <w:tc>
          <w:tcPr>
            <w:tcW w:w="1434" w:type="dxa"/>
          </w:tcPr>
          <w:p w14:paraId="2D838E31" w14:textId="440F8596" w:rsidR="00074C20" w:rsidRPr="00406DA3" w:rsidRDefault="00FA7190" w:rsidP="0078531C">
            <w:pPr>
              <w:pStyle w:val="BodyText"/>
              <w:rPr>
                <w:lang w:eastAsia="en-AU"/>
              </w:rPr>
            </w:pPr>
            <w:r>
              <w:rPr>
                <w:lang w:eastAsia="en-AU"/>
              </w:rPr>
              <w:t>3.8</w:t>
            </w:r>
            <w:r w:rsidR="00545638">
              <w:rPr>
                <w:lang w:eastAsia="en-AU"/>
              </w:rPr>
              <w:t>%</w:t>
            </w:r>
          </w:p>
        </w:tc>
        <w:tc>
          <w:tcPr>
            <w:tcW w:w="1962" w:type="dxa"/>
          </w:tcPr>
          <w:p w14:paraId="2AF2BF53" w14:textId="0BC47122" w:rsidR="00074C20" w:rsidRPr="00406DA3" w:rsidRDefault="00FA7190" w:rsidP="0078531C">
            <w:pPr>
              <w:pStyle w:val="BodyText"/>
              <w:rPr>
                <w:lang w:eastAsia="en-AU"/>
              </w:rPr>
            </w:pPr>
            <w:r>
              <w:rPr>
                <w:lang w:eastAsia="en-AU"/>
              </w:rPr>
              <w:t>-2.9</w:t>
            </w:r>
            <w:r w:rsidR="004737BD">
              <w:rPr>
                <w:lang w:eastAsia="en-AU"/>
              </w:rPr>
              <w:t>pp</w:t>
            </w:r>
          </w:p>
        </w:tc>
        <w:tc>
          <w:tcPr>
            <w:tcW w:w="1610" w:type="dxa"/>
          </w:tcPr>
          <w:p w14:paraId="3DA29E9B" w14:textId="2A8FCA4D" w:rsidR="00074C20" w:rsidRPr="00406DA3" w:rsidRDefault="00287232" w:rsidP="0078531C">
            <w:pPr>
              <w:pStyle w:val="BodyText"/>
              <w:rPr>
                <w:lang w:eastAsia="en-AU"/>
              </w:rPr>
            </w:pPr>
            <w:r>
              <w:rPr>
                <w:lang w:eastAsia="en-AU"/>
              </w:rPr>
              <w:t>Moderate (9</w:t>
            </w:r>
            <w:r w:rsidR="00BB009E">
              <w:rPr>
                <w:rFonts w:cs="Arial"/>
                <w:szCs w:val="21"/>
                <w:lang w:eastAsia="en-AU"/>
              </w:rPr>
              <w:t xml:space="preserve"> – Matrix</w:t>
            </w:r>
            <w:r>
              <w:rPr>
                <w:lang w:eastAsia="en-AU"/>
              </w:rPr>
              <w:t>)</w:t>
            </w:r>
          </w:p>
        </w:tc>
      </w:tr>
    </w:tbl>
    <w:p w14:paraId="36A92586" w14:textId="77777777" w:rsidR="00C61709" w:rsidRDefault="00C61709" w:rsidP="009D634F">
      <w:pPr>
        <w:pStyle w:val="Tablefigurenote"/>
      </w:pPr>
      <w:r w:rsidRPr="00136D6E">
        <w:t>Source: Workplace gender audit workforce data, 2021</w:t>
      </w:r>
      <w:r>
        <w:t>, 2023 and 2025.</w:t>
      </w:r>
    </w:p>
    <w:p w14:paraId="2AF8C3DE" w14:textId="137FB017" w:rsidR="003F7A99" w:rsidRDefault="003F7A99" w:rsidP="003F7A99">
      <w:pPr>
        <w:pStyle w:val="Tablefigurenote"/>
      </w:pPr>
      <w:r>
        <w:t xml:space="preserve">Notes: </w:t>
      </w:r>
      <w:r w:rsidRPr="00A2089E">
        <w:t>To understand how to interpret the different types of progress ratings</w:t>
      </w:r>
      <w:r>
        <w:t>,</w:t>
      </w:r>
      <w:r w:rsidRPr="00A2089E">
        <w:t xml:space="preserve"> see</w:t>
      </w:r>
      <w:r>
        <w:t xml:space="preserve"> </w:t>
      </w:r>
      <w:hyperlink w:anchor="_Data_measures" w:history="1">
        <w:r w:rsidRPr="00137E91">
          <w:rPr>
            <w:rStyle w:val="Hyperlink"/>
            <w:rFonts w:cs="Times New Roman"/>
          </w:rPr>
          <w:t>Data measures</w:t>
        </w:r>
      </w:hyperlink>
      <w:r>
        <w:t xml:space="preserve"> in</w:t>
      </w:r>
      <w:r w:rsidRPr="00A2089E">
        <w:t xml:space="preserve"> Appendix 1</w:t>
      </w:r>
      <w:r>
        <w:t xml:space="preserve">. To read more about how the Commission calculates </w:t>
      </w:r>
      <w:hyperlink w:anchor="_Gender_gaps" w:history="1">
        <w:r w:rsidRPr="003F7A99">
          <w:rPr>
            <w:rStyle w:val="Hyperlink"/>
            <w:rFonts w:cs="Times New Roman"/>
          </w:rPr>
          <w:t>gender gaps</w:t>
        </w:r>
      </w:hyperlink>
      <w:r>
        <w:t>, see Appendix 1. Gender gaps are always calculated between men and women</w:t>
      </w:r>
      <w:r w:rsidR="00BF4AFB">
        <w:t>.</w:t>
      </w:r>
      <w:r>
        <w:t xml:space="preserve"> A gap </w:t>
      </w:r>
      <w:r>
        <w:rPr>
          <w:lang w:eastAsia="en-AU"/>
        </w:rPr>
        <w:t>greater than zero</w:t>
      </w:r>
      <w:r w:rsidRPr="00C27278">
        <w:t xml:space="preserve"> </w:t>
      </w:r>
      <w:r>
        <w:t>is in favour of men, and a gap less than zero</w:t>
      </w:r>
      <w:r w:rsidRPr="00C27278">
        <w:t xml:space="preserve"> </w:t>
      </w:r>
      <w:r>
        <w:t>is in favour of women.</w:t>
      </w:r>
      <w:r w:rsidR="00A16A74">
        <w:t xml:space="preserve"> </w:t>
      </w:r>
      <w:r w:rsidR="00A16A74" w:rsidRPr="00AE1037">
        <w:t xml:space="preserve">The </w:t>
      </w:r>
      <w:r w:rsidR="00A16A74">
        <w:t xml:space="preserve">percentage point </w:t>
      </w:r>
      <w:r w:rsidR="00A16A74" w:rsidRPr="00AE1037">
        <w:t>change column may not always reflect the exact difference between years due to rounding</w:t>
      </w:r>
      <w:r w:rsidR="00A16A74">
        <w:t>.</w:t>
      </w:r>
    </w:p>
    <w:p w14:paraId="72833CF6" w14:textId="13B89C13" w:rsidR="00AB5B28" w:rsidRPr="005F688D" w:rsidRDefault="00AB5B28" w:rsidP="00E103A9">
      <w:pPr>
        <w:pStyle w:val="Tablecaption"/>
      </w:pPr>
      <w:r w:rsidRPr="005F688D">
        <w:t>Table 3.</w:t>
      </w:r>
      <w:r w:rsidR="00FB76DD" w:rsidRPr="005F688D">
        <w:t>3</w:t>
      </w:r>
      <w:r w:rsidRPr="005F688D">
        <w:t xml:space="preserve">: </w:t>
      </w:r>
      <w:r w:rsidR="005C43A4" w:rsidRPr="005F688D">
        <w:t xml:space="preserve">Gender </w:t>
      </w:r>
      <w:r w:rsidR="00165A73">
        <w:t>p</w:t>
      </w:r>
      <w:r w:rsidRPr="005F688D">
        <w:t xml:space="preserve">ay </w:t>
      </w:r>
      <w:r w:rsidR="00165A73">
        <w:t>g</w:t>
      </w:r>
      <w:r w:rsidRPr="005F688D">
        <w:t>ap</w:t>
      </w:r>
      <w:r w:rsidR="005C43A4" w:rsidRPr="005F688D">
        <w:t xml:space="preserve"> </w:t>
      </w:r>
      <w:r w:rsidR="00165A73">
        <w:t>p</w:t>
      </w:r>
      <w:r w:rsidR="005C43A4" w:rsidRPr="005F688D">
        <w:t>rogress</w:t>
      </w:r>
      <w:r w:rsidRPr="005F688D">
        <w:t xml:space="preserve"> by </w:t>
      </w:r>
      <w:r w:rsidR="00165A73">
        <w:t>o</w:t>
      </w:r>
      <w:r w:rsidRPr="005F688D">
        <w:t>ccupation (</w:t>
      </w:r>
      <w:r w:rsidR="00165A73">
        <w:t>m</w:t>
      </w:r>
      <w:r w:rsidRPr="005F688D">
        <w:t xml:space="preserve">ean </w:t>
      </w:r>
      <w:r w:rsidR="00165A73">
        <w:t>t</w:t>
      </w:r>
      <w:r w:rsidRPr="005F688D">
        <w:t xml:space="preserve">otal </w:t>
      </w:r>
      <w:r w:rsidR="00165A73">
        <w:t>r</w:t>
      </w:r>
      <w:r w:rsidRPr="005F688D">
        <w:t>emuneration)</w:t>
      </w:r>
    </w:p>
    <w:tbl>
      <w:tblPr>
        <w:tblStyle w:val="CGEPStable"/>
        <w:tblW w:w="0" w:type="auto"/>
        <w:tblLook w:val="04A0" w:firstRow="1" w:lastRow="0" w:firstColumn="1" w:lastColumn="0" w:noHBand="0" w:noVBand="1"/>
      </w:tblPr>
      <w:tblGrid>
        <w:gridCol w:w="2789"/>
        <w:gridCol w:w="1026"/>
        <w:gridCol w:w="1026"/>
        <w:gridCol w:w="1027"/>
        <w:gridCol w:w="1503"/>
        <w:gridCol w:w="1927"/>
      </w:tblGrid>
      <w:tr w:rsidR="00AB5B28" w:rsidRPr="0098071E" w14:paraId="1E6A0593" w14:textId="77777777" w:rsidTr="00E103A9">
        <w:trPr>
          <w:cnfStyle w:val="100000000000" w:firstRow="1" w:lastRow="0" w:firstColumn="0" w:lastColumn="0" w:oddVBand="0" w:evenVBand="0" w:oddHBand="0" w:evenHBand="0" w:firstRowFirstColumn="0" w:firstRowLastColumn="0" w:lastRowFirstColumn="0" w:lastRowLastColumn="0"/>
        </w:trPr>
        <w:tc>
          <w:tcPr>
            <w:tcW w:w="0" w:type="auto"/>
            <w:hideMark/>
          </w:tcPr>
          <w:p w14:paraId="2FC6ABAB" w14:textId="77777777" w:rsidR="00AB5B28" w:rsidRPr="0098071E" w:rsidRDefault="00AB5B28" w:rsidP="00E103A9">
            <w:pPr>
              <w:pStyle w:val="Tablecolhead"/>
              <w:rPr>
                <w:lang w:eastAsia="en-AU"/>
              </w:rPr>
            </w:pPr>
            <w:r w:rsidRPr="0098071E">
              <w:rPr>
                <w:lang w:eastAsia="en-AU"/>
              </w:rPr>
              <w:t>Occupation</w:t>
            </w:r>
          </w:p>
        </w:tc>
        <w:tc>
          <w:tcPr>
            <w:tcW w:w="1026" w:type="dxa"/>
            <w:hideMark/>
          </w:tcPr>
          <w:p w14:paraId="73B49429" w14:textId="1929FEAC" w:rsidR="00AB5B28" w:rsidRPr="0098071E" w:rsidRDefault="00AB5B28" w:rsidP="00E103A9">
            <w:pPr>
              <w:pStyle w:val="Tablecolhead"/>
              <w:rPr>
                <w:lang w:eastAsia="en-AU"/>
              </w:rPr>
            </w:pPr>
            <w:r w:rsidRPr="0098071E">
              <w:rPr>
                <w:lang w:eastAsia="en-AU"/>
              </w:rPr>
              <w:t xml:space="preserve">2021 </w:t>
            </w:r>
          </w:p>
        </w:tc>
        <w:tc>
          <w:tcPr>
            <w:tcW w:w="1026" w:type="dxa"/>
            <w:hideMark/>
          </w:tcPr>
          <w:p w14:paraId="71A4EF50" w14:textId="1B49DEBE" w:rsidR="00AB5B28" w:rsidRPr="0098071E" w:rsidRDefault="00AB5B28" w:rsidP="00E103A9">
            <w:pPr>
              <w:pStyle w:val="Tablecolhead"/>
              <w:rPr>
                <w:lang w:eastAsia="en-AU"/>
              </w:rPr>
            </w:pPr>
            <w:r w:rsidRPr="0098071E">
              <w:rPr>
                <w:lang w:eastAsia="en-AU"/>
              </w:rPr>
              <w:t>2023</w:t>
            </w:r>
          </w:p>
        </w:tc>
        <w:tc>
          <w:tcPr>
            <w:tcW w:w="1027" w:type="dxa"/>
          </w:tcPr>
          <w:p w14:paraId="2CE0AB2C" w14:textId="301A1E4A" w:rsidR="0027303B" w:rsidRPr="0098071E" w:rsidRDefault="0027303B" w:rsidP="00E103A9">
            <w:pPr>
              <w:pStyle w:val="Tablecolhead"/>
              <w:rPr>
                <w:lang w:eastAsia="en-AU"/>
              </w:rPr>
            </w:pPr>
            <w:r w:rsidRPr="0098071E">
              <w:rPr>
                <w:lang w:eastAsia="en-AU"/>
              </w:rPr>
              <w:t>202</w:t>
            </w:r>
            <w:r>
              <w:rPr>
                <w:lang w:eastAsia="en-AU"/>
              </w:rPr>
              <w:t>5</w:t>
            </w:r>
            <w:r w:rsidRPr="0098071E">
              <w:rPr>
                <w:lang w:eastAsia="en-AU"/>
              </w:rPr>
              <w:t xml:space="preserve"> </w:t>
            </w:r>
          </w:p>
        </w:tc>
        <w:tc>
          <w:tcPr>
            <w:tcW w:w="1503" w:type="dxa"/>
            <w:hideMark/>
          </w:tcPr>
          <w:p w14:paraId="5F7DCB2B" w14:textId="78B48646" w:rsidR="00AB5B28" w:rsidRPr="0098071E" w:rsidRDefault="004A0A8C" w:rsidP="00E103A9">
            <w:pPr>
              <w:pStyle w:val="Tablecolhead"/>
              <w:rPr>
                <w:lang w:eastAsia="en-AU"/>
              </w:rPr>
            </w:pPr>
            <w:r>
              <w:rPr>
                <w:lang w:eastAsia="en-AU"/>
              </w:rPr>
              <w:t xml:space="preserve">Percentage </w:t>
            </w:r>
            <w:r w:rsidR="00BE46C0">
              <w:rPr>
                <w:lang w:eastAsia="en-AU"/>
              </w:rPr>
              <w:t>point change</w:t>
            </w:r>
            <w:r>
              <w:rPr>
                <w:lang w:eastAsia="en-AU"/>
              </w:rPr>
              <w:t xml:space="preserve"> </w:t>
            </w:r>
            <w:r w:rsidR="0027303B">
              <w:rPr>
                <w:lang w:eastAsia="en-AU"/>
              </w:rPr>
              <w:t>2021</w:t>
            </w:r>
            <w:r w:rsidR="00BE46C0">
              <w:rPr>
                <w:lang w:eastAsia="en-AU"/>
              </w:rPr>
              <w:t>-</w:t>
            </w:r>
            <w:r w:rsidR="0027303B">
              <w:rPr>
                <w:lang w:eastAsia="en-AU"/>
              </w:rPr>
              <w:t xml:space="preserve">2025 </w:t>
            </w:r>
          </w:p>
        </w:tc>
        <w:tc>
          <w:tcPr>
            <w:tcW w:w="1927" w:type="dxa"/>
            <w:hideMark/>
          </w:tcPr>
          <w:p w14:paraId="77E81B3E" w14:textId="77777777" w:rsidR="00AB5B28" w:rsidRPr="0098071E" w:rsidRDefault="00AB5B28" w:rsidP="00E103A9">
            <w:pPr>
              <w:pStyle w:val="Tablecolhead"/>
              <w:rPr>
                <w:lang w:eastAsia="en-AU"/>
              </w:rPr>
            </w:pPr>
            <w:r w:rsidRPr="0098071E">
              <w:rPr>
                <w:lang w:eastAsia="en-AU"/>
              </w:rPr>
              <w:t>Progress</w:t>
            </w:r>
          </w:p>
        </w:tc>
      </w:tr>
      <w:tr w:rsidR="00AB5B28" w:rsidRPr="003365E2" w14:paraId="79D144AB" w14:textId="77777777" w:rsidTr="00E103A9">
        <w:tc>
          <w:tcPr>
            <w:tcW w:w="0" w:type="auto"/>
            <w:hideMark/>
          </w:tcPr>
          <w:p w14:paraId="688FD6FB" w14:textId="158AC83A" w:rsidR="00AB5B28" w:rsidRPr="0098071E" w:rsidRDefault="00AB5B28" w:rsidP="00E103A9">
            <w:pPr>
              <w:pStyle w:val="Tabletext"/>
              <w:rPr>
                <w:lang w:eastAsia="en-AU"/>
              </w:rPr>
            </w:pPr>
            <w:r w:rsidRPr="0098071E">
              <w:rPr>
                <w:lang w:eastAsia="en-AU"/>
              </w:rPr>
              <w:t xml:space="preserve">Clerical </w:t>
            </w:r>
            <w:r w:rsidR="00B26123">
              <w:rPr>
                <w:lang w:eastAsia="en-AU"/>
              </w:rPr>
              <w:t>and</w:t>
            </w:r>
            <w:r w:rsidRPr="0098071E">
              <w:rPr>
                <w:lang w:eastAsia="en-AU"/>
              </w:rPr>
              <w:t xml:space="preserve"> </w:t>
            </w:r>
            <w:r w:rsidR="00E103A9">
              <w:rPr>
                <w:lang w:eastAsia="en-AU"/>
              </w:rPr>
              <w:t>a</w:t>
            </w:r>
            <w:r w:rsidRPr="0098071E">
              <w:rPr>
                <w:lang w:eastAsia="en-AU"/>
              </w:rPr>
              <w:t>dministrative</w:t>
            </w:r>
          </w:p>
        </w:tc>
        <w:tc>
          <w:tcPr>
            <w:tcW w:w="1026" w:type="dxa"/>
            <w:hideMark/>
          </w:tcPr>
          <w:p w14:paraId="7137420F" w14:textId="172F7C2D" w:rsidR="00AB5B28" w:rsidRPr="0098071E" w:rsidRDefault="00E35E1C" w:rsidP="00E103A9">
            <w:pPr>
              <w:pStyle w:val="Tabletext"/>
              <w:rPr>
                <w:lang w:eastAsia="en-AU"/>
              </w:rPr>
            </w:pPr>
            <w:r>
              <w:rPr>
                <w:lang w:eastAsia="en-AU"/>
              </w:rPr>
              <w:t>11.3</w:t>
            </w:r>
            <w:r w:rsidR="00545638">
              <w:rPr>
                <w:lang w:eastAsia="en-AU"/>
              </w:rPr>
              <w:t>%</w:t>
            </w:r>
          </w:p>
        </w:tc>
        <w:tc>
          <w:tcPr>
            <w:tcW w:w="1026" w:type="dxa"/>
            <w:hideMark/>
          </w:tcPr>
          <w:p w14:paraId="6FEE2259" w14:textId="1E6BD012" w:rsidR="00AB5B28" w:rsidRPr="0098071E" w:rsidRDefault="00E35E1C" w:rsidP="00E103A9">
            <w:pPr>
              <w:pStyle w:val="Tabletext"/>
              <w:rPr>
                <w:lang w:eastAsia="en-AU"/>
              </w:rPr>
            </w:pPr>
            <w:r>
              <w:rPr>
                <w:lang w:eastAsia="en-AU"/>
              </w:rPr>
              <w:t>11.6</w:t>
            </w:r>
            <w:r w:rsidR="00545638">
              <w:rPr>
                <w:lang w:eastAsia="en-AU"/>
              </w:rPr>
              <w:t>%</w:t>
            </w:r>
          </w:p>
        </w:tc>
        <w:tc>
          <w:tcPr>
            <w:tcW w:w="1027" w:type="dxa"/>
          </w:tcPr>
          <w:p w14:paraId="7BE8854D" w14:textId="68247967" w:rsidR="0027303B" w:rsidRPr="0098071E" w:rsidRDefault="00E35E1C" w:rsidP="00E103A9">
            <w:pPr>
              <w:pStyle w:val="Tabletext"/>
              <w:rPr>
                <w:lang w:eastAsia="en-AU"/>
              </w:rPr>
            </w:pPr>
            <w:r>
              <w:rPr>
                <w:lang w:eastAsia="en-AU"/>
              </w:rPr>
              <w:t>13.2</w:t>
            </w:r>
            <w:r w:rsidR="00545638">
              <w:rPr>
                <w:lang w:eastAsia="en-AU"/>
              </w:rPr>
              <w:t>%</w:t>
            </w:r>
          </w:p>
        </w:tc>
        <w:tc>
          <w:tcPr>
            <w:tcW w:w="1503" w:type="dxa"/>
            <w:hideMark/>
          </w:tcPr>
          <w:p w14:paraId="1DA89590" w14:textId="0D7F9B73" w:rsidR="00AB5B28" w:rsidRPr="0098071E" w:rsidRDefault="0083768F" w:rsidP="00E103A9">
            <w:pPr>
              <w:pStyle w:val="Tabletext"/>
              <w:rPr>
                <w:lang w:eastAsia="en-AU"/>
              </w:rPr>
            </w:pPr>
            <w:r>
              <w:rPr>
                <w:lang w:eastAsia="en-AU"/>
              </w:rPr>
              <w:t>+1.9</w:t>
            </w:r>
            <w:r w:rsidR="004737BD">
              <w:rPr>
                <w:lang w:eastAsia="en-AU"/>
              </w:rPr>
              <w:t>pp</w:t>
            </w:r>
          </w:p>
        </w:tc>
        <w:tc>
          <w:tcPr>
            <w:tcW w:w="1927" w:type="dxa"/>
          </w:tcPr>
          <w:p w14:paraId="677E7812" w14:textId="6B095601" w:rsidR="00AB5B28" w:rsidRPr="003365E2" w:rsidRDefault="005A0DD8" w:rsidP="00E103A9">
            <w:pPr>
              <w:pStyle w:val="Tabletext"/>
              <w:rPr>
                <w:lang w:eastAsia="en-AU"/>
              </w:rPr>
            </w:pPr>
            <w:r>
              <w:rPr>
                <w:rFonts w:cs="Arial"/>
                <w:szCs w:val="21"/>
                <w:lang w:eastAsia="en-AU"/>
              </w:rPr>
              <w:t>Poor (8</w:t>
            </w:r>
            <w:r w:rsidR="00BB009E">
              <w:rPr>
                <w:rFonts w:cs="Arial"/>
                <w:szCs w:val="21"/>
                <w:lang w:eastAsia="en-AU"/>
              </w:rPr>
              <w:t xml:space="preserve"> – Matrix</w:t>
            </w:r>
            <w:r>
              <w:rPr>
                <w:rFonts w:cs="Arial"/>
                <w:szCs w:val="21"/>
                <w:lang w:eastAsia="en-AU"/>
              </w:rPr>
              <w:t>)</w:t>
            </w:r>
          </w:p>
        </w:tc>
      </w:tr>
      <w:tr w:rsidR="00283A86" w:rsidRPr="003365E2" w14:paraId="2CBF2979" w14:textId="77777777" w:rsidTr="00E103A9">
        <w:tc>
          <w:tcPr>
            <w:tcW w:w="0" w:type="auto"/>
          </w:tcPr>
          <w:p w14:paraId="407E2D54" w14:textId="3A85B8AE" w:rsidR="00283A86" w:rsidRPr="0098071E" w:rsidRDefault="00283A86" w:rsidP="00E103A9">
            <w:pPr>
              <w:pStyle w:val="Tabletext"/>
              <w:rPr>
                <w:lang w:eastAsia="en-AU"/>
              </w:rPr>
            </w:pPr>
            <w:r w:rsidRPr="0098071E">
              <w:rPr>
                <w:lang w:eastAsia="en-AU"/>
              </w:rPr>
              <w:t xml:space="preserve">Community </w:t>
            </w:r>
            <w:r w:rsidR="00B26123">
              <w:rPr>
                <w:lang w:eastAsia="en-AU"/>
              </w:rPr>
              <w:t>and</w:t>
            </w:r>
            <w:r w:rsidRPr="0098071E">
              <w:rPr>
                <w:lang w:eastAsia="en-AU"/>
              </w:rPr>
              <w:t xml:space="preserve"> </w:t>
            </w:r>
            <w:r w:rsidR="00E103A9">
              <w:rPr>
                <w:lang w:eastAsia="en-AU"/>
              </w:rPr>
              <w:t>p</w:t>
            </w:r>
            <w:r w:rsidRPr="0098071E">
              <w:rPr>
                <w:lang w:eastAsia="en-AU"/>
              </w:rPr>
              <w:t xml:space="preserve">ersonal </w:t>
            </w:r>
            <w:r w:rsidR="00E103A9">
              <w:rPr>
                <w:lang w:eastAsia="en-AU"/>
              </w:rPr>
              <w:t>s</w:t>
            </w:r>
            <w:r w:rsidRPr="0098071E">
              <w:rPr>
                <w:lang w:eastAsia="en-AU"/>
              </w:rPr>
              <w:t>ervice</w:t>
            </w:r>
          </w:p>
        </w:tc>
        <w:tc>
          <w:tcPr>
            <w:tcW w:w="1026" w:type="dxa"/>
          </w:tcPr>
          <w:p w14:paraId="439DCAC7" w14:textId="222DC480" w:rsidR="00283A86" w:rsidRDefault="00283A86" w:rsidP="00E103A9">
            <w:pPr>
              <w:pStyle w:val="Tabletext"/>
              <w:rPr>
                <w:lang w:eastAsia="en-AU"/>
              </w:rPr>
            </w:pPr>
            <w:r>
              <w:rPr>
                <w:lang w:eastAsia="en-AU"/>
              </w:rPr>
              <w:t>20.0</w:t>
            </w:r>
            <w:r w:rsidR="00545638">
              <w:rPr>
                <w:lang w:eastAsia="en-AU"/>
              </w:rPr>
              <w:t>%</w:t>
            </w:r>
          </w:p>
        </w:tc>
        <w:tc>
          <w:tcPr>
            <w:tcW w:w="1026" w:type="dxa"/>
          </w:tcPr>
          <w:p w14:paraId="17791747" w14:textId="36CC25B9" w:rsidR="00283A86" w:rsidRDefault="00283A86" w:rsidP="00E103A9">
            <w:pPr>
              <w:pStyle w:val="Tabletext"/>
              <w:rPr>
                <w:lang w:eastAsia="en-AU"/>
              </w:rPr>
            </w:pPr>
            <w:r>
              <w:rPr>
                <w:lang w:eastAsia="en-AU"/>
              </w:rPr>
              <w:t>21.7</w:t>
            </w:r>
            <w:r w:rsidR="00545638">
              <w:rPr>
                <w:lang w:eastAsia="en-AU"/>
              </w:rPr>
              <w:t>%</w:t>
            </w:r>
          </w:p>
        </w:tc>
        <w:tc>
          <w:tcPr>
            <w:tcW w:w="1027" w:type="dxa"/>
          </w:tcPr>
          <w:p w14:paraId="1B7EB040" w14:textId="6086354A" w:rsidR="00283A86" w:rsidRDefault="00283A86" w:rsidP="00E103A9">
            <w:pPr>
              <w:pStyle w:val="Tabletext"/>
              <w:rPr>
                <w:lang w:eastAsia="en-AU"/>
              </w:rPr>
            </w:pPr>
            <w:r>
              <w:rPr>
                <w:lang w:eastAsia="en-AU"/>
              </w:rPr>
              <w:t>24.1</w:t>
            </w:r>
            <w:r w:rsidR="00545638">
              <w:rPr>
                <w:lang w:eastAsia="en-AU"/>
              </w:rPr>
              <w:t>%</w:t>
            </w:r>
          </w:p>
        </w:tc>
        <w:tc>
          <w:tcPr>
            <w:tcW w:w="1503" w:type="dxa"/>
          </w:tcPr>
          <w:p w14:paraId="663C363A" w14:textId="5C31FE33" w:rsidR="00283A86" w:rsidRDefault="00283A86" w:rsidP="00E103A9">
            <w:pPr>
              <w:pStyle w:val="Tabletext"/>
              <w:rPr>
                <w:lang w:eastAsia="en-AU"/>
              </w:rPr>
            </w:pPr>
            <w:r>
              <w:rPr>
                <w:lang w:eastAsia="en-AU"/>
              </w:rPr>
              <w:t>+4.1pp</w:t>
            </w:r>
          </w:p>
        </w:tc>
        <w:tc>
          <w:tcPr>
            <w:tcW w:w="1927" w:type="dxa"/>
          </w:tcPr>
          <w:p w14:paraId="2EF94B01" w14:textId="0E62E216" w:rsidR="00283A86" w:rsidRDefault="00283A86" w:rsidP="00E103A9">
            <w:pPr>
              <w:pStyle w:val="Tabletext"/>
              <w:rPr>
                <w:rFonts w:cs="Arial"/>
                <w:szCs w:val="21"/>
                <w:lang w:eastAsia="en-AU"/>
              </w:rPr>
            </w:pPr>
            <w:r>
              <w:rPr>
                <w:rFonts w:cs="Arial"/>
                <w:szCs w:val="21"/>
                <w:lang w:eastAsia="en-AU"/>
              </w:rPr>
              <w:t>Very Poor (4</w:t>
            </w:r>
            <w:r w:rsidR="00BB009E">
              <w:rPr>
                <w:rFonts w:cs="Arial"/>
                <w:szCs w:val="21"/>
                <w:lang w:eastAsia="en-AU"/>
              </w:rPr>
              <w:t xml:space="preserve"> – Matrix</w:t>
            </w:r>
            <w:r>
              <w:rPr>
                <w:rFonts w:cs="Arial"/>
                <w:szCs w:val="21"/>
                <w:lang w:eastAsia="en-AU"/>
              </w:rPr>
              <w:t>)</w:t>
            </w:r>
          </w:p>
        </w:tc>
      </w:tr>
      <w:tr w:rsidR="00283A86" w:rsidRPr="003365E2" w14:paraId="4BACD74C" w14:textId="77777777" w:rsidTr="00E103A9">
        <w:tc>
          <w:tcPr>
            <w:tcW w:w="0" w:type="auto"/>
          </w:tcPr>
          <w:p w14:paraId="505C417E" w14:textId="385ED1B5" w:rsidR="00283A86" w:rsidRPr="0098071E" w:rsidRDefault="00283A86" w:rsidP="00E103A9">
            <w:pPr>
              <w:pStyle w:val="Tabletext"/>
              <w:rPr>
                <w:lang w:eastAsia="en-AU"/>
              </w:rPr>
            </w:pPr>
            <w:r>
              <w:rPr>
                <w:lang w:eastAsia="en-AU"/>
              </w:rPr>
              <w:t>Labourers</w:t>
            </w:r>
          </w:p>
        </w:tc>
        <w:tc>
          <w:tcPr>
            <w:tcW w:w="1026" w:type="dxa"/>
          </w:tcPr>
          <w:p w14:paraId="7E49626D" w14:textId="112E1730" w:rsidR="00283A86" w:rsidRDefault="00283A86" w:rsidP="00E103A9">
            <w:pPr>
              <w:pStyle w:val="Tabletext"/>
              <w:rPr>
                <w:lang w:eastAsia="en-AU"/>
              </w:rPr>
            </w:pPr>
            <w:r>
              <w:rPr>
                <w:lang w:eastAsia="en-AU"/>
              </w:rPr>
              <w:t>19.1</w:t>
            </w:r>
            <w:r w:rsidR="00545638">
              <w:rPr>
                <w:lang w:eastAsia="en-AU"/>
              </w:rPr>
              <w:t>%</w:t>
            </w:r>
          </w:p>
        </w:tc>
        <w:tc>
          <w:tcPr>
            <w:tcW w:w="1026" w:type="dxa"/>
          </w:tcPr>
          <w:p w14:paraId="6051DFC3" w14:textId="53C2B9DD" w:rsidR="00283A86" w:rsidRDefault="00283A86" w:rsidP="00E103A9">
            <w:pPr>
              <w:pStyle w:val="Tabletext"/>
              <w:rPr>
                <w:lang w:eastAsia="en-AU"/>
              </w:rPr>
            </w:pPr>
            <w:r>
              <w:rPr>
                <w:lang w:eastAsia="en-AU"/>
              </w:rPr>
              <w:t>11.1</w:t>
            </w:r>
            <w:r w:rsidR="00545638">
              <w:rPr>
                <w:lang w:eastAsia="en-AU"/>
              </w:rPr>
              <w:t>%</w:t>
            </w:r>
          </w:p>
        </w:tc>
        <w:tc>
          <w:tcPr>
            <w:tcW w:w="1027" w:type="dxa"/>
          </w:tcPr>
          <w:p w14:paraId="400238E5" w14:textId="5144EB00" w:rsidR="00283A86" w:rsidRDefault="00283A86" w:rsidP="00E103A9">
            <w:pPr>
              <w:pStyle w:val="Tabletext"/>
              <w:rPr>
                <w:lang w:eastAsia="en-AU"/>
              </w:rPr>
            </w:pPr>
            <w:r>
              <w:rPr>
                <w:lang w:eastAsia="en-AU"/>
              </w:rPr>
              <w:t>9.7</w:t>
            </w:r>
            <w:r w:rsidR="00545638">
              <w:rPr>
                <w:lang w:eastAsia="en-AU"/>
              </w:rPr>
              <w:t>%</w:t>
            </w:r>
          </w:p>
        </w:tc>
        <w:tc>
          <w:tcPr>
            <w:tcW w:w="1503" w:type="dxa"/>
          </w:tcPr>
          <w:p w14:paraId="304D891A" w14:textId="0FB60D4E" w:rsidR="00283A86" w:rsidRDefault="00283A86" w:rsidP="00E103A9">
            <w:pPr>
              <w:pStyle w:val="Tabletext"/>
              <w:rPr>
                <w:lang w:eastAsia="en-AU"/>
              </w:rPr>
            </w:pPr>
            <w:r>
              <w:rPr>
                <w:lang w:eastAsia="en-AU"/>
              </w:rPr>
              <w:t>-9.4pp</w:t>
            </w:r>
          </w:p>
        </w:tc>
        <w:tc>
          <w:tcPr>
            <w:tcW w:w="1927" w:type="dxa"/>
          </w:tcPr>
          <w:p w14:paraId="2991711B" w14:textId="261D88B7" w:rsidR="00283A86" w:rsidRDefault="00283A86" w:rsidP="00E103A9">
            <w:pPr>
              <w:pStyle w:val="Tabletext"/>
              <w:rPr>
                <w:rFonts w:cs="Arial"/>
                <w:szCs w:val="21"/>
                <w:lang w:eastAsia="en-AU"/>
              </w:rPr>
            </w:pPr>
            <w:r>
              <w:rPr>
                <w:rFonts w:cs="Arial"/>
                <w:szCs w:val="21"/>
                <w:lang w:eastAsia="en-AU"/>
              </w:rPr>
              <w:t>Moderate (12</w:t>
            </w:r>
            <w:r w:rsidR="00BB009E">
              <w:rPr>
                <w:rFonts w:cs="Arial"/>
                <w:szCs w:val="21"/>
                <w:lang w:eastAsia="en-AU"/>
              </w:rPr>
              <w:t xml:space="preserve"> – Matrix</w:t>
            </w:r>
            <w:r>
              <w:rPr>
                <w:rFonts w:cs="Arial"/>
                <w:szCs w:val="21"/>
                <w:lang w:eastAsia="en-AU"/>
              </w:rPr>
              <w:t>)</w:t>
            </w:r>
          </w:p>
        </w:tc>
      </w:tr>
      <w:tr w:rsidR="00283A86" w:rsidRPr="003365E2" w14:paraId="2030BA7C" w14:textId="77777777" w:rsidTr="00E103A9">
        <w:tc>
          <w:tcPr>
            <w:tcW w:w="0" w:type="auto"/>
          </w:tcPr>
          <w:p w14:paraId="56ABDE81" w14:textId="6F73CFC9" w:rsidR="00283A86" w:rsidRPr="0098071E" w:rsidRDefault="00283A86" w:rsidP="00E103A9">
            <w:pPr>
              <w:pStyle w:val="Tabletext"/>
              <w:rPr>
                <w:lang w:eastAsia="en-AU"/>
              </w:rPr>
            </w:pPr>
            <w:r>
              <w:rPr>
                <w:lang w:eastAsia="en-AU"/>
              </w:rPr>
              <w:t xml:space="preserve">Machinery </w:t>
            </w:r>
            <w:r w:rsidR="00E103A9">
              <w:rPr>
                <w:lang w:eastAsia="en-AU"/>
              </w:rPr>
              <w:t>o</w:t>
            </w:r>
            <w:r>
              <w:rPr>
                <w:lang w:eastAsia="en-AU"/>
              </w:rPr>
              <w:t xml:space="preserve">perators and </w:t>
            </w:r>
            <w:r w:rsidR="00E103A9">
              <w:rPr>
                <w:lang w:eastAsia="en-AU"/>
              </w:rPr>
              <w:t>d</w:t>
            </w:r>
            <w:r>
              <w:rPr>
                <w:lang w:eastAsia="en-AU"/>
              </w:rPr>
              <w:t>rivers</w:t>
            </w:r>
          </w:p>
        </w:tc>
        <w:tc>
          <w:tcPr>
            <w:tcW w:w="1026" w:type="dxa"/>
          </w:tcPr>
          <w:p w14:paraId="1A83EB42" w14:textId="1394D85D" w:rsidR="00283A86" w:rsidRDefault="00283A86" w:rsidP="00E103A9">
            <w:pPr>
              <w:pStyle w:val="Tabletext"/>
              <w:rPr>
                <w:lang w:eastAsia="en-AU"/>
              </w:rPr>
            </w:pPr>
            <w:r>
              <w:rPr>
                <w:lang w:eastAsia="en-AU"/>
              </w:rPr>
              <w:t>13.1</w:t>
            </w:r>
            <w:r w:rsidR="00545638">
              <w:rPr>
                <w:lang w:eastAsia="en-AU"/>
              </w:rPr>
              <w:t>%</w:t>
            </w:r>
          </w:p>
        </w:tc>
        <w:tc>
          <w:tcPr>
            <w:tcW w:w="1026" w:type="dxa"/>
          </w:tcPr>
          <w:p w14:paraId="51E50822" w14:textId="5B7A3162" w:rsidR="00283A86" w:rsidRDefault="00283A86" w:rsidP="00E103A9">
            <w:pPr>
              <w:pStyle w:val="Tabletext"/>
              <w:rPr>
                <w:lang w:eastAsia="en-AU"/>
              </w:rPr>
            </w:pPr>
            <w:r>
              <w:rPr>
                <w:lang w:eastAsia="en-AU"/>
              </w:rPr>
              <w:t>7.4</w:t>
            </w:r>
            <w:r w:rsidR="00545638">
              <w:rPr>
                <w:lang w:eastAsia="en-AU"/>
              </w:rPr>
              <w:t>%</w:t>
            </w:r>
          </w:p>
        </w:tc>
        <w:tc>
          <w:tcPr>
            <w:tcW w:w="1027" w:type="dxa"/>
          </w:tcPr>
          <w:p w14:paraId="5A75F34A" w14:textId="682EBA97" w:rsidR="00283A86" w:rsidRDefault="00283A86" w:rsidP="00E103A9">
            <w:pPr>
              <w:pStyle w:val="Tabletext"/>
              <w:rPr>
                <w:lang w:eastAsia="en-AU"/>
              </w:rPr>
            </w:pPr>
            <w:r>
              <w:rPr>
                <w:lang w:eastAsia="en-AU"/>
              </w:rPr>
              <w:t>9.8</w:t>
            </w:r>
            <w:r w:rsidR="00545638">
              <w:rPr>
                <w:lang w:eastAsia="en-AU"/>
              </w:rPr>
              <w:t>%</w:t>
            </w:r>
          </w:p>
        </w:tc>
        <w:tc>
          <w:tcPr>
            <w:tcW w:w="1503" w:type="dxa"/>
          </w:tcPr>
          <w:p w14:paraId="7A035025" w14:textId="296A36F3" w:rsidR="00283A86" w:rsidRDefault="00283A86" w:rsidP="00E103A9">
            <w:pPr>
              <w:pStyle w:val="Tabletext"/>
              <w:rPr>
                <w:lang w:eastAsia="en-AU"/>
              </w:rPr>
            </w:pPr>
            <w:r>
              <w:rPr>
                <w:lang w:eastAsia="en-AU"/>
              </w:rPr>
              <w:t>-3.3pp</w:t>
            </w:r>
          </w:p>
        </w:tc>
        <w:tc>
          <w:tcPr>
            <w:tcW w:w="1927" w:type="dxa"/>
          </w:tcPr>
          <w:p w14:paraId="6C269BB7" w14:textId="393DA0CB" w:rsidR="00283A86" w:rsidRDefault="00283A86" w:rsidP="00E103A9">
            <w:pPr>
              <w:pStyle w:val="Tabletext"/>
              <w:rPr>
                <w:rFonts w:cs="Arial"/>
                <w:szCs w:val="21"/>
                <w:lang w:eastAsia="en-AU"/>
              </w:rPr>
            </w:pPr>
            <w:r>
              <w:rPr>
                <w:rFonts w:cs="Arial"/>
                <w:szCs w:val="21"/>
                <w:lang w:eastAsia="en-AU"/>
              </w:rPr>
              <w:t>Moderate (9</w:t>
            </w:r>
            <w:r w:rsidR="00BB009E">
              <w:rPr>
                <w:rFonts w:cs="Arial"/>
                <w:szCs w:val="21"/>
                <w:lang w:eastAsia="en-AU"/>
              </w:rPr>
              <w:t xml:space="preserve"> – Matrix</w:t>
            </w:r>
            <w:r>
              <w:rPr>
                <w:rFonts w:cs="Arial"/>
                <w:szCs w:val="21"/>
                <w:lang w:eastAsia="en-AU"/>
              </w:rPr>
              <w:t>)</w:t>
            </w:r>
          </w:p>
        </w:tc>
      </w:tr>
      <w:tr w:rsidR="00283A86" w:rsidRPr="003365E2" w14:paraId="504E89CE" w14:textId="77777777" w:rsidTr="00E103A9">
        <w:tc>
          <w:tcPr>
            <w:tcW w:w="0" w:type="auto"/>
          </w:tcPr>
          <w:p w14:paraId="75A08CBE" w14:textId="43DBA230" w:rsidR="00283A86" w:rsidRPr="0098071E" w:rsidRDefault="00283A86" w:rsidP="00E103A9">
            <w:pPr>
              <w:pStyle w:val="Tabletext"/>
              <w:rPr>
                <w:lang w:eastAsia="en-AU"/>
              </w:rPr>
            </w:pPr>
            <w:r w:rsidRPr="0098071E">
              <w:rPr>
                <w:lang w:eastAsia="en-AU"/>
              </w:rPr>
              <w:t>Managers</w:t>
            </w:r>
          </w:p>
        </w:tc>
        <w:tc>
          <w:tcPr>
            <w:tcW w:w="1026" w:type="dxa"/>
          </w:tcPr>
          <w:p w14:paraId="2B445155" w14:textId="52DB900E" w:rsidR="00283A86" w:rsidRPr="0098071E" w:rsidRDefault="00283A86" w:rsidP="00E103A9">
            <w:pPr>
              <w:pStyle w:val="Tabletext"/>
              <w:rPr>
                <w:lang w:eastAsia="en-AU"/>
              </w:rPr>
            </w:pPr>
            <w:r>
              <w:rPr>
                <w:lang w:eastAsia="en-AU"/>
              </w:rPr>
              <w:t>9.7</w:t>
            </w:r>
            <w:r w:rsidR="00545638">
              <w:rPr>
                <w:lang w:eastAsia="en-AU"/>
              </w:rPr>
              <w:t>%</w:t>
            </w:r>
          </w:p>
        </w:tc>
        <w:tc>
          <w:tcPr>
            <w:tcW w:w="1026" w:type="dxa"/>
          </w:tcPr>
          <w:p w14:paraId="76F0EA8A" w14:textId="220804EF" w:rsidR="00283A86" w:rsidRPr="0098071E" w:rsidRDefault="00283A86" w:rsidP="00E103A9">
            <w:pPr>
              <w:pStyle w:val="Tabletext"/>
              <w:rPr>
                <w:lang w:eastAsia="en-AU"/>
              </w:rPr>
            </w:pPr>
            <w:r>
              <w:rPr>
                <w:lang w:eastAsia="en-AU"/>
              </w:rPr>
              <w:t>10.4</w:t>
            </w:r>
            <w:r w:rsidR="00545638">
              <w:rPr>
                <w:lang w:eastAsia="en-AU"/>
              </w:rPr>
              <w:t>%</w:t>
            </w:r>
          </w:p>
        </w:tc>
        <w:tc>
          <w:tcPr>
            <w:tcW w:w="1027" w:type="dxa"/>
          </w:tcPr>
          <w:p w14:paraId="5FDDF17D" w14:textId="56F53520" w:rsidR="00283A86" w:rsidRPr="0098071E" w:rsidRDefault="00283A86" w:rsidP="00E103A9">
            <w:pPr>
              <w:pStyle w:val="Tabletext"/>
              <w:rPr>
                <w:lang w:eastAsia="en-AU"/>
              </w:rPr>
            </w:pPr>
            <w:r>
              <w:rPr>
                <w:lang w:eastAsia="en-AU"/>
              </w:rPr>
              <w:t>9.3</w:t>
            </w:r>
            <w:r w:rsidR="00545638">
              <w:rPr>
                <w:lang w:eastAsia="en-AU"/>
              </w:rPr>
              <w:t>%</w:t>
            </w:r>
          </w:p>
        </w:tc>
        <w:tc>
          <w:tcPr>
            <w:tcW w:w="1503" w:type="dxa"/>
          </w:tcPr>
          <w:p w14:paraId="1362A6F9" w14:textId="20093E23" w:rsidR="00283A86" w:rsidRPr="0098071E" w:rsidRDefault="00283A86" w:rsidP="00E103A9">
            <w:pPr>
              <w:pStyle w:val="Tabletext"/>
              <w:rPr>
                <w:lang w:eastAsia="en-AU"/>
              </w:rPr>
            </w:pPr>
            <w:r>
              <w:rPr>
                <w:lang w:eastAsia="en-AU"/>
              </w:rPr>
              <w:t>-0.4pp</w:t>
            </w:r>
          </w:p>
        </w:tc>
        <w:tc>
          <w:tcPr>
            <w:tcW w:w="1927" w:type="dxa"/>
          </w:tcPr>
          <w:p w14:paraId="4AAC553B" w14:textId="29B0A922" w:rsidR="00283A86" w:rsidRPr="0098071E" w:rsidRDefault="00283A86" w:rsidP="00E103A9">
            <w:pPr>
              <w:pStyle w:val="Tabletext"/>
              <w:rPr>
                <w:lang w:eastAsia="en-AU"/>
              </w:rPr>
            </w:pPr>
            <w:r>
              <w:rPr>
                <w:rFonts w:cs="Arial"/>
                <w:szCs w:val="21"/>
                <w:lang w:eastAsia="en-AU"/>
              </w:rPr>
              <w:t>Moderate (9</w:t>
            </w:r>
            <w:r w:rsidR="00BB009E">
              <w:rPr>
                <w:rFonts w:cs="Arial"/>
                <w:szCs w:val="21"/>
                <w:lang w:eastAsia="en-AU"/>
              </w:rPr>
              <w:t xml:space="preserve"> – Matrix</w:t>
            </w:r>
            <w:r>
              <w:rPr>
                <w:rFonts w:cs="Arial"/>
                <w:szCs w:val="21"/>
                <w:lang w:eastAsia="en-AU"/>
              </w:rPr>
              <w:t>)</w:t>
            </w:r>
          </w:p>
        </w:tc>
      </w:tr>
      <w:tr w:rsidR="00283A86" w:rsidRPr="003365E2" w14:paraId="7DDFD6E4" w14:textId="77777777" w:rsidTr="00E103A9">
        <w:tc>
          <w:tcPr>
            <w:tcW w:w="0" w:type="auto"/>
          </w:tcPr>
          <w:p w14:paraId="5347FA1A" w14:textId="304E5D54" w:rsidR="00283A86" w:rsidRPr="0098071E" w:rsidRDefault="00283A86" w:rsidP="00E103A9">
            <w:pPr>
              <w:pStyle w:val="Tabletext"/>
              <w:rPr>
                <w:lang w:eastAsia="en-AU"/>
              </w:rPr>
            </w:pPr>
            <w:r w:rsidRPr="0098071E">
              <w:rPr>
                <w:lang w:eastAsia="en-AU"/>
              </w:rPr>
              <w:t>Professionals</w:t>
            </w:r>
          </w:p>
        </w:tc>
        <w:tc>
          <w:tcPr>
            <w:tcW w:w="1026" w:type="dxa"/>
          </w:tcPr>
          <w:p w14:paraId="0B528F44" w14:textId="4043E400" w:rsidR="00283A86" w:rsidRDefault="00283A86" w:rsidP="00E103A9">
            <w:pPr>
              <w:pStyle w:val="Tabletext"/>
              <w:rPr>
                <w:lang w:eastAsia="en-AU"/>
              </w:rPr>
            </w:pPr>
            <w:r>
              <w:rPr>
                <w:lang w:eastAsia="en-AU"/>
              </w:rPr>
              <w:t>12.3</w:t>
            </w:r>
            <w:r w:rsidR="00545638">
              <w:rPr>
                <w:lang w:eastAsia="en-AU"/>
              </w:rPr>
              <w:t>%</w:t>
            </w:r>
          </w:p>
        </w:tc>
        <w:tc>
          <w:tcPr>
            <w:tcW w:w="1026" w:type="dxa"/>
          </w:tcPr>
          <w:p w14:paraId="794ED2AE" w14:textId="4F69E9D1" w:rsidR="00283A86" w:rsidRDefault="00283A86" w:rsidP="00E103A9">
            <w:pPr>
              <w:pStyle w:val="Tabletext"/>
              <w:rPr>
                <w:lang w:eastAsia="en-AU"/>
              </w:rPr>
            </w:pPr>
            <w:r>
              <w:rPr>
                <w:lang w:eastAsia="en-AU"/>
              </w:rPr>
              <w:t>18.6</w:t>
            </w:r>
            <w:r w:rsidR="00545638">
              <w:rPr>
                <w:lang w:eastAsia="en-AU"/>
              </w:rPr>
              <w:t>%</w:t>
            </w:r>
          </w:p>
        </w:tc>
        <w:tc>
          <w:tcPr>
            <w:tcW w:w="1027" w:type="dxa"/>
          </w:tcPr>
          <w:p w14:paraId="5FF55924" w14:textId="5C6DC197" w:rsidR="00283A86" w:rsidRDefault="00283A86" w:rsidP="00E103A9">
            <w:pPr>
              <w:pStyle w:val="Tabletext"/>
              <w:rPr>
                <w:lang w:eastAsia="en-AU"/>
              </w:rPr>
            </w:pPr>
            <w:r>
              <w:rPr>
                <w:lang w:eastAsia="en-AU"/>
              </w:rPr>
              <w:t>16.5</w:t>
            </w:r>
            <w:r w:rsidR="00545638">
              <w:rPr>
                <w:lang w:eastAsia="en-AU"/>
              </w:rPr>
              <w:t>%</w:t>
            </w:r>
          </w:p>
        </w:tc>
        <w:tc>
          <w:tcPr>
            <w:tcW w:w="1503" w:type="dxa"/>
          </w:tcPr>
          <w:p w14:paraId="6269A4B3" w14:textId="49DA6CA5" w:rsidR="00283A86" w:rsidRDefault="00283A86" w:rsidP="00E103A9">
            <w:pPr>
              <w:pStyle w:val="Tabletext"/>
              <w:rPr>
                <w:lang w:eastAsia="en-AU"/>
              </w:rPr>
            </w:pPr>
            <w:r>
              <w:rPr>
                <w:lang w:eastAsia="en-AU"/>
              </w:rPr>
              <w:t>+4.2pp</w:t>
            </w:r>
          </w:p>
        </w:tc>
        <w:tc>
          <w:tcPr>
            <w:tcW w:w="1927" w:type="dxa"/>
          </w:tcPr>
          <w:p w14:paraId="09E05314" w14:textId="1CF21A01" w:rsidR="00283A86" w:rsidRDefault="00283A86" w:rsidP="00E103A9">
            <w:pPr>
              <w:pStyle w:val="Tabletext"/>
              <w:rPr>
                <w:rFonts w:cs="Arial"/>
                <w:szCs w:val="21"/>
                <w:lang w:eastAsia="en-AU"/>
              </w:rPr>
            </w:pPr>
            <w:r>
              <w:rPr>
                <w:rFonts w:cs="Arial"/>
                <w:szCs w:val="21"/>
                <w:lang w:eastAsia="en-AU"/>
              </w:rPr>
              <w:t>Poor (8</w:t>
            </w:r>
            <w:r w:rsidR="00BB009E">
              <w:rPr>
                <w:rFonts w:cs="Arial"/>
                <w:szCs w:val="21"/>
                <w:lang w:eastAsia="en-AU"/>
              </w:rPr>
              <w:t xml:space="preserve"> – Matrix</w:t>
            </w:r>
            <w:r>
              <w:rPr>
                <w:rFonts w:cs="Arial"/>
                <w:szCs w:val="21"/>
                <w:lang w:eastAsia="en-AU"/>
              </w:rPr>
              <w:t>)</w:t>
            </w:r>
          </w:p>
        </w:tc>
      </w:tr>
      <w:tr w:rsidR="00283A86" w:rsidRPr="003365E2" w14:paraId="75FB8927" w14:textId="77777777" w:rsidTr="00E103A9">
        <w:tc>
          <w:tcPr>
            <w:tcW w:w="0" w:type="auto"/>
          </w:tcPr>
          <w:p w14:paraId="01AA65AC" w14:textId="5211B25A" w:rsidR="00283A86" w:rsidRDefault="00283A86" w:rsidP="00E103A9">
            <w:pPr>
              <w:pStyle w:val="Tabletext"/>
              <w:rPr>
                <w:lang w:eastAsia="en-AU"/>
              </w:rPr>
            </w:pPr>
            <w:r>
              <w:rPr>
                <w:lang w:eastAsia="en-AU"/>
              </w:rPr>
              <w:t xml:space="preserve">Sales </w:t>
            </w:r>
            <w:r w:rsidR="00E103A9">
              <w:rPr>
                <w:lang w:eastAsia="en-AU"/>
              </w:rPr>
              <w:t>w</w:t>
            </w:r>
            <w:r>
              <w:rPr>
                <w:lang w:eastAsia="en-AU"/>
              </w:rPr>
              <w:t>orkers</w:t>
            </w:r>
          </w:p>
        </w:tc>
        <w:tc>
          <w:tcPr>
            <w:tcW w:w="1026" w:type="dxa"/>
          </w:tcPr>
          <w:p w14:paraId="010B34B4" w14:textId="08E934AF" w:rsidR="00283A86" w:rsidRPr="0098071E" w:rsidRDefault="00283A86" w:rsidP="00E103A9">
            <w:pPr>
              <w:pStyle w:val="Tabletext"/>
              <w:rPr>
                <w:lang w:eastAsia="en-AU"/>
              </w:rPr>
            </w:pPr>
            <w:r>
              <w:rPr>
                <w:lang w:eastAsia="en-AU"/>
              </w:rPr>
              <w:t>13.9</w:t>
            </w:r>
            <w:r w:rsidR="00545638">
              <w:rPr>
                <w:lang w:eastAsia="en-AU"/>
              </w:rPr>
              <w:t>%</w:t>
            </w:r>
          </w:p>
        </w:tc>
        <w:tc>
          <w:tcPr>
            <w:tcW w:w="1026" w:type="dxa"/>
          </w:tcPr>
          <w:p w14:paraId="25F1A03B" w14:textId="69C20C83" w:rsidR="00283A86" w:rsidRPr="0098071E" w:rsidRDefault="00283A86" w:rsidP="00E103A9">
            <w:pPr>
              <w:pStyle w:val="Tabletext"/>
              <w:rPr>
                <w:lang w:eastAsia="en-AU"/>
              </w:rPr>
            </w:pPr>
            <w:r>
              <w:rPr>
                <w:lang w:eastAsia="en-AU"/>
              </w:rPr>
              <w:t>17.6</w:t>
            </w:r>
            <w:r w:rsidR="00545638">
              <w:rPr>
                <w:lang w:eastAsia="en-AU"/>
              </w:rPr>
              <w:t>%</w:t>
            </w:r>
          </w:p>
        </w:tc>
        <w:tc>
          <w:tcPr>
            <w:tcW w:w="1027" w:type="dxa"/>
          </w:tcPr>
          <w:p w14:paraId="7B60F98F" w14:textId="67C1FE67" w:rsidR="00283A86" w:rsidRPr="0098071E" w:rsidRDefault="00283A86" w:rsidP="00E103A9">
            <w:pPr>
              <w:pStyle w:val="Tabletext"/>
              <w:rPr>
                <w:lang w:eastAsia="en-AU"/>
              </w:rPr>
            </w:pPr>
            <w:r>
              <w:rPr>
                <w:lang w:eastAsia="en-AU"/>
              </w:rPr>
              <w:t>20.3</w:t>
            </w:r>
            <w:r w:rsidR="00545638">
              <w:rPr>
                <w:lang w:eastAsia="en-AU"/>
              </w:rPr>
              <w:t>%</w:t>
            </w:r>
          </w:p>
        </w:tc>
        <w:tc>
          <w:tcPr>
            <w:tcW w:w="1503" w:type="dxa"/>
          </w:tcPr>
          <w:p w14:paraId="419CC2CE" w14:textId="2B0A96ED" w:rsidR="00283A86" w:rsidRPr="0098071E" w:rsidRDefault="00283A86" w:rsidP="00E103A9">
            <w:pPr>
              <w:pStyle w:val="Tabletext"/>
              <w:rPr>
                <w:lang w:eastAsia="en-AU"/>
              </w:rPr>
            </w:pPr>
            <w:r>
              <w:rPr>
                <w:lang w:eastAsia="en-AU"/>
              </w:rPr>
              <w:t>+6.4pp</w:t>
            </w:r>
          </w:p>
        </w:tc>
        <w:tc>
          <w:tcPr>
            <w:tcW w:w="1927" w:type="dxa"/>
          </w:tcPr>
          <w:p w14:paraId="35EA3B8E" w14:textId="3784BA7C" w:rsidR="00283A86" w:rsidRPr="0098071E" w:rsidRDefault="00283A86" w:rsidP="00E103A9">
            <w:pPr>
              <w:pStyle w:val="Tabletext"/>
              <w:rPr>
                <w:lang w:eastAsia="en-AU"/>
              </w:rPr>
            </w:pPr>
            <w:r>
              <w:rPr>
                <w:rFonts w:cs="Arial"/>
                <w:szCs w:val="21"/>
                <w:lang w:eastAsia="en-AU"/>
              </w:rPr>
              <w:t>Very Poor (4</w:t>
            </w:r>
            <w:r w:rsidR="00BB009E">
              <w:rPr>
                <w:rFonts w:cs="Arial"/>
                <w:szCs w:val="21"/>
                <w:lang w:eastAsia="en-AU"/>
              </w:rPr>
              <w:t xml:space="preserve"> – Matrix</w:t>
            </w:r>
            <w:r>
              <w:rPr>
                <w:rFonts w:cs="Arial"/>
                <w:szCs w:val="21"/>
                <w:lang w:eastAsia="en-AU"/>
              </w:rPr>
              <w:t>)</w:t>
            </w:r>
          </w:p>
        </w:tc>
      </w:tr>
      <w:tr w:rsidR="00283A86" w:rsidRPr="003365E2" w14:paraId="036B70B2" w14:textId="77777777" w:rsidTr="00E103A9">
        <w:tc>
          <w:tcPr>
            <w:tcW w:w="0" w:type="auto"/>
          </w:tcPr>
          <w:p w14:paraId="48D8E2AE" w14:textId="7B6FBB10" w:rsidR="00283A86" w:rsidRDefault="00283A86" w:rsidP="00E103A9">
            <w:pPr>
              <w:pStyle w:val="Tabletext"/>
              <w:rPr>
                <w:lang w:eastAsia="en-AU"/>
              </w:rPr>
            </w:pPr>
            <w:r w:rsidRPr="0098071E">
              <w:rPr>
                <w:lang w:eastAsia="en-AU"/>
              </w:rPr>
              <w:t xml:space="preserve">Technicians </w:t>
            </w:r>
            <w:r w:rsidR="00B26123">
              <w:rPr>
                <w:lang w:eastAsia="en-AU"/>
              </w:rPr>
              <w:t>and</w:t>
            </w:r>
            <w:r w:rsidRPr="0098071E">
              <w:rPr>
                <w:lang w:eastAsia="en-AU"/>
              </w:rPr>
              <w:t xml:space="preserve"> </w:t>
            </w:r>
            <w:r w:rsidR="00E103A9">
              <w:rPr>
                <w:lang w:eastAsia="en-AU"/>
              </w:rPr>
              <w:t>t</w:t>
            </w:r>
            <w:r w:rsidRPr="0098071E">
              <w:rPr>
                <w:lang w:eastAsia="en-AU"/>
              </w:rPr>
              <w:t>rades</w:t>
            </w:r>
          </w:p>
        </w:tc>
        <w:tc>
          <w:tcPr>
            <w:tcW w:w="1026" w:type="dxa"/>
          </w:tcPr>
          <w:p w14:paraId="437D168F" w14:textId="3779BEE7" w:rsidR="00283A86" w:rsidRPr="0098071E" w:rsidRDefault="00283A86" w:rsidP="00E103A9">
            <w:pPr>
              <w:pStyle w:val="Tabletext"/>
              <w:rPr>
                <w:lang w:eastAsia="en-AU"/>
              </w:rPr>
            </w:pPr>
            <w:r>
              <w:rPr>
                <w:lang w:eastAsia="en-AU"/>
              </w:rPr>
              <w:t>9.0</w:t>
            </w:r>
            <w:r w:rsidR="00545638">
              <w:rPr>
                <w:lang w:eastAsia="en-AU"/>
              </w:rPr>
              <w:t>%</w:t>
            </w:r>
          </w:p>
        </w:tc>
        <w:tc>
          <w:tcPr>
            <w:tcW w:w="1026" w:type="dxa"/>
          </w:tcPr>
          <w:p w14:paraId="30D754A0" w14:textId="0C293D2F" w:rsidR="00283A86" w:rsidRPr="0098071E" w:rsidRDefault="00283A86" w:rsidP="00E103A9">
            <w:pPr>
              <w:pStyle w:val="Tabletext"/>
              <w:rPr>
                <w:lang w:eastAsia="en-AU"/>
              </w:rPr>
            </w:pPr>
            <w:r>
              <w:rPr>
                <w:lang w:eastAsia="en-AU"/>
              </w:rPr>
              <w:t>9.5</w:t>
            </w:r>
            <w:r w:rsidR="00545638">
              <w:rPr>
                <w:lang w:eastAsia="en-AU"/>
              </w:rPr>
              <w:t>%</w:t>
            </w:r>
          </w:p>
        </w:tc>
        <w:tc>
          <w:tcPr>
            <w:tcW w:w="1027" w:type="dxa"/>
          </w:tcPr>
          <w:p w14:paraId="00A7F85C" w14:textId="6050A4E0" w:rsidR="00283A86" w:rsidRPr="0098071E" w:rsidRDefault="00283A86" w:rsidP="00E103A9">
            <w:pPr>
              <w:pStyle w:val="Tabletext"/>
              <w:rPr>
                <w:lang w:eastAsia="en-AU"/>
              </w:rPr>
            </w:pPr>
            <w:r>
              <w:rPr>
                <w:lang w:eastAsia="en-AU"/>
              </w:rPr>
              <w:t>8.2</w:t>
            </w:r>
            <w:r w:rsidR="00545638">
              <w:rPr>
                <w:lang w:eastAsia="en-AU"/>
              </w:rPr>
              <w:t>%</w:t>
            </w:r>
          </w:p>
        </w:tc>
        <w:tc>
          <w:tcPr>
            <w:tcW w:w="1503" w:type="dxa"/>
          </w:tcPr>
          <w:p w14:paraId="4FD64E73" w14:textId="4FAB41E2" w:rsidR="00283A86" w:rsidRPr="0098071E" w:rsidRDefault="00283A86" w:rsidP="00E103A9">
            <w:pPr>
              <w:pStyle w:val="Tabletext"/>
              <w:rPr>
                <w:lang w:eastAsia="en-AU"/>
              </w:rPr>
            </w:pPr>
            <w:r>
              <w:rPr>
                <w:lang w:eastAsia="en-AU"/>
              </w:rPr>
              <w:t>-0.8pp</w:t>
            </w:r>
          </w:p>
        </w:tc>
        <w:tc>
          <w:tcPr>
            <w:tcW w:w="1927" w:type="dxa"/>
          </w:tcPr>
          <w:p w14:paraId="6B8C60D3" w14:textId="226FE089" w:rsidR="00283A86" w:rsidRPr="0098071E" w:rsidRDefault="00283A86" w:rsidP="00E103A9">
            <w:pPr>
              <w:pStyle w:val="Tabletext"/>
              <w:rPr>
                <w:lang w:eastAsia="en-AU"/>
              </w:rPr>
            </w:pPr>
            <w:r>
              <w:rPr>
                <w:rFonts w:cs="Arial"/>
                <w:szCs w:val="21"/>
                <w:lang w:eastAsia="en-AU"/>
              </w:rPr>
              <w:t>Moderate (9</w:t>
            </w:r>
            <w:r w:rsidR="00BB009E">
              <w:rPr>
                <w:rFonts w:cs="Arial"/>
                <w:szCs w:val="21"/>
                <w:lang w:eastAsia="en-AU"/>
              </w:rPr>
              <w:t xml:space="preserve"> – Matrix</w:t>
            </w:r>
            <w:r>
              <w:rPr>
                <w:rFonts w:cs="Arial"/>
                <w:szCs w:val="21"/>
                <w:lang w:eastAsia="en-AU"/>
              </w:rPr>
              <w:t>)</w:t>
            </w:r>
          </w:p>
        </w:tc>
      </w:tr>
    </w:tbl>
    <w:p w14:paraId="36CCD34E" w14:textId="77777777" w:rsidR="005170BB" w:rsidRDefault="005170BB" w:rsidP="003165AB">
      <w:pPr>
        <w:pStyle w:val="Tablefigurenote"/>
      </w:pPr>
      <w:r w:rsidRPr="00136D6E">
        <w:t>Source: Workplace gender audit workforce data, 2021</w:t>
      </w:r>
      <w:r>
        <w:t>, 2023 and 2025.</w:t>
      </w:r>
    </w:p>
    <w:p w14:paraId="09BB33C9" w14:textId="044655E2" w:rsidR="001B26B7" w:rsidRDefault="003F7A99" w:rsidP="003165AB">
      <w:pPr>
        <w:pStyle w:val="Tablefigurenote"/>
      </w:pPr>
      <w:r>
        <w:t xml:space="preserve">Notes: </w:t>
      </w:r>
      <w:r w:rsidRPr="00A2089E">
        <w:t>To understand how to interpret the different types of progress ratings</w:t>
      </w:r>
      <w:r>
        <w:t>,</w:t>
      </w:r>
      <w:r w:rsidRPr="00A2089E">
        <w:t xml:space="preserve"> see</w:t>
      </w:r>
      <w:r>
        <w:t xml:space="preserve"> </w:t>
      </w:r>
      <w:hyperlink w:anchor="_Data_measures" w:history="1">
        <w:r w:rsidRPr="00137E91">
          <w:rPr>
            <w:rStyle w:val="Hyperlink"/>
            <w:rFonts w:cs="Times New Roman"/>
          </w:rPr>
          <w:t>Data measures</w:t>
        </w:r>
      </w:hyperlink>
      <w:r>
        <w:t xml:space="preserve"> in</w:t>
      </w:r>
      <w:r w:rsidRPr="00A2089E">
        <w:t xml:space="preserve"> Appendix 1</w:t>
      </w:r>
      <w:r>
        <w:t xml:space="preserve">. To read more about how the Commission calculates </w:t>
      </w:r>
      <w:hyperlink w:anchor="_Gender_gaps" w:history="1">
        <w:r w:rsidRPr="003F7A99">
          <w:rPr>
            <w:rStyle w:val="Hyperlink"/>
            <w:rFonts w:cs="Times New Roman"/>
          </w:rPr>
          <w:t>gender gaps</w:t>
        </w:r>
      </w:hyperlink>
      <w:r>
        <w:t xml:space="preserve">, see Appendix 1. Gender </w:t>
      </w:r>
      <w:r>
        <w:lastRenderedPageBreak/>
        <w:t>gaps are always calculated between men and women</w:t>
      </w:r>
      <w:r w:rsidR="002B4497">
        <w:t>.</w:t>
      </w:r>
      <w:r>
        <w:t xml:space="preserve"> A gap </w:t>
      </w:r>
      <w:r>
        <w:rPr>
          <w:lang w:eastAsia="en-AU"/>
        </w:rPr>
        <w:t>greater than zero</w:t>
      </w:r>
      <w:r w:rsidRPr="00C27278">
        <w:t xml:space="preserve"> </w:t>
      </w:r>
      <w:r>
        <w:t>is in favour of men, and a gap less than zero</w:t>
      </w:r>
      <w:r w:rsidRPr="00C27278">
        <w:t xml:space="preserve"> </w:t>
      </w:r>
      <w:r>
        <w:t>is in favour of women.</w:t>
      </w:r>
      <w:r w:rsidR="00A16A74">
        <w:t xml:space="preserve"> </w:t>
      </w:r>
      <w:r w:rsidR="00A16A74" w:rsidRPr="00AE1037">
        <w:t xml:space="preserve">The </w:t>
      </w:r>
      <w:r w:rsidR="00A16A74">
        <w:t xml:space="preserve">percentage point </w:t>
      </w:r>
      <w:r w:rsidR="00A16A74" w:rsidRPr="00AE1037">
        <w:t>change column may not always reflect the exact difference between years due to rounding</w:t>
      </w:r>
      <w:r w:rsidR="00A16A74">
        <w:t>.</w:t>
      </w:r>
      <w:r w:rsidR="00997C21">
        <w:t xml:space="preserve"> </w:t>
      </w:r>
      <w:r w:rsidR="00997C21">
        <w:rPr>
          <w:lang w:val="en-US"/>
        </w:rPr>
        <w:t xml:space="preserve">For further information on the occupation codes used in Table 3.3, see </w:t>
      </w:r>
      <w:hyperlink w:anchor="_Indicator_7:_Gendered" w:history="1">
        <w:r w:rsidR="00997C21" w:rsidRPr="002B4497">
          <w:rPr>
            <w:rStyle w:val="Hyperlink"/>
            <w:rFonts w:cs="Arial"/>
            <w:lang w:val="en-US"/>
          </w:rPr>
          <w:t>Indicator 7: Gendered segregation</w:t>
        </w:r>
      </w:hyperlink>
      <w:r w:rsidR="00997C21">
        <w:rPr>
          <w:lang w:val="en-US"/>
        </w:rPr>
        <w:t>.</w:t>
      </w:r>
    </w:p>
    <w:p w14:paraId="177BB0C9" w14:textId="79D07DB2" w:rsidR="00BA4FE4" w:rsidRDefault="00BA4FE4" w:rsidP="00B5142C">
      <w:pPr>
        <w:pStyle w:val="Tablecaption"/>
      </w:pPr>
      <w:r w:rsidRPr="00BA4FE4">
        <w:rPr>
          <w:bCs/>
        </w:rPr>
        <w:t>Table 3.</w:t>
      </w:r>
      <w:r w:rsidR="00FB76DD">
        <w:rPr>
          <w:bCs/>
        </w:rPr>
        <w:t>4</w:t>
      </w:r>
      <w:r w:rsidRPr="00BA4FE4">
        <w:rPr>
          <w:bCs/>
        </w:rPr>
        <w:t>:</w:t>
      </w:r>
      <w:r w:rsidRPr="00BA4FE4">
        <w:t xml:space="preserve"> </w:t>
      </w:r>
      <w:r w:rsidR="00502C2D">
        <w:t>Indicative</w:t>
      </w:r>
      <w:r w:rsidR="00B77A61">
        <w:t xml:space="preserve"> mean total remuneration </w:t>
      </w:r>
      <w:r w:rsidR="00B5142C">
        <w:t>p</w:t>
      </w:r>
      <w:r w:rsidR="00C1253C">
        <w:t>ay</w:t>
      </w:r>
      <w:r w:rsidRPr="00BA4FE4">
        <w:t xml:space="preserve"> </w:t>
      </w:r>
      <w:r w:rsidR="00B5142C">
        <w:t>g</w:t>
      </w:r>
      <w:r w:rsidRPr="00BA4FE4">
        <w:t xml:space="preserve">aps </w:t>
      </w:r>
      <w:r w:rsidR="00F20CC6">
        <w:t>for</w:t>
      </w:r>
      <w:r w:rsidR="000912D6">
        <w:t xml:space="preserve"> </w:t>
      </w:r>
      <w:r w:rsidR="004966CC">
        <w:t>First Nations people</w:t>
      </w:r>
    </w:p>
    <w:tbl>
      <w:tblPr>
        <w:tblStyle w:val="CGEPStable"/>
        <w:tblW w:w="0" w:type="auto"/>
        <w:tblLayout w:type="fixed"/>
        <w:tblLook w:val="04A0" w:firstRow="1" w:lastRow="0" w:firstColumn="1" w:lastColumn="0" w:noHBand="0" w:noVBand="1"/>
      </w:tblPr>
      <w:tblGrid>
        <w:gridCol w:w="3005"/>
        <w:gridCol w:w="1573"/>
        <w:gridCol w:w="1573"/>
        <w:gridCol w:w="1573"/>
        <w:gridCol w:w="1574"/>
      </w:tblGrid>
      <w:tr w:rsidR="00335A9C" w:rsidRPr="00BA4FE4" w14:paraId="68DC02F2" w14:textId="77777777" w:rsidTr="007D079D">
        <w:trPr>
          <w:cnfStyle w:val="100000000000" w:firstRow="1" w:lastRow="0" w:firstColumn="0" w:lastColumn="0" w:oddVBand="0" w:evenVBand="0" w:oddHBand="0" w:evenHBand="0" w:firstRowFirstColumn="0" w:firstRowLastColumn="0" w:lastRowFirstColumn="0" w:lastRowLastColumn="0"/>
        </w:trPr>
        <w:tc>
          <w:tcPr>
            <w:tcW w:w="3005" w:type="dxa"/>
            <w:hideMark/>
          </w:tcPr>
          <w:p w14:paraId="5C68CE93" w14:textId="25365D8D" w:rsidR="00335A9C" w:rsidRPr="00BA4FE4" w:rsidRDefault="00335A9C" w:rsidP="00B5142C">
            <w:pPr>
              <w:pStyle w:val="Tablecolhead"/>
            </w:pPr>
            <w:r w:rsidRPr="00BA4FE4">
              <w:t>Comparator groups</w:t>
            </w:r>
          </w:p>
        </w:tc>
        <w:tc>
          <w:tcPr>
            <w:tcW w:w="1573" w:type="dxa"/>
            <w:hideMark/>
          </w:tcPr>
          <w:p w14:paraId="3BC9B72B" w14:textId="022E7EAF" w:rsidR="00335A9C" w:rsidRPr="00BA4FE4" w:rsidRDefault="00D342B6" w:rsidP="00B5142C">
            <w:pPr>
              <w:pStyle w:val="Tablecolhead"/>
            </w:pPr>
            <w:r>
              <w:t>Indicative m</w:t>
            </w:r>
            <w:r w:rsidR="00335A9C" w:rsidRPr="00BA4FE4">
              <w:t xml:space="preserve">ean </w:t>
            </w:r>
            <w:r>
              <w:t>pay</w:t>
            </w:r>
            <w:r w:rsidR="00335A9C" w:rsidRPr="00BA4FE4">
              <w:t xml:space="preserve"> </w:t>
            </w:r>
            <w:r w:rsidR="00B5142C">
              <w:t>g</w:t>
            </w:r>
            <w:r w:rsidR="00335A9C" w:rsidRPr="00BA4FE4">
              <w:t>ap</w:t>
            </w:r>
            <w:r w:rsidR="00335A9C">
              <w:t xml:space="preserve"> 2021</w:t>
            </w:r>
          </w:p>
        </w:tc>
        <w:tc>
          <w:tcPr>
            <w:tcW w:w="1573" w:type="dxa"/>
          </w:tcPr>
          <w:p w14:paraId="4484B753" w14:textId="451A64AE" w:rsidR="00335A9C" w:rsidRPr="00BA4FE4" w:rsidRDefault="00D342B6" w:rsidP="00B5142C">
            <w:pPr>
              <w:pStyle w:val="Tablecolhead"/>
            </w:pPr>
            <w:r>
              <w:t>Indicative m</w:t>
            </w:r>
            <w:r w:rsidR="004E4D15" w:rsidRPr="00BA4FE4">
              <w:t>ean</w:t>
            </w:r>
            <w:r w:rsidR="004E4D15">
              <w:t xml:space="preserve"> </w:t>
            </w:r>
            <w:r>
              <w:t xml:space="preserve">pay </w:t>
            </w:r>
            <w:r w:rsidR="00B5142C">
              <w:t>g</w:t>
            </w:r>
            <w:r w:rsidR="004E4D15" w:rsidRPr="00BA4FE4">
              <w:t>ap</w:t>
            </w:r>
            <w:r w:rsidR="004E4D15">
              <w:t xml:space="preserve"> </w:t>
            </w:r>
            <w:r w:rsidR="00335A9C">
              <w:t>2023</w:t>
            </w:r>
          </w:p>
        </w:tc>
        <w:tc>
          <w:tcPr>
            <w:tcW w:w="1573" w:type="dxa"/>
          </w:tcPr>
          <w:p w14:paraId="3279C8AA" w14:textId="3C19EC3E" w:rsidR="00335A9C" w:rsidRPr="00BA4FE4" w:rsidRDefault="00D342B6" w:rsidP="00B5142C">
            <w:pPr>
              <w:pStyle w:val="Tablecolhead"/>
            </w:pPr>
            <w:r>
              <w:t>Indicative m</w:t>
            </w:r>
            <w:r w:rsidR="004E4D15" w:rsidRPr="00BA4FE4">
              <w:t xml:space="preserve">ean </w:t>
            </w:r>
            <w:r>
              <w:t>pay</w:t>
            </w:r>
            <w:r w:rsidR="004E4D15">
              <w:t xml:space="preserve"> </w:t>
            </w:r>
            <w:r w:rsidR="00B5142C">
              <w:t>g</w:t>
            </w:r>
            <w:r w:rsidR="004E4D15" w:rsidRPr="00BA4FE4">
              <w:t>ap</w:t>
            </w:r>
            <w:r w:rsidR="004E4D15">
              <w:t xml:space="preserve"> </w:t>
            </w:r>
            <w:r w:rsidR="00335A9C">
              <w:t>2025</w:t>
            </w:r>
            <w:r w:rsidR="00335A9C" w:rsidRPr="00BA4FE4">
              <w:t xml:space="preserve"> </w:t>
            </w:r>
          </w:p>
        </w:tc>
        <w:tc>
          <w:tcPr>
            <w:tcW w:w="1574" w:type="dxa"/>
            <w:hideMark/>
          </w:tcPr>
          <w:p w14:paraId="0513EF9D" w14:textId="695B8508" w:rsidR="00335A9C" w:rsidRPr="00BA4FE4" w:rsidRDefault="00335A9C" w:rsidP="00B5142C">
            <w:pPr>
              <w:pStyle w:val="Tablecolhead"/>
            </w:pPr>
            <w:r w:rsidRPr="00BA4FE4">
              <w:t xml:space="preserve">Percentage </w:t>
            </w:r>
            <w:r w:rsidR="00B5142C">
              <w:t>p</w:t>
            </w:r>
            <w:r w:rsidR="004A0A8C">
              <w:t xml:space="preserve">oint </w:t>
            </w:r>
            <w:r w:rsidR="00B5142C">
              <w:t>c</w:t>
            </w:r>
            <w:r w:rsidR="004A0A8C">
              <w:t>hange 2021</w:t>
            </w:r>
            <w:r w:rsidR="004737BD">
              <w:t>-2025</w:t>
            </w:r>
          </w:p>
        </w:tc>
      </w:tr>
      <w:tr w:rsidR="00335A9C" w:rsidRPr="00BA4FE4" w14:paraId="220E6F79" w14:textId="77777777" w:rsidTr="00834D3A">
        <w:tc>
          <w:tcPr>
            <w:tcW w:w="3005" w:type="dxa"/>
            <w:hideMark/>
          </w:tcPr>
          <w:p w14:paraId="627F9360" w14:textId="653EA2A8" w:rsidR="00335A9C" w:rsidRPr="00BA4FE4" w:rsidRDefault="006104BA" w:rsidP="00B5142C">
            <w:pPr>
              <w:pStyle w:val="Tabletext"/>
            </w:pPr>
            <w:r>
              <w:t>Non-Indigenous</w:t>
            </w:r>
            <w:r w:rsidR="00335A9C" w:rsidRPr="00BA4FE4">
              <w:t xml:space="preserve"> women vs non-</w:t>
            </w:r>
            <w:r>
              <w:t>Indigenous</w:t>
            </w:r>
            <w:r w:rsidR="00335A9C" w:rsidRPr="00BA4FE4">
              <w:t xml:space="preserve"> men</w:t>
            </w:r>
            <w:r>
              <w:t xml:space="preserve"> </w:t>
            </w:r>
          </w:p>
        </w:tc>
        <w:tc>
          <w:tcPr>
            <w:tcW w:w="1573" w:type="dxa"/>
          </w:tcPr>
          <w:p w14:paraId="5345A3CA" w14:textId="6C253F80" w:rsidR="00335A9C" w:rsidRPr="00BA4FE4" w:rsidRDefault="009844E4" w:rsidP="00B5142C">
            <w:pPr>
              <w:pStyle w:val="Tabletext"/>
            </w:pPr>
            <w:r>
              <w:t>18.7%</w:t>
            </w:r>
          </w:p>
        </w:tc>
        <w:tc>
          <w:tcPr>
            <w:tcW w:w="1573" w:type="dxa"/>
          </w:tcPr>
          <w:p w14:paraId="31A95506" w14:textId="7713A333" w:rsidR="00335A9C" w:rsidRPr="00BA4FE4" w:rsidRDefault="009844E4" w:rsidP="00B5142C">
            <w:pPr>
              <w:pStyle w:val="Tabletext"/>
            </w:pPr>
            <w:r>
              <w:t>18.0%</w:t>
            </w:r>
          </w:p>
        </w:tc>
        <w:tc>
          <w:tcPr>
            <w:tcW w:w="1573" w:type="dxa"/>
          </w:tcPr>
          <w:p w14:paraId="482F9C73" w14:textId="1B646B6B" w:rsidR="00335A9C" w:rsidRPr="00BA4FE4" w:rsidRDefault="009844E4" w:rsidP="00B5142C">
            <w:pPr>
              <w:pStyle w:val="Tabletext"/>
            </w:pPr>
            <w:r>
              <w:t>15.0%</w:t>
            </w:r>
          </w:p>
        </w:tc>
        <w:tc>
          <w:tcPr>
            <w:tcW w:w="1574" w:type="dxa"/>
          </w:tcPr>
          <w:p w14:paraId="6591B660" w14:textId="3AB4A7D5" w:rsidR="00335A9C" w:rsidRPr="00BA4FE4" w:rsidRDefault="009844E4" w:rsidP="00B5142C">
            <w:pPr>
              <w:pStyle w:val="Tabletext"/>
            </w:pPr>
            <w:r>
              <w:t>-3.7</w:t>
            </w:r>
            <w:r w:rsidR="000F23E6">
              <w:t>pp</w:t>
            </w:r>
          </w:p>
        </w:tc>
      </w:tr>
      <w:tr w:rsidR="00335A9C" w:rsidRPr="00BA4FE4" w14:paraId="4B757EE7" w14:textId="77777777" w:rsidTr="00834D3A">
        <w:tc>
          <w:tcPr>
            <w:tcW w:w="3005" w:type="dxa"/>
            <w:hideMark/>
          </w:tcPr>
          <w:p w14:paraId="1ED72C55" w14:textId="2EF30583" w:rsidR="00335A9C" w:rsidRPr="00BA4FE4" w:rsidRDefault="0094038B" w:rsidP="00B5142C">
            <w:pPr>
              <w:pStyle w:val="Tabletext"/>
            </w:pPr>
            <w:r>
              <w:t>First Nations women v</w:t>
            </w:r>
            <w:r w:rsidR="00F862AA">
              <w:t>s</w:t>
            </w:r>
            <w:r>
              <w:t xml:space="preserve"> </w:t>
            </w:r>
            <w:r w:rsidR="00D6155F">
              <w:t>First Nations men</w:t>
            </w:r>
          </w:p>
        </w:tc>
        <w:tc>
          <w:tcPr>
            <w:tcW w:w="1573" w:type="dxa"/>
          </w:tcPr>
          <w:p w14:paraId="3FCC7545" w14:textId="3398F14D" w:rsidR="00335A9C" w:rsidRPr="00BA4FE4" w:rsidRDefault="00DC4AAA" w:rsidP="00B5142C">
            <w:pPr>
              <w:pStyle w:val="Tabletext"/>
            </w:pPr>
            <w:r>
              <w:t>11.3%</w:t>
            </w:r>
          </w:p>
        </w:tc>
        <w:tc>
          <w:tcPr>
            <w:tcW w:w="1573" w:type="dxa"/>
          </w:tcPr>
          <w:p w14:paraId="21BBC158" w14:textId="5698D119" w:rsidR="00335A9C" w:rsidRPr="00BA4FE4" w:rsidRDefault="00DC4AAA" w:rsidP="00B5142C">
            <w:pPr>
              <w:pStyle w:val="Tabletext"/>
            </w:pPr>
            <w:r>
              <w:t>15.9%</w:t>
            </w:r>
          </w:p>
        </w:tc>
        <w:tc>
          <w:tcPr>
            <w:tcW w:w="1573" w:type="dxa"/>
          </w:tcPr>
          <w:p w14:paraId="3AF50850" w14:textId="37BD98CE" w:rsidR="00335A9C" w:rsidRPr="00BA4FE4" w:rsidRDefault="00DC4AAA" w:rsidP="00B5142C">
            <w:pPr>
              <w:pStyle w:val="Tabletext"/>
            </w:pPr>
            <w:r>
              <w:t>9.3</w:t>
            </w:r>
            <w:r w:rsidR="00CD5E4B">
              <w:t>%</w:t>
            </w:r>
          </w:p>
        </w:tc>
        <w:tc>
          <w:tcPr>
            <w:tcW w:w="1574" w:type="dxa"/>
          </w:tcPr>
          <w:p w14:paraId="654CB981" w14:textId="44724B65" w:rsidR="00335A9C" w:rsidRPr="00BA4FE4" w:rsidRDefault="00BE477A" w:rsidP="00B5142C">
            <w:pPr>
              <w:pStyle w:val="Tabletext"/>
            </w:pPr>
            <w:r>
              <w:t>-2.0</w:t>
            </w:r>
            <w:r w:rsidR="000F23E6">
              <w:t>pp</w:t>
            </w:r>
          </w:p>
        </w:tc>
      </w:tr>
      <w:tr w:rsidR="1E56CFDD" w14:paraId="24D2B678" w14:textId="77777777" w:rsidTr="1E56CFDD">
        <w:tc>
          <w:tcPr>
            <w:tcW w:w="3005" w:type="dxa"/>
            <w:hideMark/>
          </w:tcPr>
          <w:p w14:paraId="44D2BF3E" w14:textId="3C273D72" w:rsidR="00335A9C" w:rsidRDefault="00764CFB" w:rsidP="1E56CFDD">
            <w:pPr>
              <w:pStyle w:val="Tabletext"/>
            </w:pPr>
            <w:r>
              <w:t>First Nations men v</w:t>
            </w:r>
            <w:r w:rsidR="00F862AA">
              <w:t>s</w:t>
            </w:r>
            <w:r>
              <w:t xml:space="preserve"> </w:t>
            </w:r>
            <w:r w:rsidR="00D56976">
              <w:t>non-Indigenous men</w:t>
            </w:r>
          </w:p>
        </w:tc>
        <w:tc>
          <w:tcPr>
            <w:tcW w:w="1573" w:type="dxa"/>
          </w:tcPr>
          <w:p w14:paraId="7D752742" w14:textId="5AF0BEAD" w:rsidR="0013616A" w:rsidRDefault="00233A45" w:rsidP="1E56CFDD">
            <w:pPr>
              <w:pStyle w:val="Tabletext"/>
            </w:pPr>
            <w:r>
              <w:t>16.</w:t>
            </w:r>
            <w:r w:rsidR="0013616A">
              <w:t>6</w:t>
            </w:r>
            <w:r w:rsidR="00CD5E4B">
              <w:t>%</w:t>
            </w:r>
          </w:p>
        </w:tc>
        <w:tc>
          <w:tcPr>
            <w:tcW w:w="1573" w:type="dxa"/>
          </w:tcPr>
          <w:p w14:paraId="23272517" w14:textId="6ADCC4BA" w:rsidR="0013616A" w:rsidRDefault="00233A45" w:rsidP="1E56CFDD">
            <w:pPr>
              <w:pStyle w:val="Tabletext"/>
            </w:pPr>
            <w:r>
              <w:t>12.</w:t>
            </w:r>
            <w:r w:rsidR="0013616A">
              <w:t>7</w:t>
            </w:r>
            <w:r w:rsidR="00CD5E4B">
              <w:t>%</w:t>
            </w:r>
          </w:p>
        </w:tc>
        <w:tc>
          <w:tcPr>
            <w:tcW w:w="1573" w:type="dxa"/>
          </w:tcPr>
          <w:p w14:paraId="45D770F9" w14:textId="6D54A128" w:rsidR="0013616A" w:rsidRDefault="00233A45" w:rsidP="1E56CFDD">
            <w:pPr>
              <w:pStyle w:val="Tabletext"/>
            </w:pPr>
            <w:r>
              <w:t>17.1%</w:t>
            </w:r>
          </w:p>
        </w:tc>
        <w:tc>
          <w:tcPr>
            <w:tcW w:w="1574" w:type="dxa"/>
          </w:tcPr>
          <w:p w14:paraId="74CF3C3C" w14:textId="36DEAE87" w:rsidR="0013616A" w:rsidRDefault="009F0CFC" w:rsidP="1E56CFDD">
            <w:pPr>
              <w:pStyle w:val="Tabletext"/>
            </w:pPr>
            <w:r>
              <w:t>+</w:t>
            </w:r>
            <w:r w:rsidR="002B62EF">
              <w:t>0.6</w:t>
            </w:r>
            <w:r w:rsidR="000F23E6">
              <w:t>pp</w:t>
            </w:r>
          </w:p>
        </w:tc>
      </w:tr>
      <w:tr w:rsidR="00335A9C" w:rsidRPr="00BA4FE4" w14:paraId="2E3C7CE5" w14:textId="77777777" w:rsidTr="00834D3A">
        <w:tc>
          <w:tcPr>
            <w:tcW w:w="3005" w:type="dxa"/>
            <w:hideMark/>
          </w:tcPr>
          <w:p w14:paraId="7592331D" w14:textId="486D037F" w:rsidR="00335A9C" w:rsidRPr="00BA4FE4" w:rsidRDefault="00D56976" w:rsidP="00B5142C">
            <w:pPr>
              <w:pStyle w:val="Tabletext"/>
            </w:pPr>
            <w:r>
              <w:t>First Nations women v</w:t>
            </w:r>
            <w:r w:rsidR="00F862AA">
              <w:t>s</w:t>
            </w:r>
            <w:r>
              <w:t xml:space="preserve"> non-Indigenous women</w:t>
            </w:r>
          </w:p>
        </w:tc>
        <w:tc>
          <w:tcPr>
            <w:tcW w:w="1573" w:type="dxa"/>
          </w:tcPr>
          <w:p w14:paraId="04BFDF84" w14:textId="5D4E5F80" w:rsidR="00335A9C" w:rsidRPr="00BA4FE4" w:rsidRDefault="001F2E25" w:rsidP="00B5142C">
            <w:pPr>
              <w:pStyle w:val="Tabletext"/>
            </w:pPr>
            <w:r>
              <w:t>9</w:t>
            </w:r>
            <w:r w:rsidR="004E33B5">
              <w:t>.0</w:t>
            </w:r>
            <w:r w:rsidR="00CD5E4B">
              <w:t>%</w:t>
            </w:r>
          </w:p>
        </w:tc>
        <w:tc>
          <w:tcPr>
            <w:tcW w:w="1573" w:type="dxa"/>
          </w:tcPr>
          <w:p w14:paraId="4FEE87B8" w14:textId="2615B222" w:rsidR="00335A9C" w:rsidRPr="00BA4FE4" w:rsidRDefault="00790DD8" w:rsidP="00B5142C">
            <w:pPr>
              <w:pStyle w:val="Tabletext"/>
            </w:pPr>
            <w:r>
              <w:t>10.5%</w:t>
            </w:r>
          </w:p>
        </w:tc>
        <w:tc>
          <w:tcPr>
            <w:tcW w:w="1573" w:type="dxa"/>
          </w:tcPr>
          <w:p w14:paraId="0CD9839A" w14:textId="6D0FF1AA" w:rsidR="00335A9C" w:rsidRPr="00BA4FE4" w:rsidRDefault="00790DD8" w:rsidP="00B5142C">
            <w:pPr>
              <w:pStyle w:val="Tabletext"/>
            </w:pPr>
            <w:r>
              <w:t>11.5%</w:t>
            </w:r>
          </w:p>
        </w:tc>
        <w:tc>
          <w:tcPr>
            <w:tcW w:w="1574" w:type="dxa"/>
          </w:tcPr>
          <w:p w14:paraId="0F9A51B0" w14:textId="0244A997" w:rsidR="00335A9C" w:rsidRPr="00BA4FE4" w:rsidRDefault="009F0CFC" w:rsidP="00B5142C">
            <w:pPr>
              <w:pStyle w:val="Tabletext"/>
            </w:pPr>
            <w:r>
              <w:t>+</w:t>
            </w:r>
            <w:r w:rsidR="00790DD8">
              <w:t>2.6</w:t>
            </w:r>
            <w:r w:rsidR="000F23E6">
              <w:t>pp</w:t>
            </w:r>
          </w:p>
        </w:tc>
      </w:tr>
      <w:tr w:rsidR="00335A9C" w:rsidRPr="00BA4FE4" w14:paraId="7FAB8300" w14:textId="77777777" w:rsidTr="00834D3A">
        <w:tc>
          <w:tcPr>
            <w:tcW w:w="3005" w:type="dxa"/>
            <w:hideMark/>
          </w:tcPr>
          <w:p w14:paraId="3AF2FCEB" w14:textId="192C0B1C" w:rsidR="00335A9C" w:rsidRPr="00BA4FE4" w:rsidRDefault="004452E0" w:rsidP="00B5142C">
            <w:pPr>
              <w:pStyle w:val="Tabletext"/>
            </w:pPr>
            <w:r>
              <w:t>Non-Indigenous women v</w:t>
            </w:r>
            <w:r w:rsidR="00F862AA">
              <w:t>s</w:t>
            </w:r>
            <w:r>
              <w:t xml:space="preserve"> First Nations men</w:t>
            </w:r>
          </w:p>
        </w:tc>
        <w:tc>
          <w:tcPr>
            <w:tcW w:w="1573" w:type="dxa"/>
          </w:tcPr>
          <w:p w14:paraId="16DDA96D" w14:textId="10F68DB6" w:rsidR="00335A9C" w:rsidRPr="00BA4FE4" w:rsidRDefault="00763C43" w:rsidP="00B5142C">
            <w:pPr>
              <w:pStyle w:val="Tabletext"/>
            </w:pPr>
            <w:r>
              <w:t>2.6%</w:t>
            </w:r>
          </w:p>
        </w:tc>
        <w:tc>
          <w:tcPr>
            <w:tcW w:w="1573" w:type="dxa"/>
          </w:tcPr>
          <w:p w14:paraId="50B97D35" w14:textId="1B4C485C" w:rsidR="00335A9C" w:rsidRPr="00BA4FE4" w:rsidRDefault="00640F39" w:rsidP="00B5142C">
            <w:pPr>
              <w:pStyle w:val="Tabletext"/>
            </w:pPr>
            <w:r>
              <w:t>6.0%</w:t>
            </w:r>
          </w:p>
        </w:tc>
        <w:tc>
          <w:tcPr>
            <w:tcW w:w="1573" w:type="dxa"/>
          </w:tcPr>
          <w:p w14:paraId="77054673" w14:textId="006D6D00" w:rsidR="00335A9C" w:rsidRPr="00BA4FE4" w:rsidRDefault="00640F39" w:rsidP="00B5142C">
            <w:pPr>
              <w:pStyle w:val="Tabletext"/>
            </w:pPr>
            <w:r>
              <w:t>-2.6%</w:t>
            </w:r>
          </w:p>
        </w:tc>
        <w:tc>
          <w:tcPr>
            <w:tcW w:w="1574" w:type="dxa"/>
          </w:tcPr>
          <w:p w14:paraId="206C8EB5" w14:textId="2A80638C" w:rsidR="00335A9C" w:rsidRPr="00BA4FE4" w:rsidRDefault="00B43746" w:rsidP="00B5142C">
            <w:pPr>
              <w:pStyle w:val="Tabletext"/>
            </w:pPr>
            <w:r>
              <w:t>-5.1</w:t>
            </w:r>
            <w:r w:rsidR="000F23E6">
              <w:t>pp</w:t>
            </w:r>
          </w:p>
        </w:tc>
      </w:tr>
      <w:tr w:rsidR="00335A9C" w:rsidRPr="00BA4FE4" w14:paraId="7B6DDCF8" w14:textId="77777777" w:rsidTr="00834D3A">
        <w:tc>
          <w:tcPr>
            <w:tcW w:w="3005" w:type="dxa"/>
            <w:hideMark/>
          </w:tcPr>
          <w:p w14:paraId="71CDA19D" w14:textId="49B30132" w:rsidR="00335A9C" w:rsidRPr="00BA4FE4" w:rsidRDefault="008F4DD2" w:rsidP="00B5142C">
            <w:pPr>
              <w:pStyle w:val="Tabletext"/>
            </w:pPr>
            <w:r>
              <w:t>First Nations women v</w:t>
            </w:r>
            <w:r w:rsidR="00F862AA">
              <w:t>s</w:t>
            </w:r>
            <w:r>
              <w:t xml:space="preserve"> non-Indigenous men </w:t>
            </w:r>
          </w:p>
        </w:tc>
        <w:tc>
          <w:tcPr>
            <w:tcW w:w="1573" w:type="dxa"/>
          </w:tcPr>
          <w:p w14:paraId="78BE05BC" w14:textId="3164E78C" w:rsidR="00335A9C" w:rsidRPr="00BA4FE4" w:rsidRDefault="000E2099" w:rsidP="00B5142C">
            <w:pPr>
              <w:pStyle w:val="Tabletext"/>
            </w:pPr>
            <w:r>
              <w:t>26.0%</w:t>
            </w:r>
          </w:p>
        </w:tc>
        <w:tc>
          <w:tcPr>
            <w:tcW w:w="1573" w:type="dxa"/>
          </w:tcPr>
          <w:p w14:paraId="2CEEE752" w14:textId="1776B372" w:rsidR="00335A9C" w:rsidRPr="00BA4FE4" w:rsidRDefault="000E2099" w:rsidP="00B5142C">
            <w:pPr>
              <w:pStyle w:val="Tabletext"/>
            </w:pPr>
            <w:r>
              <w:t>26.5%</w:t>
            </w:r>
          </w:p>
        </w:tc>
        <w:tc>
          <w:tcPr>
            <w:tcW w:w="1573" w:type="dxa"/>
          </w:tcPr>
          <w:p w14:paraId="642D0F86" w14:textId="12817361" w:rsidR="00335A9C" w:rsidRPr="00BA4FE4" w:rsidRDefault="000E2099" w:rsidP="00B5142C">
            <w:pPr>
              <w:pStyle w:val="Tabletext"/>
            </w:pPr>
            <w:r>
              <w:t>24.8%</w:t>
            </w:r>
          </w:p>
        </w:tc>
        <w:tc>
          <w:tcPr>
            <w:tcW w:w="1574" w:type="dxa"/>
          </w:tcPr>
          <w:p w14:paraId="2FB9869C" w14:textId="73A99C7F" w:rsidR="00335A9C" w:rsidRPr="00BA4FE4" w:rsidRDefault="000E2099" w:rsidP="00B5142C">
            <w:pPr>
              <w:pStyle w:val="Tabletext"/>
            </w:pPr>
            <w:r>
              <w:t>-1.2</w:t>
            </w:r>
            <w:r w:rsidR="000F23E6">
              <w:t>pp</w:t>
            </w:r>
          </w:p>
        </w:tc>
      </w:tr>
    </w:tbl>
    <w:p w14:paraId="549A4BE6" w14:textId="4A640B71" w:rsidR="00D46197" w:rsidRPr="00C27278" w:rsidRDefault="00566F0E" w:rsidP="00D46197">
      <w:pPr>
        <w:pStyle w:val="Tablefigurenote"/>
      </w:pPr>
      <w:r w:rsidRPr="006C41AA">
        <w:t>Source: People matter survey data</w:t>
      </w:r>
      <w:r w:rsidR="00921ECA" w:rsidRPr="006C41AA">
        <w:t>, 2021, 2023 and 2025.</w:t>
      </w:r>
      <w:r w:rsidR="00C62866">
        <w:t xml:space="preserve"> </w:t>
      </w:r>
      <w:r w:rsidR="00C62866" w:rsidRPr="0045737D">
        <w:t>Workplace gender audit workforce data, 2021, 2023 and 2025</w:t>
      </w:r>
      <w:r w:rsidR="00C62866">
        <w:t>.</w:t>
      </w:r>
    </w:p>
    <w:p w14:paraId="4B3940BF" w14:textId="04EB950F" w:rsidR="004C6867" w:rsidRPr="00BA4FE4" w:rsidRDefault="004C6867" w:rsidP="004C6867">
      <w:pPr>
        <w:pStyle w:val="Tablefigurenote"/>
      </w:pPr>
      <w:r>
        <w:t xml:space="preserve">Notes: </w:t>
      </w:r>
      <w:r w:rsidRPr="004A49CE">
        <w:t xml:space="preserve">Table 3.4 presents </w:t>
      </w:r>
      <w:r w:rsidR="00752C32">
        <w:t>indicative</w:t>
      </w:r>
      <w:r w:rsidR="00752C32" w:rsidRPr="004A49CE">
        <w:t xml:space="preserve"> </w:t>
      </w:r>
      <w:r w:rsidRPr="004A49CE">
        <w:t>pay gaps. These figures are drawn from People Matter survey data rather than payroll records, and some comparator groups are based on small numbers of respondents. They should be read as indicative of broad patterns rather than precise measures, and they are not directly comparable with the payroll-based industry and occupational figures in Tables 3.</w:t>
      </w:r>
      <w:r w:rsidR="004D5CBC">
        <w:t xml:space="preserve">1, </w:t>
      </w:r>
      <w:r w:rsidRPr="004A49CE">
        <w:t>3.2 and 3.3. The Commission has not assigned progress ratings to these measures, given the data limitations.</w:t>
      </w:r>
      <w:r w:rsidR="00A16A74">
        <w:t xml:space="preserve"> </w:t>
      </w:r>
      <w:r w:rsidR="00A16A74" w:rsidRPr="00AE1037">
        <w:t xml:space="preserve">The </w:t>
      </w:r>
      <w:r w:rsidR="00A16A74">
        <w:t xml:space="preserve">percentage point </w:t>
      </w:r>
      <w:r w:rsidR="00A16A74" w:rsidRPr="00AE1037">
        <w:t>change column may not always reflect the exact difference between years due to rounding</w:t>
      </w:r>
      <w:r w:rsidR="00A16A74">
        <w:t>.</w:t>
      </w:r>
    </w:p>
    <w:p w14:paraId="33592D09" w14:textId="4988E814" w:rsidR="004966CC" w:rsidRDefault="004966CC" w:rsidP="004966CC">
      <w:pPr>
        <w:pStyle w:val="Tablecaption"/>
      </w:pPr>
      <w:r w:rsidRPr="00BA4FE4">
        <w:rPr>
          <w:bCs/>
        </w:rPr>
        <w:t>Table 3.</w:t>
      </w:r>
      <w:r w:rsidR="00022A6E">
        <w:rPr>
          <w:bCs/>
        </w:rPr>
        <w:t>5</w:t>
      </w:r>
      <w:r w:rsidRPr="00BA4FE4">
        <w:rPr>
          <w:bCs/>
        </w:rPr>
        <w:t>:</w:t>
      </w:r>
      <w:r w:rsidRPr="00BA4FE4">
        <w:t xml:space="preserve"> </w:t>
      </w:r>
      <w:r>
        <w:t>Indicative mean total remuneration pay</w:t>
      </w:r>
      <w:r w:rsidRPr="00BA4FE4">
        <w:t xml:space="preserve"> </w:t>
      </w:r>
      <w:r>
        <w:t>g</w:t>
      </w:r>
      <w:r w:rsidRPr="00BA4FE4">
        <w:t xml:space="preserve">aps </w:t>
      </w:r>
      <w:r>
        <w:t>for people</w:t>
      </w:r>
      <w:r w:rsidR="00AF4174">
        <w:t xml:space="preserve"> with disability</w:t>
      </w:r>
      <w:r>
        <w:t xml:space="preserve"> </w:t>
      </w:r>
    </w:p>
    <w:tbl>
      <w:tblPr>
        <w:tblStyle w:val="CGEPStable"/>
        <w:tblW w:w="0" w:type="auto"/>
        <w:tblLayout w:type="fixed"/>
        <w:tblLook w:val="04A0" w:firstRow="1" w:lastRow="0" w:firstColumn="1" w:lastColumn="0" w:noHBand="0" w:noVBand="1"/>
      </w:tblPr>
      <w:tblGrid>
        <w:gridCol w:w="3005"/>
        <w:gridCol w:w="1573"/>
        <w:gridCol w:w="1573"/>
        <w:gridCol w:w="1573"/>
        <w:gridCol w:w="1574"/>
      </w:tblGrid>
      <w:tr w:rsidR="007E0116" w:rsidRPr="00BA4FE4" w14:paraId="5A5ADC8A" w14:textId="77777777">
        <w:trPr>
          <w:cnfStyle w:val="100000000000" w:firstRow="1" w:lastRow="0" w:firstColumn="0" w:lastColumn="0" w:oddVBand="0" w:evenVBand="0" w:oddHBand="0" w:evenHBand="0" w:firstRowFirstColumn="0" w:firstRowLastColumn="0" w:lastRowFirstColumn="0" w:lastRowLastColumn="0"/>
        </w:trPr>
        <w:tc>
          <w:tcPr>
            <w:tcW w:w="3005" w:type="dxa"/>
            <w:hideMark/>
          </w:tcPr>
          <w:p w14:paraId="542AC48A" w14:textId="77777777" w:rsidR="007E0116" w:rsidRPr="00BA4FE4" w:rsidRDefault="007E0116">
            <w:pPr>
              <w:pStyle w:val="Tablecolhead"/>
            </w:pPr>
            <w:r w:rsidRPr="00BA4FE4">
              <w:t>Comparator groups</w:t>
            </w:r>
          </w:p>
        </w:tc>
        <w:tc>
          <w:tcPr>
            <w:tcW w:w="1573" w:type="dxa"/>
            <w:hideMark/>
          </w:tcPr>
          <w:p w14:paraId="07C2CDF5" w14:textId="34A8F9A2" w:rsidR="007E0116" w:rsidRPr="00BA4FE4" w:rsidRDefault="007E0116">
            <w:pPr>
              <w:pStyle w:val="Tablecolhead"/>
            </w:pPr>
            <w:r>
              <w:t>Indicative m</w:t>
            </w:r>
            <w:r w:rsidRPr="00BA4FE4">
              <w:t xml:space="preserve">ean </w:t>
            </w:r>
            <w:r>
              <w:t>pay</w:t>
            </w:r>
            <w:r w:rsidRPr="00BA4FE4">
              <w:t xml:space="preserve"> </w:t>
            </w:r>
            <w:r>
              <w:t>g</w:t>
            </w:r>
            <w:r w:rsidRPr="00BA4FE4">
              <w:t>ap</w:t>
            </w:r>
            <w:r>
              <w:t xml:space="preserve"> 2021</w:t>
            </w:r>
          </w:p>
        </w:tc>
        <w:tc>
          <w:tcPr>
            <w:tcW w:w="1573" w:type="dxa"/>
          </w:tcPr>
          <w:p w14:paraId="5763F217" w14:textId="582F8CA1" w:rsidR="007E0116" w:rsidRPr="00BA4FE4" w:rsidRDefault="007E0116">
            <w:pPr>
              <w:pStyle w:val="Tablecolhead"/>
            </w:pPr>
            <w:r>
              <w:t>Indicative m</w:t>
            </w:r>
            <w:r w:rsidRPr="00BA4FE4">
              <w:t>ean</w:t>
            </w:r>
            <w:r>
              <w:t xml:space="preserve"> pay g</w:t>
            </w:r>
            <w:r w:rsidRPr="00BA4FE4">
              <w:t>ap</w:t>
            </w:r>
            <w:r>
              <w:t xml:space="preserve"> 2023</w:t>
            </w:r>
          </w:p>
        </w:tc>
        <w:tc>
          <w:tcPr>
            <w:tcW w:w="1573" w:type="dxa"/>
          </w:tcPr>
          <w:p w14:paraId="304B3E23" w14:textId="4226D13D" w:rsidR="007E0116" w:rsidRPr="00BA4FE4" w:rsidRDefault="007E0116">
            <w:pPr>
              <w:pStyle w:val="Tablecolhead"/>
            </w:pPr>
            <w:r>
              <w:t>Indicative m</w:t>
            </w:r>
            <w:r w:rsidRPr="00BA4FE4">
              <w:t xml:space="preserve">ean </w:t>
            </w:r>
            <w:r>
              <w:t>pay g</w:t>
            </w:r>
            <w:r w:rsidRPr="00BA4FE4">
              <w:t>ap</w:t>
            </w:r>
            <w:r>
              <w:t xml:space="preserve"> 2025</w:t>
            </w:r>
            <w:r w:rsidRPr="00BA4FE4">
              <w:t xml:space="preserve"> </w:t>
            </w:r>
          </w:p>
        </w:tc>
        <w:tc>
          <w:tcPr>
            <w:tcW w:w="1574" w:type="dxa"/>
            <w:hideMark/>
          </w:tcPr>
          <w:p w14:paraId="519BA020" w14:textId="77777777" w:rsidR="007E0116" w:rsidRPr="00BA4FE4" w:rsidRDefault="007E0116">
            <w:pPr>
              <w:pStyle w:val="Tablecolhead"/>
            </w:pPr>
            <w:r w:rsidRPr="00BA4FE4">
              <w:t xml:space="preserve">Percentage </w:t>
            </w:r>
            <w:r>
              <w:t>point change 2021-2025</w:t>
            </w:r>
          </w:p>
        </w:tc>
      </w:tr>
      <w:tr w:rsidR="002406AD" w:rsidRPr="00BA4FE4" w14:paraId="6898A26B" w14:textId="77777777">
        <w:tc>
          <w:tcPr>
            <w:tcW w:w="3005" w:type="dxa"/>
          </w:tcPr>
          <w:p w14:paraId="686F67E9" w14:textId="043D2698" w:rsidR="002406AD" w:rsidRPr="002406AD" w:rsidRDefault="002406AD">
            <w:pPr>
              <w:pStyle w:val="Tablecolhead"/>
              <w:rPr>
                <w:b w:val="0"/>
                <w:bCs/>
                <w:color w:val="auto"/>
              </w:rPr>
            </w:pPr>
            <w:r w:rsidRPr="002406AD">
              <w:rPr>
                <w:b w:val="0"/>
                <w:bCs/>
                <w:color w:val="auto"/>
              </w:rPr>
              <w:t>Women without disabili</w:t>
            </w:r>
            <w:r w:rsidR="00DD23CC">
              <w:rPr>
                <w:b w:val="0"/>
                <w:bCs/>
                <w:color w:val="auto"/>
              </w:rPr>
              <w:t>ty</w:t>
            </w:r>
            <w:r w:rsidRPr="002406AD">
              <w:rPr>
                <w:b w:val="0"/>
                <w:bCs/>
                <w:color w:val="auto"/>
              </w:rPr>
              <w:t xml:space="preserve"> v</w:t>
            </w:r>
            <w:r w:rsidR="00F862AA">
              <w:rPr>
                <w:b w:val="0"/>
                <w:bCs/>
                <w:color w:val="auto"/>
              </w:rPr>
              <w:t>s</w:t>
            </w:r>
            <w:r w:rsidRPr="002406AD">
              <w:rPr>
                <w:b w:val="0"/>
                <w:bCs/>
                <w:color w:val="auto"/>
              </w:rPr>
              <w:t xml:space="preserve"> men without disabilit</w:t>
            </w:r>
            <w:r w:rsidR="00DD23CC">
              <w:rPr>
                <w:b w:val="0"/>
                <w:bCs/>
                <w:color w:val="auto"/>
              </w:rPr>
              <w:t>y</w:t>
            </w:r>
          </w:p>
        </w:tc>
        <w:tc>
          <w:tcPr>
            <w:tcW w:w="1573" w:type="dxa"/>
          </w:tcPr>
          <w:p w14:paraId="14F23F39" w14:textId="0506565B" w:rsidR="002406AD" w:rsidRPr="002406AD" w:rsidRDefault="0081263D" w:rsidP="00936E1A">
            <w:pPr>
              <w:pStyle w:val="Tablecolhead"/>
              <w:rPr>
                <w:b w:val="0"/>
                <w:bCs/>
                <w:color w:val="auto"/>
              </w:rPr>
            </w:pPr>
            <w:r>
              <w:rPr>
                <w:b w:val="0"/>
                <w:bCs/>
                <w:color w:val="auto"/>
              </w:rPr>
              <w:t>18.9%</w:t>
            </w:r>
          </w:p>
        </w:tc>
        <w:tc>
          <w:tcPr>
            <w:tcW w:w="1573" w:type="dxa"/>
          </w:tcPr>
          <w:p w14:paraId="2C701E90" w14:textId="6F7EEC30" w:rsidR="002406AD" w:rsidRPr="002406AD" w:rsidRDefault="00B92B17">
            <w:pPr>
              <w:pStyle w:val="Tablecolhead"/>
              <w:rPr>
                <w:b w:val="0"/>
                <w:bCs/>
                <w:color w:val="auto"/>
              </w:rPr>
            </w:pPr>
            <w:r>
              <w:rPr>
                <w:b w:val="0"/>
                <w:bCs/>
                <w:color w:val="auto"/>
              </w:rPr>
              <w:t>18.4%</w:t>
            </w:r>
          </w:p>
        </w:tc>
        <w:tc>
          <w:tcPr>
            <w:tcW w:w="1573" w:type="dxa"/>
          </w:tcPr>
          <w:p w14:paraId="64513E45" w14:textId="3334F918" w:rsidR="002406AD" w:rsidRPr="002406AD" w:rsidRDefault="009B0AAF">
            <w:pPr>
              <w:pStyle w:val="Tablecolhead"/>
              <w:rPr>
                <w:b w:val="0"/>
                <w:bCs/>
                <w:color w:val="auto"/>
              </w:rPr>
            </w:pPr>
            <w:r>
              <w:rPr>
                <w:b w:val="0"/>
                <w:bCs/>
                <w:color w:val="auto"/>
              </w:rPr>
              <w:t>15.2%</w:t>
            </w:r>
          </w:p>
        </w:tc>
        <w:tc>
          <w:tcPr>
            <w:tcW w:w="1574" w:type="dxa"/>
          </w:tcPr>
          <w:p w14:paraId="1BCED39B" w14:textId="728CC25D" w:rsidR="002406AD" w:rsidRPr="002406AD" w:rsidRDefault="009B0AAF">
            <w:pPr>
              <w:pStyle w:val="Tablecolhead"/>
              <w:rPr>
                <w:b w:val="0"/>
                <w:bCs/>
                <w:color w:val="auto"/>
              </w:rPr>
            </w:pPr>
            <w:r>
              <w:rPr>
                <w:b w:val="0"/>
                <w:bCs/>
                <w:color w:val="auto"/>
              </w:rPr>
              <w:t>-3.6</w:t>
            </w:r>
            <w:r w:rsidR="000F23E6">
              <w:rPr>
                <w:b w:val="0"/>
                <w:bCs/>
                <w:color w:val="auto"/>
              </w:rPr>
              <w:t>pp</w:t>
            </w:r>
          </w:p>
        </w:tc>
      </w:tr>
      <w:tr w:rsidR="002406AD" w:rsidRPr="00BA4FE4" w14:paraId="402C6A73" w14:textId="77777777">
        <w:tc>
          <w:tcPr>
            <w:tcW w:w="3005" w:type="dxa"/>
          </w:tcPr>
          <w:p w14:paraId="15FB4664" w14:textId="3DB57627" w:rsidR="002406AD" w:rsidRPr="002406AD" w:rsidRDefault="002406AD">
            <w:pPr>
              <w:pStyle w:val="Tablecolhead"/>
              <w:rPr>
                <w:b w:val="0"/>
                <w:bCs/>
                <w:color w:val="auto"/>
              </w:rPr>
            </w:pPr>
            <w:r>
              <w:rPr>
                <w:b w:val="0"/>
                <w:bCs/>
                <w:color w:val="auto"/>
              </w:rPr>
              <w:t xml:space="preserve">Women with </w:t>
            </w:r>
            <w:r w:rsidR="00DD23CC" w:rsidRPr="002406AD">
              <w:rPr>
                <w:b w:val="0"/>
                <w:bCs/>
                <w:color w:val="auto"/>
              </w:rPr>
              <w:t>disabili</w:t>
            </w:r>
            <w:r w:rsidR="00DD23CC">
              <w:rPr>
                <w:b w:val="0"/>
                <w:bCs/>
                <w:color w:val="auto"/>
              </w:rPr>
              <w:t>ty</w:t>
            </w:r>
            <w:r w:rsidR="00DD23CC" w:rsidRPr="002406AD">
              <w:rPr>
                <w:b w:val="0"/>
                <w:bCs/>
                <w:color w:val="auto"/>
              </w:rPr>
              <w:t xml:space="preserve"> </w:t>
            </w:r>
            <w:r>
              <w:rPr>
                <w:b w:val="0"/>
                <w:bCs/>
                <w:color w:val="auto"/>
              </w:rPr>
              <w:t>v</w:t>
            </w:r>
            <w:r w:rsidR="00F862AA">
              <w:rPr>
                <w:b w:val="0"/>
                <w:bCs/>
                <w:color w:val="auto"/>
              </w:rPr>
              <w:t xml:space="preserve">s men with </w:t>
            </w:r>
            <w:r w:rsidR="00DD23CC" w:rsidRPr="002406AD">
              <w:rPr>
                <w:b w:val="0"/>
                <w:bCs/>
                <w:color w:val="auto"/>
              </w:rPr>
              <w:t>disabili</w:t>
            </w:r>
            <w:r w:rsidR="00DD23CC">
              <w:rPr>
                <w:b w:val="0"/>
                <w:bCs/>
                <w:color w:val="auto"/>
              </w:rPr>
              <w:t>ty</w:t>
            </w:r>
          </w:p>
        </w:tc>
        <w:tc>
          <w:tcPr>
            <w:tcW w:w="1573" w:type="dxa"/>
          </w:tcPr>
          <w:p w14:paraId="63C83135" w14:textId="5C2ACE94" w:rsidR="002406AD" w:rsidRPr="002406AD" w:rsidRDefault="001A3FB5">
            <w:pPr>
              <w:pStyle w:val="Tablecolhead"/>
              <w:rPr>
                <w:b w:val="0"/>
                <w:bCs/>
                <w:color w:val="auto"/>
              </w:rPr>
            </w:pPr>
            <w:r>
              <w:rPr>
                <w:b w:val="0"/>
                <w:bCs/>
                <w:color w:val="auto"/>
              </w:rPr>
              <w:t>11.5%</w:t>
            </w:r>
          </w:p>
        </w:tc>
        <w:tc>
          <w:tcPr>
            <w:tcW w:w="1573" w:type="dxa"/>
          </w:tcPr>
          <w:p w14:paraId="1214B804" w14:textId="1B994AD6" w:rsidR="002406AD" w:rsidRPr="002406AD" w:rsidRDefault="00DF441F">
            <w:pPr>
              <w:pStyle w:val="Tablecolhead"/>
              <w:rPr>
                <w:b w:val="0"/>
                <w:bCs/>
                <w:color w:val="auto"/>
              </w:rPr>
            </w:pPr>
            <w:r>
              <w:rPr>
                <w:b w:val="0"/>
                <w:bCs/>
                <w:color w:val="auto"/>
              </w:rPr>
              <w:t>10.5%</w:t>
            </w:r>
          </w:p>
        </w:tc>
        <w:tc>
          <w:tcPr>
            <w:tcW w:w="1573" w:type="dxa"/>
          </w:tcPr>
          <w:p w14:paraId="3FE42B4C" w14:textId="59391DAA" w:rsidR="002406AD" w:rsidRPr="002406AD" w:rsidRDefault="00DF441F">
            <w:pPr>
              <w:pStyle w:val="Tablecolhead"/>
              <w:rPr>
                <w:b w:val="0"/>
                <w:bCs/>
                <w:color w:val="auto"/>
              </w:rPr>
            </w:pPr>
            <w:r>
              <w:rPr>
                <w:b w:val="0"/>
                <w:bCs/>
                <w:color w:val="auto"/>
              </w:rPr>
              <w:t>8.9%</w:t>
            </w:r>
          </w:p>
        </w:tc>
        <w:tc>
          <w:tcPr>
            <w:tcW w:w="1574" w:type="dxa"/>
          </w:tcPr>
          <w:p w14:paraId="2F5DE524" w14:textId="23FF1BED" w:rsidR="002406AD" w:rsidRPr="002406AD" w:rsidRDefault="004723F2">
            <w:pPr>
              <w:pStyle w:val="Tablecolhead"/>
              <w:rPr>
                <w:b w:val="0"/>
                <w:bCs/>
                <w:color w:val="auto"/>
              </w:rPr>
            </w:pPr>
            <w:r>
              <w:rPr>
                <w:b w:val="0"/>
                <w:bCs/>
                <w:color w:val="auto"/>
              </w:rPr>
              <w:t>-2.6</w:t>
            </w:r>
            <w:r w:rsidR="000F23E6">
              <w:rPr>
                <w:b w:val="0"/>
                <w:bCs/>
                <w:color w:val="auto"/>
              </w:rPr>
              <w:t>pp</w:t>
            </w:r>
          </w:p>
        </w:tc>
      </w:tr>
      <w:tr w:rsidR="002406AD" w:rsidRPr="00BA4FE4" w14:paraId="53A60EF0" w14:textId="77777777">
        <w:tc>
          <w:tcPr>
            <w:tcW w:w="3005" w:type="dxa"/>
          </w:tcPr>
          <w:p w14:paraId="5D6210F9" w14:textId="01D67338" w:rsidR="002406AD" w:rsidRPr="002406AD" w:rsidRDefault="00F862AA">
            <w:pPr>
              <w:pStyle w:val="Tablecolhead"/>
              <w:rPr>
                <w:b w:val="0"/>
                <w:bCs/>
                <w:color w:val="auto"/>
              </w:rPr>
            </w:pPr>
            <w:r>
              <w:rPr>
                <w:b w:val="0"/>
                <w:bCs/>
                <w:color w:val="auto"/>
              </w:rPr>
              <w:t xml:space="preserve">Men with </w:t>
            </w:r>
            <w:r w:rsidR="00DD23CC" w:rsidRPr="002406AD">
              <w:rPr>
                <w:b w:val="0"/>
                <w:bCs/>
                <w:color w:val="auto"/>
              </w:rPr>
              <w:t>disabili</w:t>
            </w:r>
            <w:r w:rsidR="00DD23CC">
              <w:rPr>
                <w:b w:val="0"/>
                <w:bCs/>
                <w:color w:val="auto"/>
              </w:rPr>
              <w:t>ty</w:t>
            </w:r>
            <w:r w:rsidR="00DD23CC" w:rsidRPr="002406AD">
              <w:rPr>
                <w:b w:val="0"/>
                <w:bCs/>
                <w:color w:val="auto"/>
              </w:rPr>
              <w:t xml:space="preserve"> </w:t>
            </w:r>
            <w:r>
              <w:rPr>
                <w:b w:val="0"/>
                <w:bCs/>
                <w:color w:val="auto"/>
              </w:rPr>
              <w:t xml:space="preserve">vs men without </w:t>
            </w:r>
            <w:r w:rsidR="00DD23CC" w:rsidRPr="002406AD">
              <w:rPr>
                <w:b w:val="0"/>
                <w:bCs/>
                <w:color w:val="auto"/>
              </w:rPr>
              <w:t>disabili</w:t>
            </w:r>
            <w:r w:rsidR="00DD23CC">
              <w:rPr>
                <w:b w:val="0"/>
                <w:bCs/>
                <w:color w:val="auto"/>
              </w:rPr>
              <w:t>ty</w:t>
            </w:r>
          </w:p>
        </w:tc>
        <w:tc>
          <w:tcPr>
            <w:tcW w:w="1573" w:type="dxa"/>
          </w:tcPr>
          <w:p w14:paraId="163209F5" w14:textId="0239994E" w:rsidR="002406AD" w:rsidRPr="002406AD" w:rsidRDefault="0066205D">
            <w:pPr>
              <w:pStyle w:val="Tablecolhead"/>
              <w:rPr>
                <w:b w:val="0"/>
                <w:bCs/>
                <w:color w:val="auto"/>
              </w:rPr>
            </w:pPr>
            <w:r>
              <w:rPr>
                <w:b w:val="0"/>
                <w:bCs/>
                <w:color w:val="auto"/>
              </w:rPr>
              <w:t>13.0%</w:t>
            </w:r>
          </w:p>
        </w:tc>
        <w:tc>
          <w:tcPr>
            <w:tcW w:w="1573" w:type="dxa"/>
          </w:tcPr>
          <w:p w14:paraId="18B4CC41" w14:textId="78B0FD81" w:rsidR="002406AD" w:rsidRPr="002406AD" w:rsidRDefault="0066205D">
            <w:pPr>
              <w:pStyle w:val="Tablecolhead"/>
              <w:rPr>
                <w:b w:val="0"/>
                <w:bCs/>
                <w:color w:val="auto"/>
              </w:rPr>
            </w:pPr>
            <w:r>
              <w:rPr>
                <w:b w:val="0"/>
                <w:bCs/>
                <w:color w:val="auto"/>
              </w:rPr>
              <w:t>12.2%</w:t>
            </w:r>
          </w:p>
        </w:tc>
        <w:tc>
          <w:tcPr>
            <w:tcW w:w="1573" w:type="dxa"/>
          </w:tcPr>
          <w:p w14:paraId="6B0CA1B1" w14:textId="54F0D5CD" w:rsidR="002406AD" w:rsidRPr="002406AD" w:rsidRDefault="0066205D">
            <w:pPr>
              <w:pStyle w:val="Tablecolhead"/>
              <w:rPr>
                <w:b w:val="0"/>
                <w:bCs/>
                <w:color w:val="auto"/>
              </w:rPr>
            </w:pPr>
            <w:r>
              <w:rPr>
                <w:b w:val="0"/>
                <w:bCs/>
                <w:color w:val="auto"/>
              </w:rPr>
              <w:t>10.4%</w:t>
            </w:r>
          </w:p>
        </w:tc>
        <w:tc>
          <w:tcPr>
            <w:tcW w:w="1574" w:type="dxa"/>
          </w:tcPr>
          <w:p w14:paraId="5EA3F976" w14:textId="1A78C8EC" w:rsidR="002406AD" w:rsidRPr="002406AD" w:rsidRDefault="0066205D">
            <w:pPr>
              <w:pStyle w:val="Tablecolhead"/>
              <w:rPr>
                <w:b w:val="0"/>
                <w:bCs/>
                <w:color w:val="auto"/>
              </w:rPr>
            </w:pPr>
            <w:r>
              <w:rPr>
                <w:b w:val="0"/>
                <w:bCs/>
                <w:color w:val="auto"/>
              </w:rPr>
              <w:t>-2.6</w:t>
            </w:r>
            <w:r w:rsidR="000F23E6">
              <w:rPr>
                <w:b w:val="0"/>
                <w:bCs/>
                <w:color w:val="auto"/>
              </w:rPr>
              <w:t>pp</w:t>
            </w:r>
          </w:p>
        </w:tc>
      </w:tr>
      <w:tr w:rsidR="002406AD" w:rsidRPr="00BA4FE4" w14:paraId="137B8655" w14:textId="77777777">
        <w:tc>
          <w:tcPr>
            <w:tcW w:w="3005" w:type="dxa"/>
          </w:tcPr>
          <w:p w14:paraId="3166563B" w14:textId="2D80F0A8" w:rsidR="002406AD" w:rsidRPr="002406AD" w:rsidRDefault="00F862AA">
            <w:pPr>
              <w:pStyle w:val="Tablecolhead"/>
              <w:rPr>
                <w:b w:val="0"/>
                <w:bCs/>
                <w:color w:val="auto"/>
              </w:rPr>
            </w:pPr>
            <w:r>
              <w:rPr>
                <w:b w:val="0"/>
                <w:bCs/>
                <w:color w:val="auto"/>
              </w:rPr>
              <w:t xml:space="preserve">Women with </w:t>
            </w:r>
            <w:r w:rsidR="00DD23CC" w:rsidRPr="002406AD">
              <w:rPr>
                <w:b w:val="0"/>
                <w:bCs/>
                <w:color w:val="auto"/>
              </w:rPr>
              <w:t>disabili</w:t>
            </w:r>
            <w:r w:rsidR="00DD23CC">
              <w:rPr>
                <w:b w:val="0"/>
                <w:bCs/>
                <w:color w:val="auto"/>
              </w:rPr>
              <w:t>ty</w:t>
            </w:r>
            <w:r w:rsidR="00DD23CC" w:rsidRPr="002406AD">
              <w:rPr>
                <w:b w:val="0"/>
                <w:bCs/>
                <w:color w:val="auto"/>
              </w:rPr>
              <w:t xml:space="preserve"> </w:t>
            </w:r>
            <w:r>
              <w:rPr>
                <w:b w:val="0"/>
                <w:bCs/>
                <w:color w:val="auto"/>
              </w:rPr>
              <w:t xml:space="preserve">vs women without </w:t>
            </w:r>
            <w:r w:rsidR="00DD23CC" w:rsidRPr="002406AD">
              <w:rPr>
                <w:b w:val="0"/>
                <w:bCs/>
                <w:color w:val="auto"/>
              </w:rPr>
              <w:t>disabili</w:t>
            </w:r>
            <w:r w:rsidR="00DD23CC">
              <w:rPr>
                <w:b w:val="0"/>
                <w:bCs/>
                <w:color w:val="auto"/>
              </w:rPr>
              <w:t>ty</w:t>
            </w:r>
          </w:p>
        </w:tc>
        <w:tc>
          <w:tcPr>
            <w:tcW w:w="1573" w:type="dxa"/>
          </w:tcPr>
          <w:p w14:paraId="3E06D4F9" w14:textId="50CAA45E" w:rsidR="002406AD" w:rsidRPr="002406AD" w:rsidRDefault="007C216F">
            <w:pPr>
              <w:pStyle w:val="Tablecolhead"/>
              <w:rPr>
                <w:b w:val="0"/>
                <w:bCs/>
                <w:color w:val="auto"/>
              </w:rPr>
            </w:pPr>
            <w:r>
              <w:rPr>
                <w:b w:val="0"/>
                <w:bCs/>
                <w:color w:val="auto"/>
              </w:rPr>
              <w:t>5.1%</w:t>
            </w:r>
          </w:p>
        </w:tc>
        <w:tc>
          <w:tcPr>
            <w:tcW w:w="1573" w:type="dxa"/>
          </w:tcPr>
          <w:p w14:paraId="27252F7F" w14:textId="332B79F5" w:rsidR="002406AD" w:rsidRPr="002406AD" w:rsidRDefault="007C216F">
            <w:pPr>
              <w:pStyle w:val="Tablecolhead"/>
              <w:rPr>
                <w:b w:val="0"/>
                <w:bCs/>
                <w:color w:val="auto"/>
              </w:rPr>
            </w:pPr>
            <w:r>
              <w:rPr>
                <w:b w:val="0"/>
                <w:bCs/>
                <w:color w:val="auto"/>
              </w:rPr>
              <w:t>3.7%</w:t>
            </w:r>
          </w:p>
        </w:tc>
        <w:tc>
          <w:tcPr>
            <w:tcW w:w="1573" w:type="dxa"/>
          </w:tcPr>
          <w:p w14:paraId="589BE936" w14:textId="0F6BD251" w:rsidR="002406AD" w:rsidRPr="002406AD" w:rsidRDefault="007C216F">
            <w:pPr>
              <w:pStyle w:val="Tablecolhead"/>
              <w:rPr>
                <w:b w:val="0"/>
                <w:bCs/>
                <w:color w:val="auto"/>
              </w:rPr>
            </w:pPr>
            <w:r>
              <w:rPr>
                <w:b w:val="0"/>
                <w:bCs/>
                <w:color w:val="auto"/>
              </w:rPr>
              <w:t>3.6%</w:t>
            </w:r>
          </w:p>
        </w:tc>
        <w:tc>
          <w:tcPr>
            <w:tcW w:w="1574" w:type="dxa"/>
          </w:tcPr>
          <w:p w14:paraId="704EA0CB" w14:textId="6A6C8318" w:rsidR="002406AD" w:rsidRPr="002406AD" w:rsidRDefault="007C216F">
            <w:pPr>
              <w:pStyle w:val="Tablecolhead"/>
              <w:rPr>
                <w:b w:val="0"/>
                <w:bCs/>
                <w:color w:val="auto"/>
              </w:rPr>
            </w:pPr>
            <w:r>
              <w:rPr>
                <w:b w:val="0"/>
                <w:bCs/>
                <w:color w:val="auto"/>
              </w:rPr>
              <w:t>-1.5</w:t>
            </w:r>
            <w:r w:rsidR="008926E8">
              <w:rPr>
                <w:b w:val="0"/>
                <w:bCs/>
                <w:color w:val="auto"/>
              </w:rPr>
              <w:t>pp</w:t>
            </w:r>
          </w:p>
        </w:tc>
      </w:tr>
      <w:tr w:rsidR="002406AD" w:rsidRPr="00BA4FE4" w14:paraId="35811A70" w14:textId="77777777" w:rsidTr="00F862AA">
        <w:trPr>
          <w:trHeight w:val="70"/>
        </w:trPr>
        <w:tc>
          <w:tcPr>
            <w:tcW w:w="3005" w:type="dxa"/>
          </w:tcPr>
          <w:p w14:paraId="19B6175B" w14:textId="002FA3D7" w:rsidR="002406AD" w:rsidRPr="002406AD" w:rsidRDefault="00F862AA">
            <w:pPr>
              <w:pStyle w:val="Tablecolhead"/>
              <w:rPr>
                <w:b w:val="0"/>
                <w:bCs/>
                <w:color w:val="auto"/>
              </w:rPr>
            </w:pPr>
            <w:r>
              <w:rPr>
                <w:b w:val="0"/>
                <w:bCs/>
                <w:color w:val="auto"/>
              </w:rPr>
              <w:t xml:space="preserve">Women without </w:t>
            </w:r>
            <w:r w:rsidR="00DD23CC" w:rsidRPr="002406AD">
              <w:rPr>
                <w:b w:val="0"/>
                <w:bCs/>
                <w:color w:val="auto"/>
              </w:rPr>
              <w:t>disabili</w:t>
            </w:r>
            <w:r w:rsidR="00DD23CC">
              <w:rPr>
                <w:b w:val="0"/>
                <w:bCs/>
                <w:color w:val="auto"/>
              </w:rPr>
              <w:t>ty</w:t>
            </w:r>
            <w:r w:rsidR="00DD23CC" w:rsidRPr="002406AD">
              <w:rPr>
                <w:b w:val="0"/>
                <w:bCs/>
                <w:color w:val="auto"/>
              </w:rPr>
              <w:t xml:space="preserve"> </w:t>
            </w:r>
            <w:r>
              <w:rPr>
                <w:b w:val="0"/>
                <w:bCs/>
                <w:color w:val="auto"/>
              </w:rPr>
              <w:t xml:space="preserve">vs men with </w:t>
            </w:r>
            <w:r w:rsidR="00DD23CC" w:rsidRPr="002406AD">
              <w:rPr>
                <w:b w:val="0"/>
                <w:bCs/>
                <w:color w:val="auto"/>
              </w:rPr>
              <w:t>disabili</w:t>
            </w:r>
            <w:r w:rsidR="00DD23CC">
              <w:rPr>
                <w:b w:val="0"/>
                <w:bCs/>
                <w:color w:val="auto"/>
              </w:rPr>
              <w:t>ty</w:t>
            </w:r>
          </w:p>
        </w:tc>
        <w:tc>
          <w:tcPr>
            <w:tcW w:w="1573" w:type="dxa"/>
          </w:tcPr>
          <w:p w14:paraId="79AABF8B" w14:textId="797D4365" w:rsidR="002406AD" w:rsidRPr="002406AD" w:rsidRDefault="008206ED">
            <w:pPr>
              <w:pStyle w:val="Tablecolhead"/>
              <w:rPr>
                <w:b w:val="0"/>
                <w:bCs/>
                <w:color w:val="auto"/>
              </w:rPr>
            </w:pPr>
            <w:r>
              <w:rPr>
                <w:b w:val="0"/>
                <w:bCs/>
                <w:color w:val="auto"/>
              </w:rPr>
              <w:t>6.8%</w:t>
            </w:r>
          </w:p>
        </w:tc>
        <w:tc>
          <w:tcPr>
            <w:tcW w:w="1573" w:type="dxa"/>
          </w:tcPr>
          <w:p w14:paraId="26832E42" w14:textId="5F3D057B" w:rsidR="002406AD" w:rsidRPr="002406AD" w:rsidRDefault="008206ED">
            <w:pPr>
              <w:pStyle w:val="Tablecolhead"/>
              <w:rPr>
                <w:b w:val="0"/>
                <w:bCs/>
                <w:color w:val="auto"/>
              </w:rPr>
            </w:pPr>
            <w:r>
              <w:rPr>
                <w:b w:val="0"/>
                <w:bCs/>
                <w:color w:val="auto"/>
              </w:rPr>
              <w:t>7.1%</w:t>
            </w:r>
          </w:p>
        </w:tc>
        <w:tc>
          <w:tcPr>
            <w:tcW w:w="1573" w:type="dxa"/>
          </w:tcPr>
          <w:p w14:paraId="11927013" w14:textId="24DA17D9" w:rsidR="002406AD" w:rsidRPr="002406AD" w:rsidRDefault="008206ED">
            <w:pPr>
              <w:pStyle w:val="Tablecolhead"/>
              <w:rPr>
                <w:b w:val="0"/>
                <w:bCs/>
                <w:color w:val="auto"/>
              </w:rPr>
            </w:pPr>
            <w:r>
              <w:rPr>
                <w:b w:val="0"/>
                <w:bCs/>
                <w:color w:val="auto"/>
              </w:rPr>
              <w:t>5.4%</w:t>
            </w:r>
          </w:p>
        </w:tc>
        <w:tc>
          <w:tcPr>
            <w:tcW w:w="1574" w:type="dxa"/>
          </w:tcPr>
          <w:p w14:paraId="39E23111" w14:textId="65159F47" w:rsidR="002406AD" w:rsidRPr="002406AD" w:rsidRDefault="008206ED">
            <w:pPr>
              <w:pStyle w:val="Tablecolhead"/>
              <w:rPr>
                <w:b w:val="0"/>
                <w:bCs/>
                <w:color w:val="auto"/>
              </w:rPr>
            </w:pPr>
            <w:r>
              <w:rPr>
                <w:b w:val="0"/>
                <w:bCs/>
                <w:color w:val="auto"/>
              </w:rPr>
              <w:t>-1.3</w:t>
            </w:r>
            <w:r w:rsidR="008926E8">
              <w:rPr>
                <w:b w:val="0"/>
                <w:bCs/>
                <w:color w:val="auto"/>
              </w:rPr>
              <w:t>pp</w:t>
            </w:r>
          </w:p>
        </w:tc>
      </w:tr>
      <w:tr w:rsidR="002406AD" w:rsidRPr="00BA4FE4" w14:paraId="3E6EC5F1" w14:textId="77777777">
        <w:tc>
          <w:tcPr>
            <w:tcW w:w="3005" w:type="dxa"/>
          </w:tcPr>
          <w:p w14:paraId="315A2FB7" w14:textId="119FD404" w:rsidR="002406AD" w:rsidRPr="002406AD" w:rsidRDefault="00F862AA">
            <w:pPr>
              <w:pStyle w:val="Tablecolhead"/>
              <w:rPr>
                <w:b w:val="0"/>
                <w:bCs/>
                <w:color w:val="auto"/>
              </w:rPr>
            </w:pPr>
            <w:r>
              <w:rPr>
                <w:b w:val="0"/>
                <w:bCs/>
                <w:color w:val="auto"/>
              </w:rPr>
              <w:t xml:space="preserve">Women with </w:t>
            </w:r>
            <w:r w:rsidR="00DD23CC" w:rsidRPr="002406AD">
              <w:rPr>
                <w:b w:val="0"/>
                <w:bCs/>
                <w:color w:val="auto"/>
              </w:rPr>
              <w:t>disabili</w:t>
            </w:r>
            <w:r w:rsidR="00DD23CC">
              <w:rPr>
                <w:b w:val="0"/>
                <w:bCs/>
                <w:color w:val="auto"/>
              </w:rPr>
              <w:t>ty</w:t>
            </w:r>
            <w:r w:rsidR="00DD23CC" w:rsidRPr="002406AD">
              <w:rPr>
                <w:b w:val="0"/>
                <w:bCs/>
                <w:color w:val="auto"/>
              </w:rPr>
              <w:t xml:space="preserve"> </w:t>
            </w:r>
            <w:r>
              <w:rPr>
                <w:b w:val="0"/>
                <w:bCs/>
                <w:color w:val="auto"/>
              </w:rPr>
              <w:t xml:space="preserve">vs men without </w:t>
            </w:r>
            <w:r w:rsidR="00DD23CC" w:rsidRPr="002406AD">
              <w:rPr>
                <w:b w:val="0"/>
                <w:bCs/>
                <w:color w:val="auto"/>
              </w:rPr>
              <w:t>disabili</w:t>
            </w:r>
            <w:r w:rsidR="00DD23CC">
              <w:rPr>
                <w:b w:val="0"/>
                <w:bCs/>
                <w:color w:val="auto"/>
              </w:rPr>
              <w:t>ty</w:t>
            </w:r>
          </w:p>
        </w:tc>
        <w:tc>
          <w:tcPr>
            <w:tcW w:w="1573" w:type="dxa"/>
          </w:tcPr>
          <w:p w14:paraId="6BE54310" w14:textId="0AA3BB23" w:rsidR="002406AD" w:rsidRPr="002406AD" w:rsidRDefault="00B92801">
            <w:pPr>
              <w:pStyle w:val="Tablecolhead"/>
              <w:rPr>
                <w:b w:val="0"/>
                <w:bCs/>
                <w:color w:val="auto"/>
              </w:rPr>
            </w:pPr>
            <w:r>
              <w:rPr>
                <w:b w:val="0"/>
                <w:bCs/>
                <w:color w:val="auto"/>
              </w:rPr>
              <w:t>23.0%</w:t>
            </w:r>
          </w:p>
        </w:tc>
        <w:tc>
          <w:tcPr>
            <w:tcW w:w="1573" w:type="dxa"/>
          </w:tcPr>
          <w:p w14:paraId="554AB6DF" w14:textId="38D97571" w:rsidR="002406AD" w:rsidRPr="002406AD" w:rsidRDefault="00B92801">
            <w:pPr>
              <w:pStyle w:val="Tablecolhead"/>
              <w:rPr>
                <w:b w:val="0"/>
                <w:bCs/>
                <w:color w:val="auto"/>
              </w:rPr>
            </w:pPr>
            <w:r>
              <w:rPr>
                <w:b w:val="0"/>
                <w:bCs/>
                <w:color w:val="auto"/>
              </w:rPr>
              <w:t>21.4%</w:t>
            </w:r>
          </w:p>
        </w:tc>
        <w:tc>
          <w:tcPr>
            <w:tcW w:w="1573" w:type="dxa"/>
          </w:tcPr>
          <w:p w14:paraId="2E565ECE" w14:textId="24F82C7E" w:rsidR="002406AD" w:rsidRPr="002406AD" w:rsidRDefault="00B92801">
            <w:pPr>
              <w:pStyle w:val="Tablecolhead"/>
              <w:rPr>
                <w:b w:val="0"/>
                <w:bCs/>
                <w:color w:val="auto"/>
              </w:rPr>
            </w:pPr>
            <w:r>
              <w:rPr>
                <w:b w:val="0"/>
                <w:bCs/>
                <w:color w:val="auto"/>
              </w:rPr>
              <w:t>18.3%</w:t>
            </w:r>
          </w:p>
        </w:tc>
        <w:tc>
          <w:tcPr>
            <w:tcW w:w="1574" w:type="dxa"/>
          </w:tcPr>
          <w:p w14:paraId="427FDDDA" w14:textId="2DB57629" w:rsidR="002406AD" w:rsidRPr="002406AD" w:rsidRDefault="00B92801">
            <w:pPr>
              <w:pStyle w:val="Tablecolhead"/>
              <w:rPr>
                <w:b w:val="0"/>
                <w:bCs/>
                <w:color w:val="auto"/>
              </w:rPr>
            </w:pPr>
            <w:r>
              <w:rPr>
                <w:b w:val="0"/>
                <w:bCs/>
                <w:color w:val="auto"/>
              </w:rPr>
              <w:t>-4.7</w:t>
            </w:r>
            <w:r w:rsidR="008926E8">
              <w:rPr>
                <w:b w:val="0"/>
                <w:bCs/>
                <w:color w:val="auto"/>
              </w:rPr>
              <w:t>pp</w:t>
            </w:r>
          </w:p>
        </w:tc>
      </w:tr>
    </w:tbl>
    <w:p w14:paraId="64B1C06B" w14:textId="6B272AF6" w:rsidR="00C57715" w:rsidRPr="00C27278" w:rsidRDefault="00C57715" w:rsidP="00C57715">
      <w:pPr>
        <w:pStyle w:val="Tablefigurenote"/>
      </w:pPr>
      <w:r w:rsidRPr="006C41AA">
        <w:lastRenderedPageBreak/>
        <w:t>Source: People matter survey data, 2021, 2023 and 2025.</w:t>
      </w:r>
      <w:r w:rsidR="00C62866">
        <w:t xml:space="preserve"> </w:t>
      </w:r>
      <w:r w:rsidR="00C62866" w:rsidRPr="0045737D">
        <w:t>Workplace gender audit workforce data, 2021, 2023 and 2025</w:t>
      </w:r>
      <w:r w:rsidR="00C62866">
        <w:t>.</w:t>
      </w:r>
    </w:p>
    <w:p w14:paraId="23C396B8" w14:textId="41AF1D0F" w:rsidR="00022A6E" w:rsidRDefault="00C57715" w:rsidP="00D70DBF">
      <w:pPr>
        <w:pStyle w:val="Tablefigurenote"/>
      </w:pPr>
      <w:r>
        <w:t xml:space="preserve">Notes: </w:t>
      </w:r>
      <w:r w:rsidRPr="004A49CE">
        <w:t>Table 3.</w:t>
      </w:r>
      <w:r w:rsidR="004A4E54">
        <w:t>5</w:t>
      </w:r>
      <w:r w:rsidRPr="004A49CE">
        <w:t xml:space="preserve"> </w:t>
      </w:r>
      <w:r w:rsidR="00546114" w:rsidRPr="004A49CE">
        <w:t xml:space="preserve">presents </w:t>
      </w:r>
      <w:r w:rsidR="00546114">
        <w:t>indicative</w:t>
      </w:r>
      <w:r w:rsidR="00546114" w:rsidRPr="004A49CE">
        <w:t xml:space="preserve"> pay gaps.</w:t>
      </w:r>
      <w:r w:rsidRPr="004A49CE" w:rsidDel="00546114">
        <w:t xml:space="preserve"> </w:t>
      </w:r>
      <w:r w:rsidRPr="004A49CE">
        <w:t xml:space="preserve">These figures are drawn from People Matter survey data rather than payroll records, and some comparator groups are based on small numbers of respondents. They should be read as indicative of broad patterns rather than precise measures, and they are not directly comparable with the payroll-based industry and occupational figures in Tables </w:t>
      </w:r>
      <w:r>
        <w:t xml:space="preserve">3.1, </w:t>
      </w:r>
      <w:r w:rsidRPr="004A49CE">
        <w:t>3.2 and 3.3. The Commission has not assigned progress ratings to these measures, given the data limitations.</w:t>
      </w:r>
      <w:r>
        <w:t xml:space="preserve"> </w:t>
      </w:r>
      <w:r w:rsidRPr="00AE1037">
        <w:t xml:space="preserve">The </w:t>
      </w:r>
      <w:r>
        <w:t xml:space="preserve">percentage point </w:t>
      </w:r>
      <w:r w:rsidRPr="00AE1037">
        <w:t>change column may not always reflect the exact difference between years due to rounding</w:t>
      </w:r>
      <w:r>
        <w:t>.</w:t>
      </w:r>
    </w:p>
    <w:p w14:paraId="28EA7A0C" w14:textId="61CB7CD9" w:rsidR="00022A6E" w:rsidRDefault="00022A6E" w:rsidP="00022A6E">
      <w:pPr>
        <w:pStyle w:val="Tablecaption"/>
      </w:pPr>
      <w:r w:rsidRPr="00BA4FE4">
        <w:rPr>
          <w:bCs/>
        </w:rPr>
        <w:t>Table 3.</w:t>
      </w:r>
      <w:r>
        <w:rPr>
          <w:bCs/>
        </w:rPr>
        <w:t>6</w:t>
      </w:r>
      <w:r w:rsidRPr="00BA4FE4">
        <w:rPr>
          <w:bCs/>
        </w:rPr>
        <w:t>:</w:t>
      </w:r>
      <w:r w:rsidRPr="00BA4FE4">
        <w:t xml:space="preserve"> </w:t>
      </w:r>
      <w:r>
        <w:t>Indicative mean total remuneration pay</w:t>
      </w:r>
      <w:r w:rsidRPr="00BA4FE4">
        <w:t xml:space="preserve"> </w:t>
      </w:r>
      <w:r>
        <w:t>g</w:t>
      </w:r>
      <w:r w:rsidRPr="00BA4FE4">
        <w:t xml:space="preserve">aps </w:t>
      </w:r>
      <w:r>
        <w:t xml:space="preserve">for </w:t>
      </w:r>
      <w:r w:rsidR="00AB0A90">
        <w:t>culturally and racially marginalised (CARM)</w:t>
      </w:r>
      <w:r>
        <w:t xml:space="preserve"> people</w:t>
      </w:r>
    </w:p>
    <w:tbl>
      <w:tblPr>
        <w:tblStyle w:val="CGEPStable"/>
        <w:tblW w:w="0" w:type="auto"/>
        <w:tblLayout w:type="fixed"/>
        <w:tblLook w:val="04A0" w:firstRow="1" w:lastRow="0" w:firstColumn="1" w:lastColumn="0" w:noHBand="0" w:noVBand="1"/>
      </w:tblPr>
      <w:tblGrid>
        <w:gridCol w:w="3005"/>
        <w:gridCol w:w="1573"/>
        <w:gridCol w:w="1573"/>
        <w:gridCol w:w="1573"/>
        <w:gridCol w:w="1574"/>
      </w:tblGrid>
      <w:tr w:rsidR="006469E7" w:rsidRPr="00BA4FE4" w14:paraId="3A6017E6" w14:textId="77777777" w:rsidTr="006469E7">
        <w:trPr>
          <w:cnfStyle w:val="100000000000" w:firstRow="1" w:lastRow="0" w:firstColumn="0" w:lastColumn="0" w:oddVBand="0" w:evenVBand="0" w:oddHBand="0" w:evenHBand="0" w:firstRowFirstColumn="0" w:firstRowLastColumn="0" w:lastRowFirstColumn="0" w:lastRowLastColumn="0"/>
        </w:trPr>
        <w:tc>
          <w:tcPr>
            <w:tcW w:w="3005" w:type="dxa"/>
          </w:tcPr>
          <w:p w14:paraId="59956950" w14:textId="5EE29E63" w:rsidR="006469E7" w:rsidRPr="00DE41A4" w:rsidRDefault="006469E7" w:rsidP="006469E7">
            <w:pPr>
              <w:pStyle w:val="Tabletext"/>
              <w:rPr>
                <w:b/>
                <w:color w:val="7030A0"/>
              </w:rPr>
            </w:pPr>
            <w:r w:rsidRPr="00DE41A4">
              <w:rPr>
                <w:b/>
                <w:color w:val="7030A0"/>
              </w:rPr>
              <w:t>Comparator groups</w:t>
            </w:r>
          </w:p>
        </w:tc>
        <w:tc>
          <w:tcPr>
            <w:tcW w:w="1573" w:type="dxa"/>
          </w:tcPr>
          <w:p w14:paraId="53F5F8FA" w14:textId="67595F0D" w:rsidR="006469E7" w:rsidRPr="00DE41A4" w:rsidRDefault="006469E7" w:rsidP="006469E7">
            <w:pPr>
              <w:pStyle w:val="Tabletext"/>
              <w:rPr>
                <w:b/>
                <w:color w:val="7030A0"/>
              </w:rPr>
            </w:pPr>
            <w:r w:rsidRPr="00DE41A4">
              <w:rPr>
                <w:b/>
                <w:color w:val="7030A0"/>
              </w:rPr>
              <w:t xml:space="preserve">Indicative </w:t>
            </w:r>
            <w:r w:rsidRPr="00DE41A4">
              <w:rPr>
                <w:b/>
                <w:bCs/>
                <w:color w:val="7030A0"/>
              </w:rPr>
              <w:t>mean</w:t>
            </w:r>
            <w:r w:rsidRPr="00DE41A4">
              <w:rPr>
                <w:b/>
                <w:color w:val="7030A0"/>
              </w:rPr>
              <w:t xml:space="preserve"> pay gap 2021</w:t>
            </w:r>
          </w:p>
        </w:tc>
        <w:tc>
          <w:tcPr>
            <w:tcW w:w="1573" w:type="dxa"/>
          </w:tcPr>
          <w:p w14:paraId="1E5D83A3" w14:textId="26B3CF79" w:rsidR="006469E7" w:rsidRPr="00DE41A4" w:rsidRDefault="006469E7" w:rsidP="006469E7">
            <w:pPr>
              <w:pStyle w:val="Tabletext"/>
              <w:rPr>
                <w:b/>
                <w:color w:val="7030A0"/>
              </w:rPr>
            </w:pPr>
            <w:r w:rsidRPr="00DE41A4">
              <w:rPr>
                <w:b/>
                <w:color w:val="7030A0"/>
              </w:rPr>
              <w:t xml:space="preserve">Indicative </w:t>
            </w:r>
            <w:r w:rsidRPr="00DE41A4">
              <w:rPr>
                <w:b/>
                <w:bCs/>
                <w:color w:val="7030A0"/>
              </w:rPr>
              <w:t>mean</w:t>
            </w:r>
            <w:r w:rsidRPr="00DE41A4">
              <w:rPr>
                <w:b/>
                <w:color w:val="7030A0"/>
              </w:rPr>
              <w:t xml:space="preserve"> pay gap 2023</w:t>
            </w:r>
          </w:p>
        </w:tc>
        <w:tc>
          <w:tcPr>
            <w:tcW w:w="1573" w:type="dxa"/>
          </w:tcPr>
          <w:p w14:paraId="048FBE83" w14:textId="1FD7DA81" w:rsidR="006469E7" w:rsidRPr="00DE41A4" w:rsidRDefault="006469E7" w:rsidP="006469E7">
            <w:pPr>
              <w:pStyle w:val="Tabletext"/>
              <w:rPr>
                <w:b/>
                <w:color w:val="7030A0"/>
              </w:rPr>
            </w:pPr>
            <w:r w:rsidRPr="00DE41A4">
              <w:rPr>
                <w:b/>
                <w:color w:val="7030A0"/>
              </w:rPr>
              <w:t xml:space="preserve">Indicative </w:t>
            </w:r>
            <w:r w:rsidRPr="00DE41A4">
              <w:rPr>
                <w:b/>
                <w:bCs/>
                <w:color w:val="7030A0"/>
              </w:rPr>
              <w:t>mean pay</w:t>
            </w:r>
            <w:r w:rsidRPr="00DE41A4">
              <w:rPr>
                <w:b/>
                <w:color w:val="7030A0"/>
              </w:rPr>
              <w:t xml:space="preserve"> gap 2025 </w:t>
            </w:r>
          </w:p>
        </w:tc>
        <w:tc>
          <w:tcPr>
            <w:tcW w:w="1574" w:type="dxa"/>
          </w:tcPr>
          <w:p w14:paraId="198C6735" w14:textId="783CC874" w:rsidR="006469E7" w:rsidRPr="00DE41A4" w:rsidRDefault="006469E7" w:rsidP="006469E7">
            <w:pPr>
              <w:pStyle w:val="Tabletext"/>
              <w:rPr>
                <w:b/>
                <w:color w:val="7030A0"/>
              </w:rPr>
            </w:pPr>
            <w:r w:rsidRPr="00DE41A4">
              <w:rPr>
                <w:b/>
                <w:color w:val="7030A0"/>
              </w:rPr>
              <w:t>Percentage point change 2021-2025</w:t>
            </w:r>
          </w:p>
        </w:tc>
      </w:tr>
      <w:tr w:rsidR="006469E7" w:rsidRPr="00BA4FE4" w14:paraId="0D98BAD5" w14:textId="77777777" w:rsidTr="006469E7">
        <w:tc>
          <w:tcPr>
            <w:tcW w:w="3005" w:type="dxa"/>
            <w:hideMark/>
          </w:tcPr>
          <w:p w14:paraId="30EFC6F4" w14:textId="302AA82F" w:rsidR="006469E7" w:rsidRPr="00BA4FE4" w:rsidRDefault="0046557E" w:rsidP="006469E7">
            <w:pPr>
              <w:pStyle w:val="Tabletext"/>
            </w:pPr>
            <w:r>
              <w:t>Non-</w:t>
            </w:r>
            <w:r w:rsidR="006469E7" w:rsidRPr="00BA4FE4">
              <w:t>CARM women vs non-CARM men</w:t>
            </w:r>
          </w:p>
        </w:tc>
        <w:tc>
          <w:tcPr>
            <w:tcW w:w="1573" w:type="dxa"/>
          </w:tcPr>
          <w:p w14:paraId="79B04B10" w14:textId="0799CABB" w:rsidR="006469E7" w:rsidRPr="00BA4FE4" w:rsidRDefault="00A16E60" w:rsidP="006469E7">
            <w:pPr>
              <w:pStyle w:val="Tabletext"/>
            </w:pPr>
            <w:r>
              <w:t>19.2%</w:t>
            </w:r>
          </w:p>
        </w:tc>
        <w:tc>
          <w:tcPr>
            <w:tcW w:w="1573" w:type="dxa"/>
          </w:tcPr>
          <w:p w14:paraId="7B3CAF80" w14:textId="190F0779" w:rsidR="006469E7" w:rsidRPr="00BA4FE4" w:rsidRDefault="00E84A67" w:rsidP="006469E7">
            <w:pPr>
              <w:pStyle w:val="Tabletext"/>
            </w:pPr>
            <w:r>
              <w:t>18.1%</w:t>
            </w:r>
          </w:p>
        </w:tc>
        <w:tc>
          <w:tcPr>
            <w:tcW w:w="1573" w:type="dxa"/>
          </w:tcPr>
          <w:p w14:paraId="6225CA18" w14:textId="18D210EC" w:rsidR="006469E7" w:rsidRPr="00BA4FE4" w:rsidRDefault="00441CAB" w:rsidP="006469E7">
            <w:pPr>
              <w:pStyle w:val="Tabletext"/>
            </w:pPr>
            <w:r>
              <w:t>15.3%</w:t>
            </w:r>
          </w:p>
        </w:tc>
        <w:tc>
          <w:tcPr>
            <w:tcW w:w="1574" w:type="dxa"/>
          </w:tcPr>
          <w:p w14:paraId="5EC6D9A7" w14:textId="63682F13" w:rsidR="006469E7" w:rsidRPr="00BA4FE4" w:rsidRDefault="00441CAB" w:rsidP="006469E7">
            <w:pPr>
              <w:pStyle w:val="Tabletext"/>
            </w:pPr>
            <w:r>
              <w:t>-3.9</w:t>
            </w:r>
            <w:r w:rsidR="008926E8">
              <w:t>pp</w:t>
            </w:r>
          </w:p>
        </w:tc>
      </w:tr>
      <w:tr w:rsidR="006469E7" w:rsidRPr="00BA4FE4" w14:paraId="1A81ACE9" w14:textId="77777777" w:rsidTr="006469E7">
        <w:tc>
          <w:tcPr>
            <w:tcW w:w="3005" w:type="dxa"/>
            <w:hideMark/>
          </w:tcPr>
          <w:p w14:paraId="374424B8" w14:textId="201B25BE" w:rsidR="006469E7" w:rsidRPr="00BA4FE4" w:rsidRDefault="006469E7" w:rsidP="006469E7">
            <w:pPr>
              <w:pStyle w:val="Tabletext"/>
            </w:pPr>
            <w:r w:rsidRPr="00BA4FE4">
              <w:t>CARM women vs CARM men</w:t>
            </w:r>
          </w:p>
        </w:tc>
        <w:tc>
          <w:tcPr>
            <w:tcW w:w="1573" w:type="dxa"/>
          </w:tcPr>
          <w:p w14:paraId="4C41682E" w14:textId="30FD5667" w:rsidR="006469E7" w:rsidRPr="00BA4FE4" w:rsidRDefault="00BB66AD" w:rsidP="006469E7">
            <w:pPr>
              <w:pStyle w:val="Tabletext"/>
            </w:pPr>
            <w:r>
              <w:t>15.1%</w:t>
            </w:r>
          </w:p>
        </w:tc>
        <w:tc>
          <w:tcPr>
            <w:tcW w:w="1573" w:type="dxa"/>
          </w:tcPr>
          <w:p w14:paraId="0446958A" w14:textId="62223EC5" w:rsidR="006469E7" w:rsidRPr="00BA4FE4" w:rsidRDefault="00BB66AD" w:rsidP="006469E7">
            <w:pPr>
              <w:pStyle w:val="Tabletext"/>
            </w:pPr>
            <w:r>
              <w:t>17.8%</w:t>
            </w:r>
          </w:p>
        </w:tc>
        <w:tc>
          <w:tcPr>
            <w:tcW w:w="1573" w:type="dxa"/>
          </w:tcPr>
          <w:p w14:paraId="22E38708" w14:textId="58EF250F" w:rsidR="006469E7" w:rsidRPr="00BA4FE4" w:rsidRDefault="00BB66AD" w:rsidP="006469E7">
            <w:pPr>
              <w:pStyle w:val="Tabletext"/>
            </w:pPr>
            <w:r>
              <w:t>13.5%</w:t>
            </w:r>
          </w:p>
        </w:tc>
        <w:tc>
          <w:tcPr>
            <w:tcW w:w="1574" w:type="dxa"/>
          </w:tcPr>
          <w:p w14:paraId="0DC004B8" w14:textId="4013B45E" w:rsidR="006469E7" w:rsidRPr="00BA4FE4" w:rsidRDefault="00BB66AD" w:rsidP="006469E7">
            <w:pPr>
              <w:pStyle w:val="Tabletext"/>
            </w:pPr>
            <w:r>
              <w:t>-1.6</w:t>
            </w:r>
            <w:r w:rsidR="008926E8">
              <w:t>pp</w:t>
            </w:r>
          </w:p>
        </w:tc>
      </w:tr>
      <w:tr w:rsidR="00817245" w:rsidRPr="00BA4FE4" w14:paraId="5B2E76A2" w14:textId="77777777" w:rsidTr="006469E7">
        <w:tc>
          <w:tcPr>
            <w:tcW w:w="3005" w:type="dxa"/>
          </w:tcPr>
          <w:p w14:paraId="63AC4DEE" w14:textId="7669CD5B" w:rsidR="00817245" w:rsidRPr="00BA4FE4" w:rsidRDefault="00E378BA" w:rsidP="006469E7">
            <w:pPr>
              <w:pStyle w:val="Tabletext"/>
            </w:pPr>
            <w:r>
              <w:t>CARM men vs non-CARM men</w:t>
            </w:r>
          </w:p>
        </w:tc>
        <w:tc>
          <w:tcPr>
            <w:tcW w:w="1573" w:type="dxa"/>
          </w:tcPr>
          <w:p w14:paraId="64369B92" w14:textId="4F5A47F2" w:rsidR="00817245" w:rsidRPr="00BA4FE4" w:rsidRDefault="008926E8" w:rsidP="006469E7">
            <w:pPr>
              <w:pStyle w:val="Tabletext"/>
            </w:pPr>
            <w:r>
              <w:t>6.9%</w:t>
            </w:r>
          </w:p>
        </w:tc>
        <w:tc>
          <w:tcPr>
            <w:tcW w:w="1573" w:type="dxa"/>
          </w:tcPr>
          <w:p w14:paraId="1DFB1066" w14:textId="34E3CDC4" w:rsidR="00817245" w:rsidRPr="00BA4FE4" w:rsidRDefault="008926E8" w:rsidP="006469E7">
            <w:pPr>
              <w:pStyle w:val="Tabletext"/>
            </w:pPr>
            <w:r>
              <w:t>4.6%</w:t>
            </w:r>
          </w:p>
        </w:tc>
        <w:tc>
          <w:tcPr>
            <w:tcW w:w="1573" w:type="dxa"/>
          </w:tcPr>
          <w:p w14:paraId="43B0E329" w14:textId="1AADC9C8" w:rsidR="00817245" w:rsidRPr="00BA4FE4" w:rsidRDefault="008926E8" w:rsidP="006469E7">
            <w:pPr>
              <w:pStyle w:val="Tabletext"/>
            </w:pPr>
            <w:r>
              <w:t>7.3%</w:t>
            </w:r>
          </w:p>
        </w:tc>
        <w:tc>
          <w:tcPr>
            <w:tcW w:w="1574" w:type="dxa"/>
          </w:tcPr>
          <w:p w14:paraId="74076805" w14:textId="4E1953E8" w:rsidR="00817245" w:rsidRPr="00BA4FE4" w:rsidRDefault="009F0CFC" w:rsidP="006469E7">
            <w:pPr>
              <w:pStyle w:val="Tabletext"/>
            </w:pPr>
            <w:r>
              <w:t>+</w:t>
            </w:r>
            <w:r w:rsidR="008926E8">
              <w:t>0.3pp</w:t>
            </w:r>
          </w:p>
        </w:tc>
      </w:tr>
      <w:tr w:rsidR="00817245" w:rsidRPr="00BA4FE4" w14:paraId="0204494B" w14:textId="77777777" w:rsidTr="006469E7">
        <w:tc>
          <w:tcPr>
            <w:tcW w:w="3005" w:type="dxa"/>
          </w:tcPr>
          <w:p w14:paraId="3459E9B3" w14:textId="7EB0DDAB" w:rsidR="00817245" w:rsidRPr="00BA4FE4" w:rsidRDefault="00E378BA" w:rsidP="006469E7">
            <w:pPr>
              <w:pStyle w:val="Tabletext"/>
            </w:pPr>
            <w:r>
              <w:t>CARM women vs non-CARM women</w:t>
            </w:r>
          </w:p>
        </w:tc>
        <w:tc>
          <w:tcPr>
            <w:tcW w:w="1573" w:type="dxa"/>
          </w:tcPr>
          <w:p w14:paraId="78673B03" w14:textId="6C8F22C7" w:rsidR="00817245" w:rsidRPr="00BA4FE4" w:rsidRDefault="000F23E6" w:rsidP="006469E7">
            <w:pPr>
              <w:pStyle w:val="Tabletext"/>
            </w:pPr>
            <w:r>
              <w:t>2.1%</w:t>
            </w:r>
          </w:p>
        </w:tc>
        <w:tc>
          <w:tcPr>
            <w:tcW w:w="1573" w:type="dxa"/>
          </w:tcPr>
          <w:p w14:paraId="2B4FCAC4" w14:textId="73A86E5F" w:rsidR="00817245" w:rsidRPr="00BA4FE4" w:rsidRDefault="000F23E6" w:rsidP="006469E7">
            <w:pPr>
              <w:pStyle w:val="Tabletext"/>
            </w:pPr>
            <w:r>
              <w:t>4.3%</w:t>
            </w:r>
          </w:p>
        </w:tc>
        <w:tc>
          <w:tcPr>
            <w:tcW w:w="1573" w:type="dxa"/>
          </w:tcPr>
          <w:p w14:paraId="2F22919A" w14:textId="6B927F86" w:rsidR="00817245" w:rsidRPr="00BA4FE4" w:rsidRDefault="000F23E6" w:rsidP="006469E7">
            <w:pPr>
              <w:pStyle w:val="Tabletext"/>
            </w:pPr>
            <w:r>
              <w:t>5.3%</w:t>
            </w:r>
          </w:p>
        </w:tc>
        <w:tc>
          <w:tcPr>
            <w:tcW w:w="1574" w:type="dxa"/>
          </w:tcPr>
          <w:p w14:paraId="5C3896F6" w14:textId="7C69B50C" w:rsidR="00817245" w:rsidRPr="00BA4FE4" w:rsidRDefault="009F0CFC" w:rsidP="006469E7">
            <w:pPr>
              <w:pStyle w:val="Tabletext"/>
            </w:pPr>
            <w:r>
              <w:t>+</w:t>
            </w:r>
            <w:r w:rsidR="000F23E6">
              <w:t>3.1</w:t>
            </w:r>
            <w:r w:rsidR="00C81A3D">
              <w:t>pp</w:t>
            </w:r>
          </w:p>
        </w:tc>
      </w:tr>
      <w:tr w:rsidR="00817245" w:rsidRPr="00BA4FE4" w14:paraId="69A35738" w14:textId="77777777" w:rsidTr="006469E7">
        <w:tc>
          <w:tcPr>
            <w:tcW w:w="3005" w:type="dxa"/>
          </w:tcPr>
          <w:p w14:paraId="784361CE" w14:textId="13CC8738" w:rsidR="00817245" w:rsidRPr="00BA4FE4" w:rsidRDefault="00E378BA" w:rsidP="006469E7">
            <w:pPr>
              <w:pStyle w:val="Tabletext"/>
            </w:pPr>
            <w:r>
              <w:t>Non-CARM women vs CARM men</w:t>
            </w:r>
          </w:p>
        </w:tc>
        <w:tc>
          <w:tcPr>
            <w:tcW w:w="1573" w:type="dxa"/>
          </w:tcPr>
          <w:p w14:paraId="4C0C075C" w14:textId="51442252" w:rsidR="00817245" w:rsidRPr="00BA4FE4" w:rsidRDefault="005B62CC" w:rsidP="006469E7">
            <w:pPr>
              <w:pStyle w:val="Tabletext"/>
            </w:pPr>
            <w:r>
              <w:t>13.2%</w:t>
            </w:r>
          </w:p>
        </w:tc>
        <w:tc>
          <w:tcPr>
            <w:tcW w:w="1573" w:type="dxa"/>
          </w:tcPr>
          <w:p w14:paraId="04832114" w14:textId="1F214FD2" w:rsidR="00817245" w:rsidRPr="00BA4FE4" w:rsidRDefault="00531FF7" w:rsidP="006469E7">
            <w:pPr>
              <w:pStyle w:val="Tabletext"/>
            </w:pPr>
            <w:r>
              <w:t>14.1%</w:t>
            </w:r>
          </w:p>
        </w:tc>
        <w:tc>
          <w:tcPr>
            <w:tcW w:w="1573" w:type="dxa"/>
          </w:tcPr>
          <w:p w14:paraId="3598A8C6" w14:textId="52CB0C31" w:rsidR="00817245" w:rsidRPr="00BA4FE4" w:rsidRDefault="00531FF7" w:rsidP="006469E7">
            <w:pPr>
              <w:pStyle w:val="Tabletext"/>
            </w:pPr>
            <w:r>
              <w:t>8.7%</w:t>
            </w:r>
          </w:p>
        </w:tc>
        <w:tc>
          <w:tcPr>
            <w:tcW w:w="1574" w:type="dxa"/>
          </w:tcPr>
          <w:p w14:paraId="3C8F89B9" w14:textId="3199461C" w:rsidR="00817245" w:rsidRPr="00BA4FE4" w:rsidRDefault="00531FF7" w:rsidP="006469E7">
            <w:pPr>
              <w:pStyle w:val="Tabletext"/>
            </w:pPr>
            <w:r>
              <w:t>-4.5</w:t>
            </w:r>
            <w:r w:rsidR="00C81A3D">
              <w:t>pp</w:t>
            </w:r>
          </w:p>
        </w:tc>
      </w:tr>
      <w:tr w:rsidR="00817245" w:rsidRPr="00BA4FE4" w14:paraId="06E1B4D7" w14:textId="77777777" w:rsidTr="006469E7">
        <w:tc>
          <w:tcPr>
            <w:tcW w:w="3005" w:type="dxa"/>
          </w:tcPr>
          <w:p w14:paraId="38A82B55" w14:textId="0CB9B64C" w:rsidR="00817245" w:rsidRPr="00BA4FE4" w:rsidRDefault="00E378BA" w:rsidP="006469E7">
            <w:pPr>
              <w:pStyle w:val="Tabletext"/>
            </w:pPr>
            <w:r>
              <w:t>CARM women vs non-CARM men</w:t>
            </w:r>
          </w:p>
        </w:tc>
        <w:tc>
          <w:tcPr>
            <w:tcW w:w="1573" w:type="dxa"/>
          </w:tcPr>
          <w:p w14:paraId="26933831" w14:textId="68299DD5" w:rsidR="00817245" w:rsidRPr="00BA4FE4" w:rsidRDefault="00C81A3D" w:rsidP="006469E7">
            <w:pPr>
              <w:pStyle w:val="Tabletext"/>
            </w:pPr>
            <w:r>
              <w:t>21.0%</w:t>
            </w:r>
          </w:p>
        </w:tc>
        <w:tc>
          <w:tcPr>
            <w:tcW w:w="1573" w:type="dxa"/>
          </w:tcPr>
          <w:p w14:paraId="78DF813F" w14:textId="6D2CFAB8" w:rsidR="00817245" w:rsidRPr="00BA4FE4" w:rsidRDefault="00C81A3D" w:rsidP="006469E7">
            <w:pPr>
              <w:pStyle w:val="Tabletext"/>
            </w:pPr>
            <w:r>
              <w:t>21.6%</w:t>
            </w:r>
          </w:p>
        </w:tc>
        <w:tc>
          <w:tcPr>
            <w:tcW w:w="1573" w:type="dxa"/>
          </w:tcPr>
          <w:p w14:paraId="316E38BC" w14:textId="1CA52C76" w:rsidR="00817245" w:rsidRPr="00BA4FE4" w:rsidRDefault="00C81A3D" w:rsidP="006469E7">
            <w:pPr>
              <w:pStyle w:val="Tabletext"/>
            </w:pPr>
            <w:r>
              <w:t>19.8%</w:t>
            </w:r>
          </w:p>
        </w:tc>
        <w:tc>
          <w:tcPr>
            <w:tcW w:w="1574" w:type="dxa"/>
          </w:tcPr>
          <w:p w14:paraId="6C835F08" w14:textId="3393F0CF" w:rsidR="00817245" w:rsidRPr="00BA4FE4" w:rsidRDefault="00C81A3D" w:rsidP="006469E7">
            <w:pPr>
              <w:pStyle w:val="Tabletext"/>
            </w:pPr>
            <w:r>
              <w:t>-1.2pp</w:t>
            </w:r>
          </w:p>
        </w:tc>
      </w:tr>
    </w:tbl>
    <w:p w14:paraId="280C6901" w14:textId="47868EB6" w:rsidR="00C57715" w:rsidRPr="00C27278" w:rsidRDefault="00C57715" w:rsidP="00C57715">
      <w:pPr>
        <w:pStyle w:val="Tablefigurenote"/>
      </w:pPr>
      <w:r w:rsidRPr="006C41AA">
        <w:t>Source: People matter survey data, 2021, 2023 and 2025.</w:t>
      </w:r>
      <w:r w:rsidR="00C62866">
        <w:t xml:space="preserve"> </w:t>
      </w:r>
      <w:r w:rsidR="00C62866" w:rsidRPr="0045737D">
        <w:t>Workplace gender audit workforce data, 2021, 2023 and 2025</w:t>
      </w:r>
      <w:r w:rsidR="00C62866">
        <w:t>.</w:t>
      </w:r>
    </w:p>
    <w:p w14:paraId="58E47BDB" w14:textId="4980C2BB" w:rsidR="00E330DF" w:rsidRDefault="00C57715" w:rsidP="00D70DBF">
      <w:pPr>
        <w:pStyle w:val="Tablefigurenote"/>
      </w:pPr>
      <w:r>
        <w:t xml:space="preserve">Notes: </w:t>
      </w:r>
      <w:r w:rsidRPr="004A49CE">
        <w:t>Table 3.</w:t>
      </w:r>
      <w:r w:rsidR="0032721B">
        <w:t>6</w:t>
      </w:r>
      <w:r w:rsidRPr="004A49CE">
        <w:t xml:space="preserve"> </w:t>
      </w:r>
      <w:r w:rsidR="00546114" w:rsidRPr="004A49CE">
        <w:t xml:space="preserve">presents </w:t>
      </w:r>
      <w:r w:rsidR="00546114">
        <w:t>indicative</w:t>
      </w:r>
      <w:r w:rsidR="00546114" w:rsidRPr="004A49CE">
        <w:t xml:space="preserve"> pay gaps.</w:t>
      </w:r>
      <w:r w:rsidRPr="004A49CE" w:rsidDel="00546114">
        <w:t xml:space="preserve"> </w:t>
      </w:r>
      <w:r w:rsidRPr="004A49CE">
        <w:t xml:space="preserve">These figures are drawn from People Matter survey data rather than payroll records, and some comparator groups are based on small numbers of respondents. They should be read as indicative of broad patterns rather than precise measures, and they are not directly comparable with the payroll-based industry and occupational figures in Tables </w:t>
      </w:r>
      <w:r>
        <w:t xml:space="preserve">3.1, </w:t>
      </w:r>
      <w:r w:rsidRPr="004A49CE">
        <w:t>3.2 and 3.3. The Commission has not assigned progress ratings to these measures, given the data limitations.</w:t>
      </w:r>
      <w:r>
        <w:t xml:space="preserve"> </w:t>
      </w:r>
      <w:r w:rsidRPr="00AE1037">
        <w:t xml:space="preserve">The </w:t>
      </w:r>
      <w:r>
        <w:t xml:space="preserve">percentage point </w:t>
      </w:r>
      <w:r w:rsidRPr="00AE1037">
        <w:t>change column may not always reflect the exact difference between years due to rounding</w:t>
      </w:r>
      <w:r>
        <w:t>.</w:t>
      </w:r>
    </w:p>
    <w:p w14:paraId="050BC168" w14:textId="730B9C6D" w:rsidR="00E330DF" w:rsidRPr="00E330DF" w:rsidRDefault="00E330DF" w:rsidP="005571B1">
      <w:pPr>
        <w:pStyle w:val="Tablecaption"/>
      </w:pPr>
      <w:r w:rsidRPr="00BA4FE4">
        <w:rPr>
          <w:bCs/>
        </w:rPr>
        <w:t>Table 3.</w:t>
      </w:r>
      <w:r w:rsidR="00CA346A">
        <w:rPr>
          <w:bCs/>
        </w:rPr>
        <w:t>7</w:t>
      </w:r>
      <w:r w:rsidRPr="00BA4FE4">
        <w:rPr>
          <w:bCs/>
        </w:rPr>
        <w:t>:</w:t>
      </w:r>
      <w:r w:rsidRPr="00BA4FE4">
        <w:t xml:space="preserve"> </w:t>
      </w:r>
      <w:r>
        <w:t>Indicative mean total remuneration pay</w:t>
      </w:r>
      <w:r w:rsidRPr="00BA4FE4">
        <w:t xml:space="preserve"> </w:t>
      </w:r>
      <w:r>
        <w:t>g</w:t>
      </w:r>
      <w:r w:rsidRPr="00BA4FE4">
        <w:t xml:space="preserve">aps </w:t>
      </w:r>
      <w:r w:rsidR="00440F27">
        <w:t>by sexual orientation</w:t>
      </w:r>
    </w:p>
    <w:tbl>
      <w:tblPr>
        <w:tblStyle w:val="CGEPStable"/>
        <w:tblW w:w="0" w:type="auto"/>
        <w:tblLayout w:type="fixed"/>
        <w:tblLook w:val="04A0" w:firstRow="1" w:lastRow="0" w:firstColumn="1" w:lastColumn="0" w:noHBand="0" w:noVBand="1"/>
      </w:tblPr>
      <w:tblGrid>
        <w:gridCol w:w="3005"/>
        <w:gridCol w:w="1573"/>
        <w:gridCol w:w="1573"/>
        <w:gridCol w:w="1573"/>
        <w:gridCol w:w="1574"/>
      </w:tblGrid>
      <w:tr w:rsidR="007E0116" w:rsidRPr="00BA4FE4" w14:paraId="638AAE74" w14:textId="77777777">
        <w:trPr>
          <w:cnfStyle w:val="100000000000" w:firstRow="1" w:lastRow="0" w:firstColumn="0" w:lastColumn="0" w:oddVBand="0" w:evenVBand="0" w:oddHBand="0" w:evenHBand="0" w:firstRowFirstColumn="0" w:firstRowLastColumn="0" w:lastRowFirstColumn="0" w:lastRowLastColumn="0"/>
        </w:trPr>
        <w:tc>
          <w:tcPr>
            <w:tcW w:w="3005" w:type="dxa"/>
            <w:hideMark/>
          </w:tcPr>
          <w:p w14:paraId="4FA4BB32" w14:textId="77777777" w:rsidR="007E0116" w:rsidRPr="00BA4FE4" w:rsidRDefault="007E0116">
            <w:pPr>
              <w:pStyle w:val="Tablecolhead"/>
            </w:pPr>
            <w:r w:rsidRPr="00BA4FE4">
              <w:t>Comparator groups</w:t>
            </w:r>
          </w:p>
        </w:tc>
        <w:tc>
          <w:tcPr>
            <w:tcW w:w="1573" w:type="dxa"/>
            <w:hideMark/>
          </w:tcPr>
          <w:p w14:paraId="7DAE5469" w14:textId="40F4BEE4" w:rsidR="007E0116" w:rsidRPr="00BA4FE4" w:rsidRDefault="007E0116">
            <w:pPr>
              <w:pStyle w:val="Tablecolhead"/>
            </w:pPr>
            <w:r>
              <w:t>Indicative m</w:t>
            </w:r>
            <w:r w:rsidRPr="00BA4FE4">
              <w:t xml:space="preserve">ean </w:t>
            </w:r>
            <w:r>
              <w:t>pay</w:t>
            </w:r>
            <w:r w:rsidRPr="00BA4FE4">
              <w:t xml:space="preserve"> </w:t>
            </w:r>
            <w:r>
              <w:t>g</w:t>
            </w:r>
            <w:r w:rsidRPr="00BA4FE4">
              <w:t>ap</w:t>
            </w:r>
            <w:r>
              <w:t xml:space="preserve"> 2021</w:t>
            </w:r>
          </w:p>
        </w:tc>
        <w:tc>
          <w:tcPr>
            <w:tcW w:w="1573" w:type="dxa"/>
          </w:tcPr>
          <w:p w14:paraId="23E94BE3" w14:textId="658A7316" w:rsidR="007E0116" w:rsidRPr="00BA4FE4" w:rsidRDefault="007E0116">
            <w:pPr>
              <w:pStyle w:val="Tablecolhead"/>
            </w:pPr>
            <w:r>
              <w:t>Indicative m</w:t>
            </w:r>
            <w:r w:rsidRPr="00BA4FE4">
              <w:t>ean</w:t>
            </w:r>
            <w:r>
              <w:t xml:space="preserve"> pay g</w:t>
            </w:r>
            <w:r w:rsidRPr="00BA4FE4">
              <w:t>ap</w:t>
            </w:r>
            <w:r>
              <w:t xml:space="preserve"> 2023</w:t>
            </w:r>
          </w:p>
        </w:tc>
        <w:tc>
          <w:tcPr>
            <w:tcW w:w="1573" w:type="dxa"/>
          </w:tcPr>
          <w:p w14:paraId="4811142A" w14:textId="18CC37E0" w:rsidR="007E0116" w:rsidRPr="00BA4FE4" w:rsidRDefault="007E0116">
            <w:pPr>
              <w:pStyle w:val="Tablecolhead"/>
            </w:pPr>
            <w:r>
              <w:t>Indicative m</w:t>
            </w:r>
            <w:r w:rsidRPr="00BA4FE4">
              <w:t xml:space="preserve">ean </w:t>
            </w:r>
            <w:r>
              <w:t>pay g</w:t>
            </w:r>
            <w:r w:rsidRPr="00BA4FE4">
              <w:t>ap</w:t>
            </w:r>
            <w:r>
              <w:t xml:space="preserve"> 2025</w:t>
            </w:r>
            <w:r w:rsidRPr="00BA4FE4">
              <w:t xml:space="preserve"> </w:t>
            </w:r>
          </w:p>
        </w:tc>
        <w:tc>
          <w:tcPr>
            <w:tcW w:w="1574" w:type="dxa"/>
            <w:hideMark/>
          </w:tcPr>
          <w:p w14:paraId="523F5AC9" w14:textId="77777777" w:rsidR="007E0116" w:rsidRPr="00BA4FE4" w:rsidRDefault="007E0116">
            <w:pPr>
              <w:pStyle w:val="Tablecolhead"/>
            </w:pPr>
            <w:r w:rsidRPr="00BA4FE4">
              <w:t xml:space="preserve">Percentage </w:t>
            </w:r>
            <w:r>
              <w:t>point change 2021-2025</w:t>
            </w:r>
          </w:p>
        </w:tc>
      </w:tr>
      <w:tr w:rsidR="009B2DE5" w:rsidRPr="00BA4FE4" w14:paraId="6E97ADCF" w14:textId="77777777">
        <w:tc>
          <w:tcPr>
            <w:tcW w:w="3005" w:type="dxa"/>
          </w:tcPr>
          <w:p w14:paraId="09700C87" w14:textId="4F1FCDD1" w:rsidR="009B2DE5" w:rsidRPr="007E0116" w:rsidRDefault="009B2DE5" w:rsidP="007E0116">
            <w:pPr>
              <w:pStyle w:val="Tablecolhead"/>
              <w:rPr>
                <w:b w:val="0"/>
                <w:bCs/>
                <w:color w:val="auto"/>
              </w:rPr>
            </w:pPr>
            <w:r>
              <w:rPr>
                <w:b w:val="0"/>
                <w:bCs/>
                <w:color w:val="auto"/>
              </w:rPr>
              <w:t>Straight women vs straight men</w:t>
            </w:r>
          </w:p>
        </w:tc>
        <w:tc>
          <w:tcPr>
            <w:tcW w:w="1573" w:type="dxa"/>
          </w:tcPr>
          <w:p w14:paraId="2A9D5815" w14:textId="023080D3" w:rsidR="009B2DE5" w:rsidRPr="007E0116" w:rsidRDefault="00530F65" w:rsidP="007E0116">
            <w:pPr>
              <w:pStyle w:val="Tablecolhead"/>
              <w:rPr>
                <w:b w:val="0"/>
                <w:bCs/>
                <w:color w:val="auto"/>
              </w:rPr>
            </w:pPr>
            <w:r>
              <w:rPr>
                <w:b w:val="0"/>
                <w:bCs/>
                <w:color w:val="auto"/>
              </w:rPr>
              <w:t>19.1%</w:t>
            </w:r>
          </w:p>
        </w:tc>
        <w:tc>
          <w:tcPr>
            <w:tcW w:w="1573" w:type="dxa"/>
          </w:tcPr>
          <w:p w14:paraId="7148EA94" w14:textId="521AAE36" w:rsidR="009B2DE5" w:rsidRPr="007E0116" w:rsidRDefault="00530F65" w:rsidP="007E0116">
            <w:pPr>
              <w:pStyle w:val="Tablecolhead"/>
              <w:rPr>
                <w:b w:val="0"/>
                <w:bCs/>
                <w:color w:val="auto"/>
              </w:rPr>
            </w:pPr>
            <w:r>
              <w:rPr>
                <w:b w:val="0"/>
                <w:bCs/>
                <w:color w:val="auto"/>
              </w:rPr>
              <w:t>18.2%</w:t>
            </w:r>
          </w:p>
        </w:tc>
        <w:tc>
          <w:tcPr>
            <w:tcW w:w="1573" w:type="dxa"/>
          </w:tcPr>
          <w:p w14:paraId="155C1E83" w14:textId="26BFFC8C" w:rsidR="009B2DE5" w:rsidRPr="007E0116" w:rsidRDefault="00530F65" w:rsidP="007E0116">
            <w:pPr>
              <w:pStyle w:val="Tablecolhead"/>
              <w:rPr>
                <w:b w:val="0"/>
                <w:bCs/>
                <w:color w:val="auto"/>
              </w:rPr>
            </w:pPr>
            <w:r>
              <w:rPr>
                <w:b w:val="0"/>
                <w:bCs/>
                <w:color w:val="auto"/>
              </w:rPr>
              <w:t>14.8%</w:t>
            </w:r>
          </w:p>
        </w:tc>
        <w:tc>
          <w:tcPr>
            <w:tcW w:w="1574" w:type="dxa"/>
          </w:tcPr>
          <w:p w14:paraId="0A0B4D0D" w14:textId="048F00BF" w:rsidR="009B2DE5" w:rsidRPr="007E0116" w:rsidRDefault="00530F65" w:rsidP="007E0116">
            <w:pPr>
              <w:pStyle w:val="Tablecolhead"/>
              <w:rPr>
                <w:b w:val="0"/>
                <w:bCs/>
                <w:color w:val="auto"/>
              </w:rPr>
            </w:pPr>
            <w:r>
              <w:rPr>
                <w:b w:val="0"/>
                <w:bCs/>
                <w:color w:val="auto"/>
              </w:rPr>
              <w:t>-4.3pp</w:t>
            </w:r>
          </w:p>
        </w:tc>
      </w:tr>
      <w:tr w:rsidR="007E0116" w:rsidRPr="00BA4FE4" w14:paraId="2AFAA628" w14:textId="77777777">
        <w:tc>
          <w:tcPr>
            <w:tcW w:w="3005" w:type="dxa"/>
          </w:tcPr>
          <w:p w14:paraId="60BAEA78" w14:textId="2DC76DEB" w:rsidR="007E0116" w:rsidRPr="007E0116" w:rsidRDefault="007E0116" w:rsidP="007E0116">
            <w:pPr>
              <w:pStyle w:val="Tablecolhead"/>
              <w:rPr>
                <w:b w:val="0"/>
                <w:bCs/>
                <w:color w:val="auto"/>
              </w:rPr>
            </w:pPr>
            <w:r w:rsidRPr="007E0116">
              <w:rPr>
                <w:b w:val="0"/>
                <w:bCs/>
                <w:color w:val="auto"/>
              </w:rPr>
              <w:t xml:space="preserve">Lesbian, gay, bisexual, pansexual or asexual women vs </w:t>
            </w:r>
            <w:r w:rsidR="009B2DE5" w:rsidRPr="007E0116">
              <w:rPr>
                <w:b w:val="0"/>
                <w:bCs/>
                <w:color w:val="auto"/>
              </w:rPr>
              <w:t>gay, bisexual, pansexual or asexual</w:t>
            </w:r>
            <w:r w:rsidRPr="007E0116">
              <w:rPr>
                <w:b w:val="0"/>
                <w:bCs/>
                <w:color w:val="auto"/>
              </w:rPr>
              <w:t xml:space="preserve"> men</w:t>
            </w:r>
          </w:p>
        </w:tc>
        <w:tc>
          <w:tcPr>
            <w:tcW w:w="1573" w:type="dxa"/>
          </w:tcPr>
          <w:p w14:paraId="7DC1F2A1" w14:textId="1CB5B50F" w:rsidR="007E0116" w:rsidRPr="007E0116" w:rsidRDefault="00137042" w:rsidP="007E0116">
            <w:pPr>
              <w:pStyle w:val="Tablecolhead"/>
              <w:rPr>
                <w:b w:val="0"/>
                <w:bCs/>
                <w:color w:val="auto"/>
              </w:rPr>
            </w:pPr>
            <w:r>
              <w:rPr>
                <w:b w:val="0"/>
                <w:bCs/>
                <w:color w:val="auto"/>
              </w:rPr>
              <w:t>13.</w:t>
            </w:r>
            <w:r w:rsidR="00992D1D">
              <w:rPr>
                <w:b w:val="0"/>
                <w:bCs/>
                <w:color w:val="auto"/>
              </w:rPr>
              <w:t>3</w:t>
            </w:r>
            <w:r>
              <w:rPr>
                <w:b w:val="0"/>
                <w:bCs/>
                <w:color w:val="auto"/>
              </w:rPr>
              <w:t>%</w:t>
            </w:r>
          </w:p>
        </w:tc>
        <w:tc>
          <w:tcPr>
            <w:tcW w:w="1573" w:type="dxa"/>
          </w:tcPr>
          <w:p w14:paraId="1486000E" w14:textId="7E468BA2" w:rsidR="007E0116" w:rsidRPr="007E0116" w:rsidRDefault="00F81A1B" w:rsidP="007E0116">
            <w:pPr>
              <w:pStyle w:val="Tablecolhead"/>
              <w:rPr>
                <w:b w:val="0"/>
                <w:bCs/>
                <w:color w:val="auto"/>
              </w:rPr>
            </w:pPr>
            <w:r>
              <w:rPr>
                <w:b w:val="0"/>
                <w:bCs/>
                <w:color w:val="auto"/>
              </w:rPr>
              <w:t>17.5</w:t>
            </w:r>
            <w:r w:rsidR="006D10FD">
              <w:rPr>
                <w:b w:val="0"/>
                <w:bCs/>
                <w:color w:val="auto"/>
              </w:rPr>
              <w:t>%</w:t>
            </w:r>
          </w:p>
        </w:tc>
        <w:tc>
          <w:tcPr>
            <w:tcW w:w="1573" w:type="dxa"/>
          </w:tcPr>
          <w:p w14:paraId="73BCCC69" w14:textId="67B64180" w:rsidR="007E0116" w:rsidRPr="007E0116" w:rsidRDefault="00F81A1B" w:rsidP="007E0116">
            <w:pPr>
              <w:pStyle w:val="Tablecolhead"/>
              <w:rPr>
                <w:b w:val="0"/>
                <w:bCs/>
                <w:color w:val="auto"/>
              </w:rPr>
            </w:pPr>
            <w:r>
              <w:rPr>
                <w:b w:val="0"/>
                <w:bCs/>
                <w:color w:val="auto"/>
              </w:rPr>
              <w:t>15.9</w:t>
            </w:r>
          </w:p>
        </w:tc>
        <w:tc>
          <w:tcPr>
            <w:tcW w:w="1574" w:type="dxa"/>
          </w:tcPr>
          <w:p w14:paraId="2CFAC23F" w14:textId="0BA6649A" w:rsidR="007E0116" w:rsidRPr="007E0116" w:rsidRDefault="009F0CFC" w:rsidP="007E0116">
            <w:pPr>
              <w:pStyle w:val="Tablecolhead"/>
              <w:rPr>
                <w:b w:val="0"/>
                <w:bCs/>
                <w:color w:val="auto"/>
              </w:rPr>
            </w:pPr>
            <w:r>
              <w:rPr>
                <w:b w:val="0"/>
                <w:bCs/>
                <w:color w:val="auto"/>
              </w:rPr>
              <w:t>+</w:t>
            </w:r>
            <w:r w:rsidR="004F0AA9">
              <w:rPr>
                <w:b w:val="0"/>
                <w:bCs/>
                <w:color w:val="auto"/>
              </w:rPr>
              <w:t>2.6</w:t>
            </w:r>
            <w:r w:rsidR="006D10FD">
              <w:rPr>
                <w:b w:val="0"/>
                <w:bCs/>
                <w:color w:val="auto"/>
              </w:rPr>
              <w:t>pp</w:t>
            </w:r>
          </w:p>
        </w:tc>
      </w:tr>
      <w:tr w:rsidR="007E0116" w:rsidRPr="00BA4FE4" w14:paraId="367AA1F0" w14:textId="77777777">
        <w:tc>
          <w:tcPr>
            <w:tcW w:w="3005" w:type="dxa"/>
          </w:tcPr>
          <w:p w14:paraId="463B12B8" w14:textId="189E1FEC" w:rsidR="007E0116" w:rsidRPr="007E0116" w:rsidRDefault="00CD5485" w:rsidP="007E0116">
            <w:pPr>
              <w:pStyle w:val="Tablecolhead"/>
              <w:rPr>
                <w:b w:val="0"/>
                <w:bCs/>
                <w:color w:val="auto"/>
              </w:rPr>
            </w:pPr>
            <w:r>
              <w:rPr>
                <w:b w:val="0"/>
                <w:bCs/>
                <w:color w:val="auto"/>
              </w:rPr>
              <w:t>G</w:t>
            </w:r>
            <w:r w:rsidR="007E0116" w:rsidRPr="007E0116">
              <w:rPr>
                <w:b w:val="0"/>
                <w:bCs/>
                <w:color w:val="auto"/>
              </w:rPr>
              <w:t>ay, bisexual, pansexual or asexual men</w:t>
            </w:r>
            <w:r w:rsidR="009B2DE5">
              <w:rPr>
                <w:b w:val="0"/>
                <w:bCs/>
                <w:color w:val="auto"/>
              </w:rPr>
              <w:t xml:space="preserve"> vs straight men</w:t>
            </w:r>
          </w:p>
        </w:tc>
        <w:tc>
          <w:tcPr>
            <w:tcW w:w="1573" w:type="dxa"/>
          </w:tcPr>
          <w:p w14:paraId="6349E8BF" w14:textId="5B703330" w:rsidR="007E0116" w:rsidRPr="007E0116" w:rsidRDefault="00456586" w:rsidP="007E0116">
            <w:pPr>
              <w:pStyle w:val="Tablecolhead"/>
              <w:rPr>
                <w:b w:val="0"/>
                <w:bCs/>
                <w:color w:val="auto"/>
              </w:rPr>
            </w:pPr>
            <w:r>
              <w:rPr>
                <w:b w:val="0"/>
                <w:bCs/>
                <w:color w:val="auto"/>
              </w:rPr>
              <w:t>4.0%</w:t>
            </w:r>
          </w:p>
        </w:tc>
        <w:tc>
          <w:tcPr>
            <w:tcW w:w="1573" w:type="dxa"/>
          </w:tcPr>
          <w:p w14:paraId="2572C14D" w14:textId="6CF2A828" w:rsidR="007E0116" w:rsidRPr="007E0116" w:rsidRDefault="00456586" w:rsidP="007E0116">
            <w:pPr>
              <w:pStyle w:val="Tablecolhead"/>
              <w:rPr>
                <w:b w:val="0"/>
                <w:bCs/>
                <w:color w:val="auto"/>
              </w:rPr>
            </w:pPr>
            <w:r>
              <w:rPr>
                <w:b w:val="0"/>
                <w:bCs/>
                <w:color w:val="auto"/>
              </w:rPr>
              <w:t>5.</w:t>
            </w:r>
            <w:r w:rsidR="00915BEE">
              <w:rPr>
                <w:b w:val="0"/>
                <w:bCs/>
                <w:color w:val="auto"/>
              </w:rPr>
              <w:t>3</w:t>
            </w:r>
            <w:r>
              <w:rPr>
                <w:b w:val="0"/>
                <w:bCs/>
                <w:color w:val="auto"/>
              </w:rPr>
              <w:t>%</w:t>
            </w:r>
          </w:p>
        </w:tc>
        <w:tc>
          <w:tcPr>
            <w:tcW w:w="1573" w:type="dxa"/>
          </w:tcPr>
          <w:p w14:paraId="3E6E7F9D" w14:textId="3357D153" w:rsidR="007E0116" w:rsidRPr="007E0116" w:rsidRDefault="00962316" w:rsidP="007E0116">
            <w:pPr>
              <w:pStyle w:val="Tablecolhead"/>
              <w:rPr>
                <w:b w:val="0"/>
                <w:bCs/>
                <w:color w:val="auto"/>
              </w:rPr>
            </w:pPr>
            <w:r>
              <w:rPr>
                <w:b w:val="0"/>
                <w:bCs/>
                <w:color w:val="auto"/>
              </w:rPr>
              <w:t>3.3</w:t>
            </w:r>
            <w:r w:rsidR="00456586">
              <w:rPr>
                <w:b w:val="0"/>
                <w:bCs/>
                <w:color w:val="auto"/>
              </w:rPr>
              <w:t>%</w:t>
            </w:r>
          </w:p>
        </w:tc>
        <w:tc>
          <w:tcPr>
            <w:tcW w:w="1574" w:type="dxa"/>
          </w:tcPr>
          <w:p w14:paraId="30227F4E" w14:textId="16DCF345" w:rsidR="007E0116" w:rsidRPr="007E0116" w:rsidRDefault="00962316" w:rsidP="007E0116">
            <w:pPr>
              <w:pStyle w:val="Tablecolhead"/>
              <w:rPr>
                <w:b w:val="0"/>
                <w:bCs/>
                <w:color w:val="auto"/>
              </w:rPr>
            </w:pPr>
            <w:r>
              <w:rPr>
                <w:b w:val="0"/>
                <w:bCs/>
                <w:color w:val="auto"/>
              </w:rPr>
              <w:t>-0.7</w:t>
            </w:r>
            <w:r w:rsidR="00456586">
              <w:rPr>
                <w:b w:val="0"/>
                <w:bCs/>
                <w:color w:val="auto"/>
              </w:rPr>
              <w:t>pp</w:t>
            </w:r>
          </w:p>
        </w:tc>
      </w:tr>
      <w:tr w:rsidR="007E0116" w:rsidRPr="00BA4FE4" w14:paraId="7C514421" w14:textId="77777777">
        <w:tc>
          <w:tcPr>
            <w:tcW w:w="3005" w:type="dxa"/>
          </w:tcPr>
          <w:p w14:paraId="68DA2868" w14:textId="5AAE6152" w:rsidR="007E0116" w:rsidRPr="007E0116" w:rsidRDefault="00C21EEA" w:rsidP="007E0116">
            <w:pPr>
              <w:pStyle w:val="Tablecolhead"/>
              <w:rPr>
                <w:b w:val="0"/>
                <w:bCs/>
                <w:color w:val="auto"/>
              </w:rPr>
            </w:pPr>
            <w:r>
              <w:rPr>
                <w:b w:val="0"/>
                <w:bCs/>
                <w:color w:val="auto"/>
              </w:rPr>
              <w:lastRenderedPageBreak/>
              <w:t>Lesbian, g</w:t>
            </w:r>
            <w:r w:rsidR="007B704D" w:rsidRPr="007E0116">
              <w:rPr>
                <w:b w:val="0"/>
                <w:bCs/>
                <w:color w:val="auto"/>
              </w:rPr>
              <w:t xml:space="preserve">ay, bisexual, pansexual or asexual </w:t>
            </w:r>
            <w:r w:rsidR="00EC74D7">
              <w:rPr>
                <w:b w:val="0"/>
                <w:bCs/>
                <w:color w:val="auto"/>
              </w:rPr>
              <w:t>wo</w:t>
            </w:r>
            <w:r w:rsidR="007B704D" w:rsidRPr="007E0116">
              <w:rPr>
                <w:b w:val="0"/>
                <w:bCs/>
                <w:color w:val="auto"/>
              </w:rPr>
              <w:t>men</w:t>
            </w:r>
            <w:r w:rsidR="007B704D">
              <w:rPr>
                <w:b w:val="0"/>
                <w:bCs/>
                <w:color w:val="auto"/>
              </w:rPr>
              <w:t xml:space="preserve"> vs straight women</w:t>
            </w:r>
          </w:p>
        </w:tc>
        <w:tc>
          <w:tcPr>
            <w:tcW w:w="1573" w:type="dxa"/>
          </w:tcPr>
          <w:p w14:paraId="144CFDD8" w14:textId="3CF5D4D0" w:rsidR="007E0116" w:rsidRPr="007E0116" w:rsidRDefault="00704C9A" w:rsidP="007E0116">
            <w:pPr>
              <w:pStyle w:val="Tablecolhead"/>
              <w:rPr>
                <w:b w:val="0"/>
                <w:bCs/>
                <w:color w:val="auto"/>
              </w:rPr>
            </w:pPr>
            <w:r>
              <w:rPr>
                <w:b w:val="0"/>
                <w:bCs/>
                <w:color w:val="auto"/>
              </w:rPr>
              <w:t>-2.</w:t>
            </w:r>
            <w:r w:rsidR="0097196B">
              <w:rPr>
                <w:b w:val="0"/>
                <w:bCs/>
                <w:color w:val="auto"/>
              </w:rPr>
              <w:t>8</w:t>
            </w:r>
            <w:r>
              <w:rPr>
                <w:b w:val="0"/>
                <w:bCs/>
                <w:color w:val="auto"/>
              </w:rPr>
              <w:t>%</w:t>
            </w:r>
          </w:p>
        </w:tc>
        <w:tc>
          <w:tcPr>
            <w:tcW w:w="1573" w:type="dxa"/>
          </w:tcPr>
          <w:p w14:paraId="68B2F5B3" w14:textId="11D9F264" w:rsidR="007E0116" w:rsidRPr="007E0116" w:rsidRDefault="00704C9A" w:rsidP="007E0116">
            <w:pPr>
              <w:pStyle w:val="Tablecolhead"/>
              <w:rPr>
                <w:b w:val="0"/>
                <w:bCs/>
                <w:color w:val="auto"/>
              </w:rPr>
            </w:pPr>
            <w:r>
              <w:rPr>
                <w:b w:val="0"/>
                <w:bCs/>
                <w:color w:val="auto"/>
              </w:rPr>
              <w:t>4.</w:t>
            </w:r>
            <w:r w:rsidR="00F25F06">
              <w:rPr>
                <w:b w:val="0"/>
                <w:bCs/>
                <w:color w:val="auto"/>
              </w:rPr>
              <w:t>5</w:t>
            </w:r>
            <w:r>
              <w:rPr>
                <w:b w:val="0"/>
                <w:bCs/>
                <w:color w:val="auto"/>
              </w:rPr>
              <w:t>%</w:t>
            </w:r>
          </w:p>
        </w:tc>
        <w:tc>
          <w:tcPr>
            <w:tcW w:w="1573" w:type="dxa"/>
          </w:tcPr>
          <w:p w14:paraId="3488B0A4" w14:textId="41123974" w:rsidR="007E0116" w:rsidRPr="007E0116" w:rsidRDefault="00704C9A" w:rsidP="007E0116">
            <w:pPr>
              <w:pStyle w:val="Tablecolhead"/>
              <w:rPr>
                <w:b w:val="0"/>
                <w:bCs/>
                <w:color w:val="auto"/>
              </w:rPr>
            </w:pPr>
            <w:r>
              <w:rPr>
                <w:b w:val="0"/>
                <w:bCs/>
                <w:color w:val="auto"/>
              </w:rPr>
              <w:t>4.</w:t>
            </w:r>
            <w:r w:rsidR="00F25F06">
              <w:rPr>
                <w:b w:val="0"/>
                <w:bCs/>
                <w:color w:val="auto"/>
              </w:rPr>
              <w:t>6</w:t>
            </w:r>
            <w:r>
              <w:rPr>
                <w:b w:val="0"/>
                <w:bCs/>
                <w:color w:val="auto"/>
              </w:rPr>
              <w:t>%</w:t>
            </w:r>
          </w:p>
        </w:tc>
        <w:tc>
          <w:tcPr>
            <w:tcW w:w="1574" w:type="dxa"/>
          </w:tcPr>
          <w:p w14:paraId="7AED4A88" w14:textId="41283252" w:rsidR="007E0116" w:rsidRPr="007E0116" w:rsidRDefault="009F0CFC" w:rsidP="007E0116">
            <w:pPr>
              <w:pStyle w:val="Tablecolhead"/>
              <w:rPr>
                <w:b w:val="0"/>
                <w:bCs/>
                <w:color w:val="auto"/>
              </w:rPr>
            </w:pPr>
            <w:r>
              <w:rPr>
                <w:b w:val="0"/>
                <w:bCs/>
                <w:color w:val="auto"/>
              </w:rPr>
              <w:t>+</w:t>
            </w:r>
            <w:r w:rsidR="00704C9A">
              <w:rPr>
                <w:b w:val="0"/>
                <w:bCs/>
                <w:color w:val="auto"/>
              </w:rPr>
              <w:t>7.</w:t>
            </w:r>
            <w:r w:rsidR="00F25F06">
              <w:rPr>
                <w:b w:val="0"/>
                <w:bCs/>
                <w:color w:val="auto"/>
              </w:rPr>
              <w:t>4</w:t>
            </w:r>
            <w:r w:rsidR="00704C9A">
              <w:rPr>
                <w:b w:val="0"/>
                <w:bCs/>
                <w:color w:val="auto"/>
              </w:rPr>
              <w:t>pp</w:t>
            </w:r>
          </w:p>
        </w:tc>
      </w:tr>
      <w:tr w:rsidR="007E0116" w:rsidRPr="00BA4FE4" w14:paraId="08BA7187" w14:textId="77777777">
        <w:tc>
          <w:tcPr>
            <w:tcW w:w="3005" w:type="dxa"/>
          </w:tcPr>
          <w:p w14:paraId="27ED3E75" w14:textId="180FE2AF" w:rsidR="007E0116" w:rsidRPr="007E0116" w:rsidRDefault="007B704D" w:rsidP="007E0116">
            <w:pPr>
              <w:pStyle w:val="Tablecolhead"/>
              <w:rPr>
                <w:b w:val="0"/>
                <w:bCs/>
                <w:color w:val="auto"/>
              </w:rPr>
            </w:pPr>
            <w:r>
              <w:rPr>
                <w:b w:val="0"/>
                <w:bCs/>
                <w:color w:val="auto"/>
              </w:rPr>
              <w:t xml:space="preserve">Straight women vs </w:t>
            </w:r>
            <w:r w:rsidR="00D223E8">
              <w:rPr>
                <w:b w:val="0"/>
                <w:bCs/>
                <w:color w:val="auto"/>
              </w:rPr>
              <w:t>gay, bisexual, pansexual or asexual men</w:t>
            </w:r>
          </w:p>
        </w:tc>
        <w:tc>
          <w:tcPr>
            <w:tcW w:w="1573" w:type="dxa"/>
          </w:tcPr>
          <w:p w14:paraId="5381D130" w14:textId="0AA98BA4" w:rsidR="007E0116" w:rsidRPr="007E0116" w:rsidRDefault="006E4677" w:rsidP="007E0116">
            <w:pPr>
              <w:pStyle w:val="Tablecolhead"/>
              <w:rPr>
                <w:b w:val="0"/>
                <w:bCs/>
                <w:color w:val="auto"/>
              </w:rPr>
            </w:pPr>
            <w:r>
              <w:rPr>
                <w:b w:val="0"/>
                <w:bCs/>
                <w:color w:val="auto"/>
              </w:rPr>
              <w:t>15.7%</w:t>
            </w:r>
          </w:p>
        </w:tc>
        <w:tc>
          <w:tcPr>
            <w:tcW w:w="1573" w:type="dxa"/>
          </w:tcPr>
          <w:p w14:paraId="3643119A" w14:textId="14C211CD" w:rsidR="007E0116" w:rsidRPr="007E0116" w:rsidRDefault="00A513F5" w:rsidP="007E0116">
            <w:pPr>
              <w:pStyle w:val="Tablecolhead"/>
              <w:rPr>
                <w:b w:val="0"/>
                <w:bCs/>
                <w:color w:val="auto"/>
              </w:rPr>
            </w:pPr>
            <w:r>
              <w:rPr>
                <w:b w:val="0"/>
                <w:bCs/>
                <w:color w:val="auto"/>
              </w:rPr>
              <w:t>13.</w:t>
            </w:r>
            <w:r w:rsidR="00245F16">
              <w:rPr>
                <w:b w:val="0"/>
                <w:bCs/>
                <w:color w:val="auto"/>
              </w:rPr>
              <w:t>6</w:t>
            </w:r>
            <w:r>
              <w:rPr>
                <w:b w:val="0"/>
                <w:bCs/>
                <w:color w:val="auto"/>
              </w:rPr>
              <w:t>%</w:t>
            </w:r>
          </w:p>
        </w:tc>
        <w:tc>
          <w:tcPr>
            <w:tcW w:w="1573" w:type="dxa"/>
          </w:tcPr>
          <w:p w14:paraId="460721C1" w14:textId="0C437C63" w:rsidR="007E0116" w:rsidRPr="007E0116" w:rsidRDefault="00A513F5" w:rsidP="007E0116">
            <w:pPr>
              <w:pStyle w:val="Tablecolhead"/>
              <w:rPr>
                <w:b w:val="0"/>
                <w:bCs/>
                <w:color w:val="auto"/>
              </w:rPr>
            </w:pPr>
            <w:r>
              <w:rPr>
                <w:b w:val="0"/>
                <w:bCs/>
                <w:color w:val="auto"/>
              </w:rPr>
              <w:t>11.</w:t>
            </w:r>
            <w:r w:rsidR="008E64A7">
              <w:rPr>
                <w:b w:val="0"/>
                <w:bCs/>
                <w:color w:val="auto"/>
              </w:rPr>
              <w:t>9</w:t>
            </w:r>
            <w:r>
              <w:rPr>
                <w:b w:val="0"/>
                <w:bCs/>
                <w:color w:val="auto"/>
              </w:rPr>
              <w:t>%</w:t>
            </w:r>
          </w:p>
        </w:tc>
        <w:tc>
          <w:tcPr>
            <w:tcW w:w="1574" w:type="dxa"/>
          </w:tcPr>
          <w:p w14:paraId="1AA6B6AB" w14:textId="4291F7FF" w:rsidR="007E0116" w:rsidRPr="007E0116" w:rsidRDefault="00A513F5" w:rsidP="007E0116">
            <w:pPr>
              <w:pStyle w:val="Tablecolhead"/>
              <w:rPr>
                <w:b w:val="0"/>
                <w:bCs/>
                <w:color w:val="auto"/>
              </w:rPr>
            </w:pPr>
            <w:r>
              <w:rPr>
                <w:b w:val="0"/>
                <w:bCs/>
                <w:color w:val="auto"/>
              </w:rPr>
              <w:t>-</w:t>
            </w:r>
            <w:r w:rsidR="008E64A7">
              <w:rPr>
                <w:b w:val="0"/>
                <w:bCs/>
                <w:color w:val="auto"/>
              </w:rPr>
              <w:t>3.8</w:t>
            </w:r>
            <w:r>
              <w:rPr>
                <w:b w:val="0"/>
                <w:bCs/>
                <w:color w:val="auto"/>
              </w:rPr>
              <w:t>pp</w:t>
            </w:r>
          </w:p>
        </w:tc>
      </w:tr>
      <w:tr w:rsidR="00D223E8" w:rsidRPr="00BA4FE4" w14:paraId="7CF901A2" w14:textId="77777777">
        <w:tc>
          <w:tcPr>
            <w:tcW w:w="3005" w:type="dxa"/>
          </w:tcPr>
          <w:p w14:paraId="5A395DBC" w14:textId="4B7AF5B2" w:rsidR="00D223E8" w:rsidRDefault="002E3E42" w:rsidP="007E0116">
            <w:pPr>
              <w:pStyle w:val="Tablecolhead"/>
              <w:rPr>
                <w:b w:val="0"/>
                <w:bCs/>
                <w:color w:val="auto"/>
              </w:rPr>
            </w:pPr>
            <w:r>
              <w:rPr>
                <w:b w:val="0"/>
                <w:bCs/>
                <w:color w:val="auto"/>
              </w:rPr>
              <w:t>Lesbian, g</w:t>
            </w:r>
            <w:r w:rsidRPr="007E0116">
              <w:rPr>
                <w:b w:val="0"/>
                <w:bCs/>
                <w:color w:val="auto"/>
              </w:rPr>
              <w:t xml:space="preserve">ay, bisexual, pansexual or asexual </w:t>
            </w:r>
            <w:r w:rsidR="001F5471">
              <w:rPr>
                <w:b w:val="0"/>
                <w:bCs/>
                <w:color w:val="auto"/>
              </w:rPr>
              <w:t>wo</w:t>
            </w:r>
            <w:r w:rsidRPr="007E0116">
              <w:rPr>
                <w:b w:val="0"/>
                <w:bCs/>
                <w:color w:val="auto"/>
              </w:rPr>
              <w:t>men</w:t>
            </w:r>
            <w:r>
              <w:rPr>
                <w:b w:val="0"/>
                <w:bCs/>
                <w:color w:val="auto"/>
              </w:rPr>
              <w:t xml:space="preserve"> vs straight </w:t>
            </w:r>
            <w:r w:rsidR="001F5471">
              <w:rPr>
                <w:b w:val="0"/>
                <w:bCs/>
                <w:color w:val="auto"/>
              </w:rPr>
              <w:t>men</w:t>
            </w:r>
          </w:p>
        </w:tc>
        <w:tc>
          <w:tcPr>
            <w:tcW w:w="1573" w:type="dxa"/>
          </w:tcPr>
          <w:p w14:paraId="65CDD581" w14:textId="641656CB" w:rsidR="00D223E8" w:rsidRPr="007E0116" w:rsidRDefault="00A513F5" w:rsidP="007E0116">
            <w:pPr>
              <w:pStyle w:val="Tablecolhead"/>
              <w:rPr>
                <w:b w:val="0"/>
                <w:bCs/>
                <w:color w:val="auto"/>
              </w:rPr>
            </w:pPr>
            <w:r>
              <w:rPr>
                <w:b w:val="0"/>
                <w:bCs/>
                <w:color w:val="auto"/>
              </w:rPr>
              <w:t>1</w:t>
            </w:r>
            <w:r w:rsidR="00EE62F3">
              <w:rPr>
                <w:b w:val="0"/>
                <w:bCs/>
                <w:color w:val="auto"/>
              </w:rPr>
              <w:t>6</w:t>
            </w:r>
            <w:r>
              <w:rPr>
                <w:b w:val="0"/>
                <w:bCs/>
                <w:color w:val="auto"/>
              </w:rPr>
              <w:t>.</w:t>
            </w:r>
            <w:r w:rsidR="00EE62F3">
              <w:rPr>
                <w:b w:val="0"/>
                <w:bCs/>
                <w:color w:val="auto"/>
              </w:rPr>
              <w:t>8</w:t>
            </w:r>
            <w:r>
              <w:rPr>
                <w:b w:val="0"/>
                <w:bCs/>
                <w:color w:val="auto"/>
              </w:rPr>
              <w:t>%</w:t>
            </w:r>
          </w:p>
        </w:tc>
        <w:tc>
          <w:tcPr>
            <w:tcW w:w="1573" w:type="dxa"/>
          </w:tcPr>
          <w:p w14:paraId="24849865" w14:textId="3E79F6FD" w:rsidR="00D223E8" w:rsidRPr="007E0116" w:rsidRDefault="00E7308C" w:rsidP="007E0116">
            <w:pPr>
              <w:pStyle w:val="Tablecolhead"/>
              <w:rPr>
                <w:b w:val="0"/>
                <w:bCs/>
                <w:color w:val="auto"/>
              </w:rPr>
            </w:pPr>
            <w:r>
              <w:rPr>
                <w:b w:val="0"/>
                <w:bCs/>
                <w:color w:val="auto"/>
              </w:rPr>
              <w:t>21.</w:t>
            </w:r>
            <w:r w:rsidR="00EE62F3">
              <w:rPr>
                <w:b w:val="0"/>
                <w:bCs/>
                <w:color w:val="auto"/>
              </w:rPr>
              <w:t>9</w:t>
            </w:r>
            <w:r>
              <w:rPr>
                <w:b w:val="0"/>
                <w:bCs/>
                <w:color w:val="auto"/>
              </w:rPr>
              <w:t>%</w:t>
            </w:r>
          </w:p>
        </w:tc>
        <w:tc>
          <w:tcPr>
            <w:tcW w:w="1573" w:type="dxa"/>
          </w:tcPr>
          <w:p w14:paraId="0DD72F10" w14:textId="52399D24" w:rsidR="00D223E8" w:rsidRPr="007E0116" w:rsidRDefault="00E7308C" w:rsidP="007E0116">
            <w:pPr>
              <w:pStyle w:val="Tablecolhead"/>
              <w:rPr>
                <w:b w:val="0"/>
                <w:bCs/>
                <w:color w:val="auto"/>
              </w:rPr>
            </w:pPr>
            <w:r>
              <w:rPr>
                <w:b w:val="0"/>
                <w:bCs/>
                <w:color w:val="auto"/>
              </w:rPr>
              <w:t>18.</w:t>
            </w:r>
            <w:r w:rsidR="00833894">
              <w:rPr>
                <w:b w:val="0"/>
                <w:bCs/>
                <w:color w:val="auto"/>
              </w:rPr>
              <w:t>7</w:t>
            </w:r>
            <w:r>
              <w:rPr>
                <w:b w:val="0"/>
                <w:bCs/>
                <w:color w:val="auto"/>
              </w:rPr>
              <w:t>%</w:t>
            </w:r>
          </w:p>
        </w:tc>
        <w:tc>
          <w:tcPr>
            <w:tcW w:w="1574" w:type="dxa"/>
          </w:tcPr>
          <w:p w14:paraId="13354086" w14:textId="123DD183" w:rsidR="00D223E8" w:rsidRPr="007E0116" w:rsidRDefault="009F0CFC" w:rsidP="007E0116">
            <w:pPr>
              <w:pStyle w:val="Tablecolhead"/>
              <w:rPr>
                <w:b w:val="0"/>
                <w:bCs/>
                <w:color w:val="auto"/>
              </w:rPr>
            </w:pPr>
            <w:r>
              <w:rPr>
                <w:b w:val="0"/>
                <w:bCs/>
                <w:color w:val="auto"/>
              </w:rPr>
              <w:t>+</w:t>
            </w:r>
            <w:r w:rsidR="00E7308C">
              <w:rPr>
                <w:b w:val="0"/>
                <w:bCs/>
                <w:color w:val="auto"/>
              </w:rPr>
              <w:t>1.</w:t>
            </w:r>
            <w:r w:rsidR="00833894">
              <w:rPr>
                <w:b w:val="0"/>
                <w:bCs/>
                <w:color w:val="auto"/>
              </w:rPr>
              <w:t>9</w:t>
            </w:r>
            <w:r w:rsidR="00E7308C">
              <w:rPr>
                <w:b w:val="0"/>
                <w:bCs/>
                <w:color w:val="auto"/>
              </w:rPr>
              <w:t>pp</w:t>
            </w:r>
          </w:p>
        </w:tc>
      </w:tr>
    </w:tbl>
    <w:p w14:paraId="0F1B8CB9" w14:textId="639A22B6" w:rsidR="00C57715" w:rsidRPr="00C27278" w:rsidRDefault="00C57715" w:rsidP="00C57715">
      <w:pPr>
        <w:pStyle w:val="Tablefigurenote"/>
      </w:pPr>
      <w:r w:rsidRPr="006C41AA">
        <w:t>Source: People matter survey data, 2021, 2023 and 2025.</w:t>
      </w:r>
      <w:r w:rsidR="00C62866">
        <w:t xml:space="preserve"> </w:t>
      </w:r>
      <w:r w:rsidR="00C62866" w:rsidRPr="0045737D">
        <w:t>Workplace gender audit workforce data, 2021, 2023 and 2025</w:t>
      </w:r>
      <w:r w:rsidR="00C62866">
        <w:t>.</w:t>
      </w:r>
    </w:p>
    <w:p w14:paraId="2B9AE671" w14:textId="0EF6352C" w:rsidR="00022A6E" w:rsidRPr="00022A6E" w:rsidRDefault="00C57715" w:rsidP="00963E2D">
      <w:pPr>
        <w:pStyle w:val="Tablefigurenote"/>
      </w:pPr>
      <w:r>
        <w:t xml:space="preserve">Notes: </w:t>
      </w:r>
      <w:r w:rsidRPr="004A49CE">
        <w:t>Table 3.</w:t>
      </w:r>
      <w:r w:rsidR="0032721B">
        <w:t>7</w:t>
      </w:r>
      <w:r w:rsidRPr="004A49CE">
        <w:t xml:space="preserve"> </w:t>
      </w:r>
      <w:r w:rsidR="00546114" w:rsidRPr="004A49CE">
        <w:t xml:space="preserve">presents </w:t>
      </w:r>
      <w:r w:rsidR="00546114">
        <w:t>indicative</w:t>
      </w:r>
      <w:r w:rsidR="00546114" w:rsidRPr="004A49CE">
        <w:t xml:space="preserve"> pay gaps.</w:t>
      </w:r>
      <w:r w:rsidRPr="004A49CE" w:rsidDel="00546114">
        <w:t xml:space="preserve"> </w:t>
      </w:r>
      <w:r w:rsidRPr="004A49CE">
        <w:t xml:space="preserve">These figures are drawn from People Matter survey data rather than payroll records, and some comparator groups are based on small numbers of respondents. They should be read as indicative of broad patterns rather than precise measures, and they are not directly comparable with the payroll-based industry and occupational figures in Tables </w:t>
      </w:r>
      <w:r>
        <w:t xml:space="preserve">3.1, </w:t>
      </w:r>
      <w:r w:rsidRPr="004A49CE">
        <w:t>3.2 and 3.3. The Commission has not assigned progress ratings to these measures, given the data limitations.</w:t>
      </w:r>
      <w:r>
        <w:t xml:space="preserve"> </w:t>
      </w:r>
      <w:r w:rsidRPr="00AE1037">
        <w:t xml:space="preserve">The </w:t>
      </w:r>
      <w:r>
        <w:t xml:space="preserve">percentage point </w:t>
      </w:r>
      <w:r w:rsidRPr="00AE1037">
        <w:t>change column may not always reflect the exact difference between years due to rounding</w:t>
      </w:r>
      <w:r>
        <w:t>.</w:t>
      </w:r>
    </w:p>
    <w:p w14:paraId="6B19BA78" w14:textId="5E4CD95A" w:rsidR="00963E2D" w:rsidRPr="00E330DF" w:rsidRDefault="00963E2D" w:rsidP="00963E2D">
      <w:pPr>
        <w:pStyle w:val="Tablecaption"/>
      </w:pPr>
      <w:r w:rsidRPr="00BA4FE4">
        <w:rPr>
          <w:bCs/>
        </w:rPr>
        <w:t>Table 3.</w:t>
      </w:r>
      <w:r>
        <w:rPr>
          <w:bCs/>
        </w:rPr>
        <w:t>8</w:t>
      </w:r>
      <w:r w:rsidRPr="00BA4FE4">
        <w:rPr>
          <w:bCs/>
        </w:rPr>
        <w:t>:</w:t>
      </w:r>
      <w:r w:rsidRPr="00BA4FE4">
        <w:t xml:space="preserve"> </w:t>
      </w:r>
      <w:r>
        <w:t>Indicative mean total remuneration pay</w:t>
      </w:r>
      <w:r w:rsidRPr="00BA4FE4">
        <w:t xml:space="preserve"> </w:t>
      </w:r>
      <w:r>
        <w:t>g</w:t>
      </w:r>
      <w:r w:rsidRPr="00BA4FE4">
        <w:t xml:space="preserve">aps </w:t>
      </w:r>
      <w:r w:rsidR="00440F27">
        <w:t>by gender identity</w:t>
      </w:r>
    </w:p>
    <w:tbl>
      <w:tblPr>
        <w:tblStyle w:val="CGEPStable"/>
        <w:tblW w:w="0" w:type="auto"/>
        <w:tblLayout w:type="fixed"/>
        <w:tblLook w:val="04A0" w:firstRow="1" w:lastRow="0" w:firstColumn="1" w:lastColumn="0" w:noHBand="0" w:noVBand="1"/>
      </w:tblPr>
      <w:tblGrid>
        <w:gridCol w:w="3005"/>
        <w:gridCol w:w="1573"/>
        <w:gridCol w:w="1573"/>
        <w:gridCol w:w="1573"/>
        <w:gridCol w:w="1574"/>
      </w:tblGrid>
      <w:tr w:rsidR="00963E2D" w:rsidRPr="007E0116" w14:paraId="51A1DFA3" w14:textId="77777777">
        <w:trPr>
          <w:cnfStyle w:val="100000000000" w:firstRow="1" w:lastRow="0" w:firstColumn="0" w:lastColumn="0" w:oddVBand="0" w:evenVBand="0" w:oddHBand="0" w:evenHBand="0" w:firstRowFirstColumn="0" w:firstRowLastColumn="0" w:lastRowFirstColumn="0" w:lastRowLastColumn="0"/>
        </w:trPr>
        <w:tc>
          <w:tcPr>
            <w:tcW w:w="3005" w:type="dxa"/>
          </w:tcPr>
          <w:p w14:paraId="01E4D956" w14:textId="46D0462F" w:rsidR="00963E2D" w:rsidRPr="007E0116" w:rsidRDefault="00963E2D" w:rsidP="00963E2D">
            <w:pPr>
              <w:pStyle w:val="Tablecolhead"/>
              <w:rPr>
                <w:b w:val="0"/>
                <w:bCs/>
                <w:color w:val="auto"/>
              </w:rPr>
            </w:pPr>
            <w:r w:rsidRPr="00BA4FE4">
              <w:t>Comparator groups</w:t>
            </w:r>
          </w:p>
        </w:tc>
        <w:tc>
          <w:tcPr>
            <w:tcW w:w="1573" w:type="dxa"/>
          </w:tcPr>
          <w:p w14:paraId="43727C6D" w14:textId="39245D91" w:rsidR="00963E2D" w:rsidRPr="007E0116" w:rsidRDefault="00963E2D" w:rsidP="00963E2D">
            <w:pPr>
              <w:pStyle w:val="Tablecolhead"/>
              <w:rPr>
                <w:b w:val="0"/>
                <w:bCs/>
                <w:color w:val="auto"/>
              </w:rPr>
            </w:pPr>
            <w:r>
              <w:t>Indicative m</w:t>
            </w:r>
            <w:r w:rsidRPr="00BA4FE4">
              <w:t xml:space="preserve">ean </w:t>
            </w:r>
            <w:r>
              <w:t>pay</w:t>
            </w:r>
            <w:r w:rsidRPr="00BA4FE4">
              <w:t xml:space="preserve"> </w:t>
            </w:r>
            <w:r>
              <w:t>g</w:t>
            </w:r>
            <w:r w:rsidRPr="00BA4FE4">
              <w:t>ap</w:t>
            </w:r>
            <w:r>
              <w:t xml:space="preserve"> 2021</w:t>
            </w:r>
          </w:p>
        </w:tc>
        <w:tc>
          <w:tcPr>
            <w:tcW w:w="1573" w:type="dxa"/>
          </w:tcPr>
          <w:p w14:paraId="1A1C46AE" w14:textId="317F86E5" w:rsidR="00963E2D" w:rsidRPr="007E0116" w:rsidRDefault="00963E2D" w:rsidP="00963E2D">
            <w:pPr>
              <w:pStyle w:val="Tablecolhead"/>
              <w:rPr>
                <w:b w:val="0"/>
                <w:bCs/>
                <w:color w:val="auto"/>
              </w:rPr>
            </w:pPr>
            <w:r>
              <w:t>Indicative m</w:t>
            </w:r>
            <w:r w:rsidRPr="00BA4FE4">
              <w:t>ean</w:t>
            </w:r>
            <w:r>
              <w:t xml:space="preserve"> pay g</w:t>
            </w:r>
            <w:r w:rsidRPr="00BA4FE4">
              <w:t>ap</w:t>
            </w:r>
            <w:r>
              <w:t xml:space="preserve"> 2023</w:t>
            </w:r>
          </w:p>
        </w:tc>
        <w:tc>
          <w:tcPr>
            <w:tcW w:w="1573" w:type="dxa"/>
          </w:tcPr>
          <w:p w14:paraId="49D04CF7" w14:textId="75F1D87C" w:rsidR="00963E2D" w:rsidRPr="007E0116" w:rsidRDefault="00963E2D" w:rsidP="00963E2D">
            <w:pPr>
              <w:pStyle w:val="Tablecolhead"/>
              <w:rPr>
                <w:b w:val="0"/>
                <w:bCs/>
                <w:color w:val="auto"/>
              </w:rPr>
            </w:pPr>
            <w:r>
              <w:t>Indicative m</w:t>
            </w:r>
            <w:r w:rsidRPr="00BA4FE4">
              <w:t xml:space="preserve">ean </w:t>
            </w:r>
            <w:r>
              <w:t>pay g</w:t>
            </w:r>
            <w:r w:rsidRPr="00BA4FE4">
              <w:t>ap</w:t>
            </w:r>
            <w:r>
              <w:t xml:space="preserve"> 2025</w:t>
            </w:r>
            <w:r w:rsidRPr="00BA4FE4">
              <w:t xml:space="preserve"> </w:t>
            </w:r>
          </w:p>
        </w:tc>
        <w:tc>
          <w:tcPr>
            <w:tcW w:w="1574" w:type="dxa"/>
          </w:tcPr>
          <w:p w14:paraId="57256BB5" w14:textId="432557A1" w:rsidR="00963E2D" w:rsidRPr="007E0116" w:rsidRDefault="00963E2D" w:rsidP="00963E2D">
            <w:pPr>
              <w:pStyle w:val="Tablecolhead"/>
              <w:rPr>
                <w:b w:val="0"/>
                <w:bCs/>
                <w:color w:val="auto"/>
              </w:rPr>
            </w:pPr>
            <w:r w:rsidRPr="00BA4FE4">
              <w:t xml:space="preserve">Percentage </w:t>
            </w:r>
            <w:r>
              <w:t>point change 2021-2025</w:t>
            </w:r>
          </w:p>
        </w:tc>
      </w:tr>
      <w:tr w:rsidR="001F5471" w:rsidRPr="007E0116" w14:paraId="3C026B93" w14:textId="77777777">
        <w:tc>
          <w:tcPr>
            <w:tcW w:w="3005" w:type="dxa"/>
          </w:tcPr>
          <w:p w14:paraId="6CEF22BA" w14:textId="2EE0F581" w:rsidR="001F5471" w:rsidRPr="007E0116" w:rsidRDefault="001F5471" w:rsidP="00963E2D">
            <w:pPr>
              <w:pStyle w:val="Tablecolhead"/>
              <w:rPr>
                <w:b w:val="0"/>
                <w:bCs/>
                <w:color w:val="auto"/>
              </w:rPr>
            </w:pPr>
            <w:r>
              <w:rPr>
                <w:b w:val="0"/>
                <w:bCs/>
                <w:color w:val="auto"/>
              </w:rPr>
              <w:t>Cisgender women vs cisgender men</w:t>
            </w:r>
          </w:p>
        </w:tc>
        <w:tc>
          <w:tcPr>
            <w:tcW w:w="1573" w:type="dxa"/>
          </w:tcPr>
          <w:p w14:paraId="2D143C9F" w14:textId="5405DA61" w:rsidR="001F5471" w:rsidRPr="007E0116" w:rsidRDefault="00704C9A" w:rsidP="00963E2D">
            <w:pPr>
              <w:pStyle w:val="Tablecolhead"/>
              <w:rPr>
                <w:b w:val="0"/>
                <w:bCs/>
                <w:color w:val="auto"/>
              </w:rPr>
            </w:pPr>
            <w:r>
              <w:rPr>
                <w:b w:val="0"/>
                <w:bCs/>
                <w:color w:val="auto"/>
              </w:rPr>
              <w:t>18.6%</w:t>
            </w:r>
          </w:p>
        </w:tc>
        <w:tc>
          <w:tcPr>
            <w:tcW w:w="1573" w:type="dxa"/>
          </w:tcPr>
          <w:p w14:paraId="7C666DC2" w14:textId="51158B56" w:rsidR="001F5471" w:rsidRPr="007E0116" w:rsidRDefault="00704C9A" w:rsidP="00963E2D">
            <w:pPr>
              <w:pStyle w:val="Tablecolhead"/>
              <w:rPr>
                <w:b w:val="0"/>
                <w:bCs/>
                <w:color w:val="auto"/>
              </w:rPr>
            </w:pPr>
            <w:r>
              <w:rPr>
                <w:b w:val="0"/>
                <w:bCs/>
                <w:color w:val="auto"/>
              </w:rPr>
              <w:t>18.1%</w:t>
            </w:r>
          </w:p>
        </w:tc>
        <w:tc>
          <w:tcPr>
            <w:tcW w:w="1573" w:type="dxa"/>
          </w:tcPr>
          <w:p w14:paraId="008DAF0E" w14:textId="43813FB1" w:rsidR="001F5471" w:rsidRPr="007E0116" w:rsidRDefault="00704C9A" w:rsidP="00963E2D">
            <w:pPr>
              <w:pStyle w:val="Tablecolhead"/>
              <w:rPr>
                <w:b w:val="0"/>
                <w:bCs/>
                <w:color w:val="auto"/>
              </w:rPr>
            </w:pPr>
            <w:r>
              <w:rPr>
                <w:b w:val="0"/>
                <w:bCs/>
                <w:color w:val="auto"/>
              </w:rPr>
              <w:t>14.9%</w:t>
            </w:r>
          </w:p>
        </w:tc>
        <w:tc>
          <w:tcPr>
            <w:tcW w:w="1574" w:type="dxa"/>
          </w:tcPr>
          <w:p w14:paraId="56815E10" w14:textId="009A41DA" w:rsidR="001F5471" w:rsidRPr="007E0116" w:rsidRDefault="00162972" w:rsidP="00963E2D">
            <w:pPr>
              <w:pStyle w:val="Tablecolhead"/>
              <w:rPr>
                <w:b w:val="0"/>
                <w:bCs/>
                <w:color w:val="auto"/>
              </w:rPr>
            </w:pPr>
            <w:r>
              <w:rPr>
                <w:b w:val="0"/>
                <w:bCs/>
                <w:color w:val="auto"/>
              </w:rPr>
              <w:t>-3.7pp</w:t>
            </w:r>
          </w:p>
        </w:tc>
      </w:tr>
      <w:tr w:rsidR="00963E2D" w:rsidRPr="007E0116" w14:paraId="20175F4B" w14:textId="77777777">
        <w:tc>
          <w:tcPr>
            <w:tcW w:w="3005" w:type="dxa"/>
          </w:tcPr>
          <w:p w14:paraId="5B87A05B" w14:textId="3ED5B9D2" w:rsidR="00963E2D" w:rsidRPr="007E0116" w:rsidRDefault="00963E2D" w:rsidP="00963E2D">
            <w:pPr>
              <w:pStyle w:val="Tablecolhead"/>
              <w:rPr>
                <w:b w:val="0"/>
                <w:bCs/>
                <w:color w:val="auto"/>
              </w:rPr>
            </w:pPr>
            <w:r w:rsidRPr="007E0116">
              <w:rPr>
                <w:b w:val="0"/>
                <w:bCs/>
                <w:color w:val="auto"/>
              </w:rPr>
              <w:t xml:space="preserve">Trans, non-binary or gender diverse people vs cisgender </w:t>
            </w:r>
            <w:r w:rsidR="003766BA">
              <w:rPr>
                <w:b w:val="0"/>
                <w:bCs/>
                <w:color w:val="auto"/>
              </w:rPr>
              <w:t>wo</w:t>
            </w:r>
            <w:r w:rsidRPr="007E0116">
              <w:rPr>
                <w:b w:val="0"/>
                <w:bCs/>
                <w:color w:val="auto"/>
              </w:rPr>
              <w:t>men</w:t>
            </w:r>
          </w:p>
        </w:tc>
        <w:tc>
          <w:tcPr>
            <w:tcW w:w="1573" w:type="dxa"/>
          </w:tcPr>
          <w:p w14:paraId="7D1FA8E2" w14:textId="7AB356AA" w:rsidR="00963E2D" w:rsidRPr="007E0116" w:rsidRDefault="00325E13" w:rsidP="00963E2D">
            <w:pPr>
              <w:pStyle w:val="Tablecolhead"/>
              <w:rPr>
                <w:b w:val="0"/>
                <w:bCs/>
                <w:color w:val="auto"/>
              </w:rPr>
            </w:pPr>
            <w:r>
              <w:rPr>
                <w:b w:val="0"/>
                <w:bCs/>
                <w:color w:val="auto"/>
              </w:rPr>
              <w:t>0.1%</w:t>
            </w:r>
          </w:p>
        </w:tc>
        <w:tc>
          <w:tcPr>
            <w:tcW w:w="1573" w:type="dxa"/>
          </w:tcPr>
          <w:p w14:paraId="429EE089" w14:textId="5F0D1265" w:rsidR="00963E2D" w:rsidRPr="007E0116" w:rsidRDefault="00325E13" w:rsidP="00963E2D">
            <w:pPr>
              <w:pStyle w:val="Tablecolhead"/>
              <w:rPr>
                <w:b w:val="0"/>
                <w:bCs/>
                <w:color w:val="auto"/>
              </w:rPr>
            </w:pPr>
            <w:r>
              <w:rPr>
                <w:b w:val="0"/>
                <w:bCs/>
                <w:color w:val="auto"/>
              </w:rPr>
              <w:t>5.6%</w:t>
            </w:r>
          </w:p>
        </w:tc>
        <w:tc>
          <w:tcPr>
            <w:tcW w:w="1573" w:type="dxa"/>
          </w:tcPr>
          <w:p w14:paraId="6418BA1D" w14:textId="2E01D94F" w:rsidR="00963E2D" w:rsidRPr="007E0116" w:rsidRDefault="00325E13" w:rsidP="00963E2D">
            <w:pPr>
              <w:pStyle w:val="Tablecolhead"/>
              <w:rPr>
                <w:b w:val="0"/>
                <w:bCs/>
                <w:color w:val="auto"/>
              </w:rPr>
            </w:pPr>
            <w:r>
              <w:rPr>
                <w:b w:val="0"/>
                <w:bCs/>
                <w:color w:val="auto"/>
              </w:rPr>
              <w:t>10.3%</w:t>
            </w:r>
          </w:p>
        </w:tc>
        <w:tc>
          <w:tcPr>
            <w:tcW w:w="1574" w:type="dxa"/>
          </w:tcPr>
          <w:p w14:paraId="23A8DC47" w14:textId="3284F320" w:rsidR="00963E2D" w:rsidRPr="007E0116" w:rsidRDefault="009F0CFC" w:rsidP="00963E2D">
            <w:pPr>
              <w:pStyle w:val="Tablecolhead"/>
              <w:rPr>
                <w:b w:val="0"/>
                <w:bCs/>
                <w:color w:val="auto"/>
              </w:rPr>
            </w:pPr>
            <w:r>
              <w:rPr>
                <w:b w:val="0"/>
                <w:bCs/>
                <w:color w:val="auto"/>
              </w:rPr>
              <w:t>+</w:t>
            </w:r>
            <w:r w:rsidR="00325E13">
              <w:rPr>
                <w:b w:val="0"/>
                <w:bCs/>
                <w:color w:val="auto"/>
              </w:rPr>
              <w:t>10.3pp</w:t>
            </w:r>
          </w:p>
        </w:tc>
      </w:tr>
      <w:tr w:rsidR="00963E2D" w:rsidRPr="007E0116" w14:paraId="73EA63BF" w14:textId="77777777">
        <w:tc>
          <w:tcPr>
            <w:tcW w:w="3005" w:type="dxa"/>
          </w:tcPr>
          <w:p w14:paraId="3BAF8F5F" w14:textId="34A3CFB2" w:rsidR="00963E2D" w:rsidRPr="007E0116" w:rsidRDefault="00963E2D" w:rsidP="00963E2D">
            <w:pPr>
              <w:pStyle w:val="Tablecolhead"/>
              <w:rPr>
                <w:b w:val="0"/>
                <w:bCs/>
                <w:color w:val="auto"/>
              </w:rPr>
            </w:pPr>
            <w:r w:rsidRPr="007E0116">
              <w:rPr>
                <w:b w:val="0"/>
                <w:bCs/>
                <w:color w:val="auto"/>
              </w:rPr>
              <w:t>Trans, non-binary or gender diverse people vs cisgender men</w:t>
            </w:r>
          </w:p>
        </w:tc>
        <w:tc>
          <w:tcPr>
            <w:tcW w:w="1573" w:type="dxa"/>
          </w:tcPr>
          <w:p w14:paraId="591C0228" w14:textId="4FEFA3D3" w:rsidR="00963E2D" w:rsidRPr="007E0116" w:rsidRDefault="004F1EE7" w:rsidP="00963E2D">
            <w:pPr>
              <w:pStyle w:val="Tablecolhead"/>
              <w:rPr>
                <w:b w:val="0"/>
                <w:bCs/>
                <w:color w:val="auto"/>
              </w:rPr>
            </w:pPr>
            <w:r>
              <w:rPr>
                <w:b w:val="0"/>
                <w:bCs/>
                <w:color w:val="auto"/>
              </w:rPr>
              <w:t>18.6%</w:t>
            </w:r>
          </w:p>
        </w:tc>
        <w:tc>
          <w:tcPr>
            <w:tcW w:w="1573" w:type="dxa"/>
          </w:tcPr>
          <w:p w14:paraId="228B9FC9" w14:textId="2B8AD073" w:rsidR="00963E2D" w:rsidRPr="007E0116" w:rsidRDefault="000A3382" w:rsidP="00963E2D">
            <w:pPr>
              <w:pStyle w:val="Tablecolhead"/>
              <w:rPr>
                <w:b w:val="0"/>
                <w:bCs/>
                <w:color w:val="auto"/>
              </w:rPr>
            </w:pPr>
            <w:r>
              <w:rPr>
                <w:b w:val="0"/>
                <w:bCs/>
                <w:color w:val="auto"/>
              </w:rPr>
              <w:t>22.6%</w:t>
            </w:r>
          </w:p>
        </w:tc>
        <w:tc>
          <w:tcPr>
            <w:tcW w:w="1573" w:type="dxa"/>
          </w:tcPr>
          <w:p w14:paraId="617DA108" w14:textId="4E434F1B" w:rsidR="00963E2D" w:rsidRPr="007E0116" w:rsidRDefault="000A3382" w:rsidP="00963E2D">
            <w:pPr>
              <w:pStyle w:val="Tablecolhead"/>
              <w:rPr>
                <w:b w:val="0"/>
                <w:bCs/>
                <w:color w:val="auto"/>
              </w:rPr>
            </w:pPr>
            <w:r>
              <w:rPr>
                <w:b w:val="0"/>
                <w:bCs/>
                <w:color w:val="auto"/>
              </w:rPr>
              <w:t>23.7%</w:t>
            </w:r>
          </w:p>
        </w:tc>
        <w:tc>
          <w:tcPr>
            <w:tcW w:w="1574" w:type="dxa"/>
          </w:tcPr>
          <w:p w14:paraId="2B97A6E5" w14:textId="5BC4D98C" w:rsidR="00963E2D" w:rsidRPr="007E0116" w:rsidRDefault="009F0CFC" w:rsidP="00963E2D">
            <w:pPr>
              <w:pStyle w:val="Tablecolhead"/>
              <w:rPr>
                <w:b w:val="0"/>
                <w:bCs/>
                <w:color w:val="auto"/>
              </w:rPr>
            </w:pPr>
            <w:r>
              <w:rPr>
                <w:b w:val="0"/>
                <w:bCs/>
                <w:color w:val="auto"/>
              </w:rPr>
              <w:t>+</w:t>
            </w:r>
            <w:r w:rsidR="000A3382">
              <w:rPr>
                <w:b w:val="0"/>
                <w:bCs/>
                <w:color w:val="auto"/>
              </w:rPr>
              <w:t>5.1pp</w:t>
            </w:r>
          </w:p>
        </w:tc>
      </w:tr>
    </w:tbl>
    <w:p w14:paraId="7BC63EE7" w14:textId="754FF60B" w:rsidR="00963E2D" w:rsidRPr="00C27278" w:rsidRDefault="00963E2D" w:rsidP="00963E2D">
      <w:pPr>
        <w:pStyle w:val="Tablefigurenote"/>
      </w:pPr>
      <w:r w:rsidRPr="006C41AA">
        <w:t>Source: People matter survey data, 2021, 2023 and 2025.</w:t>
      </w:r>
      <w:r w:rsidR="00C62866">
        <w:t xml:space="preserve"> </w:t>
      </w:r>
      <w:r w:rsidR="00C62866" w:rsidRPr="0045737D">
        <w:t>Workplace gender audit workforce data, 2021, 2023 and 2025</w:t>
      </w:r>
      <w:r w:rsidR="00C62866">
        <w:t>.</w:t>
      </w:r>
    </w:p>
    <w:p w14:paraId="6B50720B" w14:textId="468DF304" w:rsidR="00264E0C" w:rsidRDefault="00963E2D" w:rsidP="004C6867">
      <w:pPr>
        <w:pStyle w:val="Tablefigurenote"/>
      </w:pPr>
      <w:r>
        <w:t xml:space="preserve">Notes: </w:t>
      </w:r>
      <w:r w:rsidRPr="004A49CE">
        <w:t>Table 3.</w:t>
      </w:r>
      <w:r w:rsidR="00C901AF">
        <w:t>8</w:t>
      </w:r>
      <w:r w:rsidRPr="004A49CE">
        <w:t xml:space="preserve"> </w:t>
      </w:r>
      <w:r w:rsidR="00546114" w:rsidRPr="004A49CE">
        <w:t xml:space="preserve">presents </w:t>
      </w:r>
      <w:r w:rsidR="00546114">
        <w:t>indicative</w:t>
      </w:r>
      <w:r w:rsidR="00546114" w:rsidRPr="004A49CE">
        <w:t xml:space="preserve"> pay gaps.</w:t>
      </w:r>
      <w:r w:rsidRPr="004A49CE" w:rsidDel="00546114">
        <w:t xml:space="preserve"> </w:t>
      </w:r>
      <w:r w:rsidRPr="004A49CE">
        <w:t xml:space="preserve">These figures are drawn from People Matter survey data rather than payroll records, and some comparator groups are based on small numbers of respondents. They should be read as indicative of broad patterns rather than precise measures, and they are not directly comparable with the payroll-based industry and occupational figures in Tables </w:t>
      </w:r>
      <w:r>
        <w:t xml:space="preserve">3.1, </w:t>
      </w:r>
      <w:r w:rsidRPr="004A49CE">
        <w:t>3.2 and 3.3. The Commission has not assigned progress ratings to these measures, given the data limitations.</w:t>
      </w:r>
      <w:r>
        <w:t xml:space="preserve"> </w:t>
      </w:r>
      <w:r w:rsidRPr="00AE1037">
        <w:t xml:space="preserve">The </w:t>
      </w:r>
      <w:r>
        <w:t xml:space="preserve">percentage point </w:t>
      </w:r>
      <w:r w:rsidRPr="00AE1037">
        <w:t>change column may not always reflect the exact difference between years due to rounding</w:t>
      </w:r>
      <w:r>
        <w:t>.</w:t>
      </w:r>
    </w:p>
    <w:tbl>
      <w:tblPr>
        <w:tblStyle w:val="TableGrid"/>
        <w:tblW w:w="0" w:type="auto"/>
        <w:tblLook w:val="04A0" w:firstRow="1" w:lastRow="0" w:firstColumn="1" w:lastColumn="0" w:noHBand="0" w:noVBand="1"/>
      </w:tblPr>
      <w:tblGrid>
        <w:gridCol w:w="9288"/>
      </w:tblGrid>
      <w:tr w:rsidR="009C25E3" w14:paraId="2EC49D0B" w14:textId="77777777" w:rsidTr="004444B7">
        <w:tc>
          <w:tcPr>
            <w:tcW w:w="9288" w:type="dxa"/>
            <w:tcBorders>
              <w:top w:val="nil"/>
              <w:left w:val="nil"/>
              <w:bottom w:val="nil"/>
              <w:right w:val="nil"/>
            </w:tcBorders>
            <w:shd w:val="clear" w:color="auto" w:fill="E3F3F9"/>
          </w:tcPr>
          <w:p w14:paraId="3D3AF77C" w14:textId="640F435B" w:rsidR="009C25E3" w:rsidRDefault="009817B5" w:rsidP="009C25E3">
            <w:pPr>
              <w:pStyle w:val="Heading2"/>
            </w:pPr>
            <w:bookmarkStart w:id="35" w:name="_Toc237259528"/>
            <w:r>
              <w:lastRenderedPageBreak/>
              <w:t>Estimating indicative</w:t>
            </w:r>
            <w:r w:rsidR="009C25E3">
              <w:t xml:space="preserve"> pay gap</w:t>
            </w:r>
            <w:r>
              <w:t>s</w:t>
            </w:r>
            <w:r w:rsidR="009C25E3">
              <w:t xml:space="preserve"> for groups facing intersectin</w:t>
            </w:r>
            <w:r w:rsidR="003C39CA">
              <w:t>g</w:t>
            </w:r>
            <w:r w:rsidR="009C25E3">
              <w:t xml:space="preserve"> inequalities</w:t>
            </w:r>
            <w:bookmarkEnd w:id="35"/>
            <w:r w:rsidR="009C25E3">
              <w:t xml:space="preserve"> </w:t>
            </w:r>
          </w:p>
          <w:p w14:paraId="6DD9555E" w14:textId="53EC261F" w:rsidR="00FC0BEA" w:rsidRDefault="009C25E3" w:rsidP="004444B7">
            <w:pPr>
              <w:pStyle w:val="Body"/>
              <w:rPr>
                <w:lang w:eastAsia="en-AU"/>
              </w:rPr>
            </w:pPr>
            <w:r>
              <w:t>T</w:t>
            </w:r>
            <w:r>
              <w:rPr>
                <w:lang w:eastAsia="en-AU"/>
              </w:rPr>
              <w:t xml:space="preserve">he Commission relies on a combination of anonymous People matter survey data and workforce data to analyse </w:t>
            </w:r>
            <w:r w:rsidR="009817B5">
              <w:rPr>
                <w:lang w:eastAsia="en-AU"/>
              </w:rPr>
              <w:t>pay</w:t>
            </w:r>
            <w:r>
              <w:rPr>
                <w:lang w:eastAsia="en-AU"/>
              </w:rPr>
              <w:t xml:space="preserve"> inequality</w:t>
            </w:r>
            <w:r w:rsidR="007E0397">
              <w:rPr>
                <w:lang w:eastAsia="en-AU"/>
              </w:rPr>
              <w:t xml:space="preserve"> for groups facing intersecting inequalities</w:t>
            </w:r>
            <w:r>
              <w:rPr>
                <w:lang w:eastAsia="en-AU"/>
              </w:rPr>
              <w:t xml:space="preserve">. </w:t>
            </w:r>
            <w:r w:rsidR="0027593D">
              <w:rPr>
                <w:lang w:eastAsia="en-AU"/>
              </w:rPr>
              <w:t xml:space="preserve">This is because workforce demographic data </w:t>
            </w:r>
            <w:r w:rsidR="00CF131D">
              <w:rPr>
                <w:lang w:eastAsia="en-AU"/>
              </w:rPr>
              <w:t xml:space="preserve">reporting rates are very low </w:t>
            </w:r>
            <w:r w:rsidR="007E0397">
              <w:rPr>
                <w:lang w:eastAsia="en-AU"/>
              </w:rPr>
              <w:t>(</w:t>
            </w:r>
            <w:r w:rsidR="0027593D">
              <w:rPr>
                <w:lang w:eastAsia="en-AU"/>
              </w:rPr>
              <w:t>aside from gender and age</w:t>
            </w:r>
            <w:r w:rsidR="007E0397">
              <w:rPr>
                <w:lang w:eastAsia="en-AU"/>
              </w:rPr>
              <w:t>)</w:t>
            </w:r>
            <w:r w:rsidR="00CF131D">
              <w:rPr>
                <w:lang w:eastAsia="en-AU"/>
              </w:rPr>
              <w:t>.</w:t>
            </w:r>
            <w:r w:rsidR="0027593D">
              <w:rPr>
                <w:lang w:eastAsia="en-AU"/>
              </w:rPr>
              <w:t xml:space="preserve"> </w:t>
            </w:r>
            <w:r>
              <w:rPr>
                <w:lang w:eastAsia="en-AU"/>
              </w:rPr>
              <w:t xml:space="preserve">Respondents to the People matter survey select a full-time equivalent annual salary range within $10,000 brackets. To narrow down these ranges and </w:t>
            </w:r>
            <w:r w:rsidR="007E0397">
              <w:rPr>
                <w:lang w:eastAsia="en-AU"/>
              </w:rPr>
              <w:t xml:space="preserve">estimate indicative </w:t>
            </w:r>
            <w:r>
              <w:rPr>
                <w:lang w:eastAsia="en-AU"/>
              </w:rPr>
              <w:t>pay gaps using more accurate pay figures, the Commission combine</w:t>
            </w:r>
            <w:r w:rsidR="008C1839">
              <w:rPr>
                <w:lang w:eastAsia="en-AU"/>
              </w:rPr>
              <w:t>d</w:t>
            </w:r>
            <w:r>
              <w:rPr>
                <w:lang w:eastAsia="en-AU"/>
              </w:rPr>
              <w:t xml:space="preserve"> data from diverse </w:t>
            </w:r>
            <w:r w:rsidRPr="00C27278">
              <w:rPr>
                <w:lang w:eastAsia="en-AU"/>
              </w:rPr>
              <w:t>People matter survey</w:t>
            </w:r>
            <w:r>
              <w:rPr>
                <w:lang w:eastAsia="en-AU"/>
              </w:rPr>
              <w:t xml:space="preserve"> respondents with more concrete workforce data on pay. </w:t>
            </w:r>
          </w:p>
          <w:p w14:paraId="45F0E3FD" w14:textId="541DBB40" w:rsidR="009C25E3" w:rsidRDefault="009C25E3" w:rsidP="004444B7">
            <w:pPr>
              <w:pStyle w:val="Body"/>
              <w:rPr>
                <w:lang w:eastAsia="en-AU"/>
              </w:rPr>
            </w:pPr>
            <w:r>
              <w:rPr>
                <w:lang w:eastAsia="en-AU"/>
              </w:rPr>
              <w:t xml:space="preserve">It </w:t>
            </w:r>
            <w:r w:rsidR="008C1839">
              <w:rPr>
                <w:lang w:eastAsia="en-AU"/>
              </w:rPr>
              <w:t>did</w:t>
            </w:r>
            <w:r>
              <w:rPr>
                <w:lang w:eastAsia="en-AU"/>
              </w:rPr>
              <w:t xml:space="preserve"> this by assigning base salaries in the workforce data </w:t>
            </w:r>
            <w:r w:rsidR="007B69BE">
              <w:rPr>
                <w:lang w:eastAsia="en-AU"/>
              </w:rPr>
              <w:t xml:space="preserve">– </w:t>
            </w:r>
            <w:r w:rsidR="00654CFB">
              <w:rPr>
                <w:lang w:eastAsia="en-AU"/>
              </w:rPr>
              <w:t>that is</w:t>
            </w:r>
            <w:r>
              <w:rPr>
                <w:lang w:eastAsia="en-AU"/>
              </w:rPr>
              <w:t>, actual salaries recorded in payroll systems</w:t>
            </w:r>
            <w:r w:rsidR="007B69BE">
              <w:rPr>
                <w:lang w:eastAsia="en-AU"/>
              </w:rPr>
              <w:t xml:space="preserve"> –</w:t>
            </w:r>
            <w:r>
              <w:rPr>
                <w:lang w:eastAsia="en-AU"/>
              </w:rPr>
              <w:t xml:space="preserve"> to the People matter survey base salary ranges selected by diverse respondents. First, mean base salaries within each </w:t>
            </w:r>
            <w:r w:rsidRPr="00C27278">
              <w:rPr>
                <w:lang w:eastAsia="en-AU"/>
              </w:rPr>
              <w:t>People matter survey</w:t>
            </w:r>
            <w:r>
              <w:rPr>
                <w:lang w:eastAsia="en-AU"/>
              </w:rPr>
              <w:t xml:space="preserve"> salary range were calculated for each duty holder and each industry group. This means they were taken from the workforce data for all employees within an organisation, regardless of gender or other attributes. The mean base salary for each organisation in each $10,000 bracket was then assigned to each respondent in the survey. Mean base salaries assigned to individual respondents in the survey were then used to </w:t>
            </w:r>
            <w:r w:rsidR="00D85690">
              <w:rPr>
                <w:lang w:eastAsia="en-AU"/>
              </w:rPr>
              <w:t xml:space="preserve">estimate </w:t>
            </w:r>
            <w:r>
              <w:rPr>
                <w:lang w:eastAsia="en-AU"/>
              </w:rPr>
              <w:t>an overall</w:t>
            </w:r>
            <w:r w:rsidR="00D85690">
              <w:rPr>
                <w:lang w:eastAsia="en-AU"/>
              </w:rPr>
              <w:t>, indicative</w:t>
            </w:r>
            <w:r>
              <w:rPr>
                <w:lang w:eastAsia="en-AU"/>
              </w:rPr>
              <w:t xml:space="preserve"> mean for each specific group that was reported on (for example, ‘</w:t>
            </w:r>
            <w:r w:rsidR="00D85690">
              <w:rPr>
                <w:lang w:eastAsia="en-AU"/>
              </w:rPr>
              <w:t>First Nations</w:t>
            </w:r>
            <w:r>
              <w:rPr>
                <w:lang w:eastAsia="en-AU"/>
              </w:rPr>
              <w:t xml:space="preserve"> women’ or ‘men with disability’). The </w:t>
            </w:r>
            <w:r w:rsidR="00664007">
              <w:rPr>
                <w:lang w:eastAsia="en-AU"/>
              </w:rPr>
              <w:t>estimated</w:t>
            </w:r>
            <w:r>
              <w:rPr>
                <w:lang w:eastAsia="en-AU"/>
              </w:rPr>
              <w:t xml:space="preserve"> mean for a particular group was then used to determine a</w:t>
            </w:r>
            <w:r w:rsidR="00664007">
              <w:rPr>
                <w:lang w:eastAsia="en-AU"/>
              </w:rPr>
              <w:t>n indicative</w:t>
            </w:r>
            <w:r>
              <w:rPr>
                <w:lang w:eastAsia="en-AU"/>
              </w:rPr>
              <w:t xml:space="preserve"> pay gap between </w:t>
            </w:r>
            <w:r w:rsidR="00E32F0B">
              <w:rPr>
                <w:lang w:eastAsia="en-AU"/>
              </w:rPr>
              <w:t>2</w:t>
            </w:r>
            <w:r>
              <w:rPr>
                <w:lang w:eastAsia="en-AU"/>
              </w:rPr>
              <w:t xml:space="preserve"> specific groups.</w:t>
            </w:r>
          </w:p>
          <w:p w14:paraId="76AD9DA0" w14:textId="41A2BC6A" w:rsidR="009C25E3" w:rsidRDefault="000E197E" w:rsidP="004444B7">
            <w:pPr>
              <w:pStyle w:val="Body"/>
            </w:pPr>
            <w:r>
              <w:t xml:space="preserve">Because </w:t>
            </w:r>
            <w:r w:rsidR="008B53BD">
              <w:t>these indicative pay gaps</w:t>
            </w:r>
            <w:r w:rsidR="00107F7F">
              <w:t xml:space="preserve"> </w:t>
            </w:r>
            <w:r w:rsidR="007E26A2">
              <w:t>are not calculated using</w:t>
            </w:r>
            <w:r w:rsidR="00107F7F">
              <w:t xml:space="preserve"> concrete workforce data on pay, they are not as reliable as other pay gaps represented in this report. </w:t>
            </w:r>
            <w:r w:rsidR="00BB4EB2">
              <w:t xml:space="preserve">Estimating pay gaps using this approach </w:t>
            </w:r>
            <w:r w:rsidR="001571F6">
              <w:t xml:space="preserve">is a way of </w:t>
            </w:r>
            <w:r w:rsidR="009B527F">
              <w:t xml:space="preserve">identifying the approximate scale of pay inequality between groups. But </w:t>
            </w:r>
            <w:r w:rsidR="00F831EC">
              <w:t xml:space="preserve">the indicative pay gaps in this report should not be considered </w:t>
            </w:r>
            <w:r w:rsidR="00F314B8">
              <w:t xml:space="preserve">an accurate representation of the precise difference in pay between </w:t>
            </w:r>
            <w:r w:rsidR="009F7D6E">
              <w:t xml:space="preserve">those </w:t>
            </w:r>
            <w:r w:rsidR="00F314B8">
              <w:t>groups. They are also not comparable to other pay gaps</w:t>
            </w:r>
            <w:r w:rsidR="009F7D6E">
              <w:t xml:space="preserve"> that use payroll records</w:t>
            </w:r>
            <w:r w:rsidR="00F314B8">
              <w:t xml:space="preserve">. What they </w:t>
            </w:r>
            <w:r w:rsidR="00F314B8" w:rsidRPr="00097F8F">
              <w:rPr>
                <w:i/>
              </w:rPr>
              <w:t>can</w:t>
            </w:r>
            <w:r w:rsidR="00F314B8">
              <w:t xml:space="preserve"> do, is </w:t>
            </w:r>
            <w:r w:rsidR="00AA3B28">
              <w:t>suggest</w:t>
            </w:r>
            <w:r w:rsidR="00F314B8">
              <w:t xml:space="preserve"> where pay inequality may be </w:t>
            </w:r>
            <w:r w:rsidR="00E83A9C">
              <w:t>greater</w:t>
            </w:r>
            <w:r w:rsidR="00BF41A4">
              <w:t xml:space="preserve"> for those facing intersecting inequalities</w:t>
            </w:r>
            <w:r w:rsidR="00E83A9C">
              <w:t xml:space="preserve">. This helps organisations and industries target their efforts to </w:t>
            </w:r>
            <w:r w:rsidR="006B0B8F">
              <w:t>address intersectional gender inequality.</w:t>
            </w:r>
          </w:p>
          <w:p w14:paraId="2C66A1E5" w14:textId="77777777" w:rsidR="00510F41" w:rsidRDefault="00510F41" w:rsidP="00510F41">
            <w:r>
              <w:t>Gender is centralised in this report’s analysis of indicative pay gaps for groups facing intersecting inequalities. The Commission was established with a clear remit in relation to intersectional gender inequality. As such, the Commission’s primary focus is the role of gender in shaping public sector workforces, workplaces and careers. By producing indicative pay gaps between various groups of public sector employees of different genders – who do or do not also share an additional demographic attribute – this report helps demonstrate how gender inequality is compounded by other forms of discrimination.</w:t>
            </w:r>
          </w:p>
          <w:p w14:paraId="785DA52E" w14:textId="45CD6C97" w:rsidR="00510F41" w:rsidRDefault="00510F41" w:rsidP="00510F41">
            <w:r>
              <w:t xml:space="preserve">The intent of this analysis is not to rank different groups facing intersecting inequality against one another with regards to pay. Rather, it is to show how both gender </w:t>
            </w:r>
            <w:r w:rsidRPr="00935FD3">
              <w:t>and</w:t>
            </w:r>
            <w:r>
              <w:t xml:space="preserve"> other forms of discrimination combine to different degrees to increase pay inequality in the Victorian public sector. In reality, individuals’ lived experiences of discrimination can’t be siloed in this way. The experience of gendered racism can’t be neatly isolated into the separate parts of gender inequality and racism. However, looking at the data across a range of demographic variables in this way helps to reveal the contributing factors and hopefully, to </w:t>
            </w:r>
            <w:r w:rsidR="00326503">
              <w:t xml:space="preserve">help begin to </w:t>
            </w:r>
            <w:r>
              <w:t xml:space="preserve">identify root causes that can be addressed. Providing indicative pay gaps across a range of variables also shows where the disparities are starkest. By comparing those who experience a form of compounded gender inequality (such as women with disability) with those who face neither gender inequality, nor the additional inequality examined (such as men without disability), the </w:t>
            </w:r>
            <w:r>
              <w:lastRenderedPageBreak/>
              <w:t xml:space="preserve">extent of the pay penalty is </w:t>
            </w:r>
            <w:r w:rsidR="00A82D88">
              <w:t>made visible</w:t>
            </w:r>
            <w:r>
              <w:t xml:space="preserve">. Isolating these groups makes it possible to see how inequalities compound to multiply the lost earnings for those facing intersecting inequality – which have potentially profound financial </w:t>
            </w:r>
            <w:r w:rsidR="008C1839">
              <w:t>e</w:t>
            </w:r>
            <w:r>
              <w:t>ffects over a lifetime.</w:t>
            </w:r>
          </w:p>
          <w:p w14:paraId="0FEF2B93" w14:textId="3E4A9EFE" w:rsidR="00510F41" w:rsidRDefault="00510F41" w:rsidP="005E3A84">
            <w:r>
              <w:t xml:space="preserve">Producing pay gaps for groups facing intersecting inequalities is an emerging area of data analysis that is not always approached consistently. Jobs and Skills Australia, for example, use ‘all men’ as a constant comparator to consider how a group facing compounded discrimination is faring (JSA 2025). This has the advantage of demonstrating the extent of the gap for each group compared to a stable figure (the average pay of all men in the sample). However, the limitation of this approach is that it does not demonstrate the full extent of the pay penalty generated by the intersection of gender and another attribute. This is because the sample ‘all men’ includes, for example, culturally and racially marginalised (CARM) men. As such, when the average pay of all men is compared to that of CARM women, it is likely to generate a smaller gap than if you isolate men who do not experience discrimination </w:t>
            </w:r>
            <w:r w:rsidR="002E1181">
              <w:t>based on</w:t>
            </w:r>
            <w:r>
              <w:t xml:space="preserve"> their culture and/or race as the comparator. Both methods are valid and have different advantages.</w:t>
            </w:r>
          </w:p>
          <w:p w14:paraId="60E43B52" w14:textId="7ED0AF01" w:rsidR="009C25E3" w:rsidRDefault="008C1EF4" w:rsidP="004444B7">
            <w:pPr>
              <w:pStyle w:val="Body"/>
            </w:pPr>
            <w:r>
              <w:rPr>
                <w:szCs w:val="18"/>
              </w:rPr>
              <w:t xml:space="preserve">See </w:t>
            </w:r>
            <w:hyperlink r:id="rId35" w:history="1">
              <w:r w:rsidRPr="00F823E6">
                <w:rPr>
                  <w:rStyle w:val="Hyperlink"/>
                  <w:rFonts w:cs="Arial"/>
                  <w:iCs/>
                  <w:szCs w:val="18"/>
                </w:rPr>
                <w:t>Intersectionality at work</w:t>
              </w:r>
            </w:hyperlink>
            <w:r>
              <w:rPr>
                <w:iCs/>
                <w:szCs w:val="18"/>
              </w:rPr>
              <w:t xml:space="preserve"> (2023)</w:t>
            </w:r>
            <w:r w:rsidRPr="00F823E6">
              <w:rPr>
                <w:iCs/>
                <w:szCs w:val="18"/>
              </w:rPr>
              <w:t xml:space="preserve"> </w:t>
            </w:r>
            <w:r>
              <w:rPr>
                <w:szCs w:val="18"/>
              </w:rPr>
              <w:t>for further discussion around language the Commission uses to describe groups that experience compounded discrimination.</w:t>
            </w:r>
          </w:p>
        </w:tc>
      </w:tr>
    </w:tbl>
    <w:p w14:paraId="77FE5CE7" w14:textId="4FC25701" w:rsidR="007B6873" w:rsidRDefault="00280AAC" w:rsidP="00131CF6">
      <w:pPr>
        <w:pStyle w:val="Heading3"/>
      </w:pPr>
      <w:r>
        <w:lastRenderedPageBreak/>
        <w:t>Signs of progress</w:t>
      </w:r>
    </w:p>
    <w:p w14:paraId="007B4162" w14:textId="75795D94" w:rsidR="007A28E6" w:rsidRDefault="00C82E50" w:rsidP="007A28E6">
      <w:pPr>
        <w:pStyle w:val="Heading4"/>
      </w:pPr>
      <w:r>
        <w:t xml:space="preserve">Pay gaps </w:t>
      </w:r>
      <w:r w:rsidR="0027603D">
        <w:t>narrowed</w:t>
      </w:r>
      <w:r>
        <w:t xml:space="preserve"> in key men-concentrated</w:t>
      </w:r>
      <w:r w:rsidR="007A28E6">
        <w:t xml:space="preserve"> industr</w:t>
      </w:r>
      <w:r>
        <w:t>ies</w:t>
      </w:r>
      <w:r w:rsidR="007A28E6">
        <w:t xml:space="preserve"> and occupation</w:t>
      </w:r>
      <w:r>
        <w:t>s</w:t>
      </w:r>
    </w:p>
    <w:p w14:paraId="23E6E0C0" w14:textId="7154AFC4" w:rsidR="005713D1" w:rsidRDefault="007A28E6" w:rsidP="0078531C">
      <w:pPr>
        <w:pStyle w:val="BodyText"/>
      </w:pPr>
      <w:r>
        <w:t>Some</w:t>
      </w:r>
      <w:r w:rsidRPr="00E61B52">
        <w:t xml:space="preserve"> of the strongest reductions in gender pay gaps </w:t>
      </w:r>
      <w:r w:rsidRPr="00C27278">
        <w:t>occurr</w:t>
      </w:r>
      <w:r>
        <w:t>ed</w:t>
      </w:r>
      <w:r w:rsidRPr="00E61B52">
        <w:t xml:space="preserve"> in </w:t>
      </w:r>
      <w:r w:rsidR="000028FF">
        <w:t>traditionally</w:t>
      </w:r>
      <w:r w:rsidRPr="00E61B52">
        <w:t xml:space="preserve"> </w:t>
      </w:r>
      <w:r>
        <w:t>men-concentrated</w:t>
      </w:r>
      <w:r w:rsidRPr="00E61B52">
        <w:t xml:space="preserve"> industries and occupations, including police and emergency services</w:t>
      </w:r>
      <w:r>
        <w:t xml:space="preserve"> (6.1 percentage point reduction)</w:t>
      </w:r>
      <w:r w:rsidRPr="00E61B52">
        <w:t>, water and land management</w:t>
      </w:r>
      <w:r>
        <w:t xml:space="preserve"> (2.9 percentage point reduction)</w:t>
      </w:r>
      <w:r w:rsidRPr="00E61B52">
        <w:t>, labouring roles</w:t>
      </w:r>
      <w:r>
        <w:t xml:space="preserve"> (9.4 percentage point reduction)</w:t>
      </w:r>
      <w:r w:rsidRPr="00E61B52">
        <w:t>, machinery operat</w:t>
      </w:r>
      <w:r>
        <w:t>ors and drivers (3.3 percentage point reduction)</w:t>
      </w:r>
      <w:r w:rsidRPr="00E61B52">
        <w:t xml:space="preserve"> and </w:t>
      </w:r>
      <w:r>
        <w:t>technicians and trade workers (0.8 percentage point reduction)</w:t>
      </w:r>
      <w:r w:rsidRPr="00E61B52">
        <w:t>.</w:t>
      </w:r>
      <w:r>
        <w:t xml:space="preserve"> </w:t>
      </w:r>
      <w:r w:rsidR="005713D1" w:rsidRPr="005713D1">
        <w:t xml:space="preserve">This pattern is consistent with some organisations beginning to address the structural drivers of inequality, including </w:t>
      </w:r>
      <w:r w:rsidR="00604EFE">
        <w:t xml:space="preserve">gendered </w:t>
      </w:r>
      <w:r w:rsidR="005713D1" w:rsidRPr="005713D1">
        <w:t xml:space="preserve">occupational segregation, progression pathways and access to higher-paid roles. </w:t>
      </w:r>
    </w:p>
    <w:p w14:paraId="2056676B" w14:textId="324A041D" w:rsidR="000B7194" w:rsidRDefault="001B024D" w:rsidP="00C064CB">
      <w:pPr>
        <w:pStyle w:val="Heading4"/>
      </w:pPr>
      <w:r>
        <w:t>M</w:t>
      </w:r>
      <w:r w:rsidR="0086593C">
        <w:t>any</w:t>
      </w:r>
      <w:r w:rsidR="000163B8">
        <w:t xml:space="preserve"> organisations </w:t>
      </w:r>
      <w:r w:rsidR="00311AD4">
        <w:t xml:space="preserve">and one industry </w:t>
      </w:r>
      <w:r w:rsidR="008F567F">
        <w:t>ha</w:t>
      </w:r>
      <w:r w:rsidR="003F6BA5">
        <w:t>d</w:t>
      </w:r>
      <w:r w:rsidR="008F567F">
        <w:t xml:space="preserve"> a pay gap in the +/-3% range</w:t>
      </w:r>
      <w:r w:rsidR="003F6BA5">
        <w:t xml:space="preserve"> </w:t>
      </w:r>
      <w:r w:rsidR="003F4EF0">
        <w:t>in</w:t>
      </w:r>
      <w:r w:rsidR="003F6BA5">
        <w:t xml:space="preserve"> 2025</w:t>
      </w:r>
    </w:p>
    <w:p w14:paraId="69225A2D" w14:textId="0AC4860F" w:rsidR="00311AD4" w:rsidRDefault="008A6C89" w:rsidP="00311AD4">
      <w:pPr>
        <w:pStyle w:val="BodyText"/>
      </w:pPr>
      <w:r>
        <w:t>Many</w:t>
      </w:r>
      <w:r w:rsidR="00F64B96" w:rsidRPr="00F64B96">
        <w:t xml:space="preserve"> organisations reduced their pay gaps at the workplace level. The proportion </w:t>
      </w:r>
      <w:r w:rsidR="00D218E8">
        <w:t>of organisations</w:t>
      </w:r>
      <w:r w:rsidR="00F64B96" w:rsidRPr="00F64B96">
        <w:t xml:space="preserve"> with</w:t>
      </w:r>
      <w:r w:rsidR="009F27A3">
        <w:t>in the target</w:t>
      </w:r>
      <w:r w:rsidR="00F64B96" w:rsidRPr="00F64B96">
        <w:t xml:space="preserve"> total remuneration pay gap </w:t>
      </w:r>
      <w:r w:rsidR="002248E0">
        <w:t>range</w:t>
      </w:r>
      <w:r w:rsidR="00F64B96" w:rsidRPr="00F64B96">
        <w:t xml:space="preserve"> </w:t>
      </w:r>
      <w:r w:rsidR="001E5C06">
        <w:t>(+/-</w:t>
      </w:r>
      <w:r w:rsidR="00F64B96" w:rsidRPr="00F64B96">
        <w:t xml:space="preserve">3%) rose by 4.3 percentage points since 2021, while the proportion </w:t>
      </w:r>
      <w:r w:rsidR="00466294">
        <w:t xml:space="preserve">of organisations </w:t>
      </w:r>
      <w:r w:rsidR="00F64B96" w:rsidRPr="00F64B96">
        <w:t>with moderate to large gaps declined. This organisation-level progress is the clearest sign that the work duty holders are doing is having a</w:t>
      </w:r>
      <w:r w:rsidR="00676E3D">
        <w:t xml:space="preserve"> positive</w:t>
      </w:r>
      <w:r w:rsidR="00F64B96" w:rsidRPr="00F64B96">
        <w:t xml:space="preserve"> effect</w:t>
      </w:r>
      <w:r w:rsidR="00B5148F">
        <w:t>.</w:t>
      </w:r>
      <w:r w:rsidR="00F64B96" w:rsidRPr="00F64B96">
        <w:t xml:space="preserve"> </w:t>
      </w:r>
      <w:r w:rsidR="00B5148F">
        <w:t>A</w:t>
      </w:r>
      <w:r w:rsidR="00F64B96" w:rsidRPr="00F64B96">
        <w:t xml:space="preserve">s set out above, it is also why </w:t>
      </w:r>
      <w:r w:rsidR="00163B86">
        <w:t xml:space="preserve">a lack of movement in </w:t>
      </w:r>
      <w:r w:rsidR="00F64B96" w:rsidRPr="00F64B96">
        <w:t xml:space="preserve">the sector-wide </w:t>
      </w:r>
      <w:r w:rsidR="0086563E">
        <w:t xml:space="preserve">pay gap </w:t>
      </w:r>
      <w:r w:rsidR="008A39E4">
        <w:t>does</w:t>
      </w:r>
      <w:r w:rsidR="00F64B96" w:rsidRPr="00F64B96">
        <w:t xml:space="preserve"> not </w:t>
      </w:r>
      <w:r w:rsidR="008A39E4">
        <w:t>tell the full story</w:t>
      </w:r>
      <w:r w:rsidR="00F64B96" w:rsidRPr="00F64B96">
        <w:t xml:space="preserve">. </w:t>
      </w:r>
    </w:p>
    <w:p w14:paraId="6518A7FC" w14:textId="0C96509E" w:rsidR="00F64B96" w:rsidRDefault="00311AD4" w:rsidP="0078531C">
      <w:pPr>
        <w:pStyle w:val="BodyText"/>
        <w:rPr>
          <w:b/>
          <w:bCs/>
        </w:rPr>
      </w:pPr>
      <w:r>
        <w:t xml:space="preserve">Local government </w:t>
      </w:r>
      <w:r w:rsidR="001E0B4F">
        <w:t>wa</w:t>
      </w:r>
      <w:r>
        <w:t xml:space="preserve">s the only industry within the target pay gap range of +/-3%. Local government reduced their pay gap from </w:t>
      </w:r>
      <w:r w:rsidR="00D755C1">
        <w:t>5.7</w:t>
      </w:r>
      <w:r>
        <w:t>% in 2021 to 2.4% in 2025.</w:t>
      </w:r>
    </w:p>
    <w:p w14:paraId="69514541" w14:textId="1F1E365F" w:rsidR="00D41032" w:rsidRDefault="00D41032" w:rsidP="00D41032">
      <w:pPr>
        <w:pStyle w:val="Heading4"/>
      </w:pPr>
      <w:r>
        <w:t>Police and emergency services and public health care</w:t>
      </w:r>
      <w:r w:rsidR="00D804E0">
        <w:t xml:space="preserve"> made significant reductions to their pay gaps</w:t>
      </w:r>
    </w:p>
    <w:p w14:paraId="0F8FC8E5" w14:textId="1040E90B" w:rsidR="00706799" w:rsidRDefault="00576BEF" w:rsidP="0078531C">
      <w:pPr>
        <w:pStyle w:val="BodyText"/>
      </w:pPr>
      <w:r w:rsidRPr="00842693">
        <w:t xml:space="preserve">The police and emergency services industry reduced its </w:t>
      </w:r>
      <w:r w:rsidR="00E422A3">
        <w:t xml:space="preserve">pay </w:t>
      </w:r>
      <w:r w:rsidRPr="00842693">
        <w:t>gap by the largest margin, from 18.1</w:t>
      </w:r>
      <w:r w:rsidR="00D95DC1">
        <w:t>%</w:t>
      </w:r>
      <w:r w:rsidRPr="00842693">
        <w:t xml:space="preserve"> in 2021 to 12.0</w:t>
      </w:r>
      <w:r w:rsidR="00D95DC1">
        <w:t>%</w:t>
      </w:r>
      <w:r w:rsidRPr="00842693">
        <w:t xml:space="preserve"> in 2025. </w:t>
      </w:r>
    </w:p>
    <w:p w14:paraId="46C86527" w14:textId="7D9F76B7" w:rsidR="00576BEF" w:rsidRPr="00842693" w:rsidRDefault="00576BEF" w:rsidP="0078531C">
      <w:pPr>
        <w:pStyle w:val="BodyText"/>
      </w:pPr>
      <w:r w:rsidRPr="00842693">
        <w:t xml:space="preserve">Public health care </w:t>
      </w:r>
      <w:r w:rsidR="00E62B16">
        <w:t>(</w:t>
      </w:r>
      <w:r w:rsidRPr="00842693">
        <w:t>which has the highest pay gap of any industry</w:t>
      </w:r>
      <w:r w:rsidR="00E62B16">
        <w:t>)</w:t>
      </w:r>
      <w:r w:rsidRPr="00842693">
        <w:t xml:space="preserve"> reduced its gap by 5.0 percentage points, from 34.0</w:t>
      </w:r>
      <w:r w:rsidR="006E658F">
        <w:t>%</w:t>
      </w:r>
      <w:r w:rsidRPr="00842693">
        <w:t xml:space="preserve"> to 29.0</w:t>
      </w:r>
      <w:r w:rsidR="006E658F">
        <w:t>%</w:t>
      </w:r>
      <w:r w:rsidRPr="00842693">
        <w:t>. The</w:t>
      </w:r>
      <w:r w:rsidRPr="00842693" w:rsidDel="003B1A84">
        <w:t xml:space="preserve"> </w:t>
      </w:r>
      <w:r w:rsidR="001C1458" w:rsidRPr="00842693">
        <w:t xml:space="preserve">gender pay </w:t>
      </w:r>
      <w:r w:rsidRPr="00842693">
        <w:t xml:space="preserve">gap </w:t>
      </w:r>
      <w:r w:rsidR="001C1458" w:rsidRPr="00842693">
        <w:t>in health</w:t>
      </w:r>
      <w:r w:rsidR="007A115E">
        <w:t xml:space="preserve"> </w:t>
      </w:r>
      <w:r w:rsidR="001C1458" w:rsidRPr="00842693">
        <w:t>ca</w:t>
      </w:r>
      <w:r w:rsidR="00F37C01" w:rsidRPr="00842693">
        <w:t xml:space="preserve">re </w:t>
      </w:r>
      <w:r w:rsidRPr="00842693">
        <w:t xml:space="preserve">remains </w:t>
      </w:r>
      <w:r w:rsidR="008B5416">
        <w:t>very high</w:t>
      </w:r>
      <w:r w:rsidRPr="00842693">
        <w:t xml:space="preserve">, but a reduction of this size in a very large, highly </w:t>
      </w:r>
      <w:r w:rsidR="003B1A84">
        <w:t>women</w:t>
      </w:r>
      <w:r w:rsidRPr="00842693">
        <w:t xml:space="preserve">-concentrated industry shows that meaningful change is achievable even where gaps are widest. </w:t>
      </w:r>
    </w:p>
    <w:p w14:paraId="34EA001A" w14:textId="17A61EC5" w:rsidR="0002195C" w:rsidRDefault="00CD3E1F" w:rsidP="00BD1744">
      <w:pPr>
        <w:pStyle w:val="Heading4"/>
        <w:rPr>
          <w:b w:val="0"/>
          <w:bCs w:val="0"/>
        </w:rPr>
      </w:pPr>
      <w:r>
        <w:lastRenderedPageBreak/>
        <w:t>Indicative p</w:t>
      </w:r>
      <w:r w:rsidR="00632159">
        <w:t>ay gaps narrowed for s</w:t>
      </w:r>
      <w:r w:rsidR="0002195C" w:rsidRPr="0002195C">
        <w:t xml:space="preserve">ome groups facing intersecting inequalities </w:t>
      </w:r>
    </w:p>
    <w:p w14:paraId="6FBE1421" w14:textId="5BEE8979" w:rsidR="00F932E1" w:rsidRPr="00F932E1" w:rsidRDefault="00F932E1" w:rsidP="0078531C">
      <w:pPr>
        <w:pStyle w:val="BodyText"/>
      </w:pPr>
      <w:r w:rsidRPr="00F932E1">
        <w:t xml:space="preserve">Subject to the data caveats noted above, there were modest improvements for some groups experiencing compounded inequality. The </w:t>
      </w:r>
      <w:r w:rsidR="00D635B2">
        <w:t>indicative</w:t>
      </w:r>
      <w:r w:rsidRPr="00F932E1">
        <w:t xml:space="preserve"> pay gaps for First Nations women and CARM women each narrowed by 1.2 percentage points</w:t>
      </w:r>
      <w:r w:rsidR="002773A4">
        <w:t xml:space="preserve"> (compared to non-Indigenous men</w:t>
      </w:r>
      <w:r w:rsidRPr="00F932E1" w:rsidDel="00B7696D">
        <w:t xml:space="preserve"> and </w:t>
      </w:r>
      <w:r w:rsidR="002773A4">
        <w:t>non-CARM men respectively)</w:t>
      </w:r>
      <w:r w:rsidR="00B7696D">
        <w:t>. T</w:t>
      </w:r>
      <w:r w:rsidRPr="00F932E1">
        <w:t xml:space="preserve">he </w:t>
      </w:r>
      <w:r w:rsidR="00B7696D">
        <w:t xml:space="preserve">pay </w:t>
      </w:r>
      <w:r w:rsidRPr="00F932E1">
        <w:t xml:space="preserve">gap for women with disability </w:t>
      </w:r>
      <w:r w:rsidR="002773A4">
        <w:t xml:space="preserve">(compared to men without disability) </w:t>
      </w:r>
      <w:r w:rsidRPr="00F932E1">
        <w:t xml:space="preserve">narrowed by 4.7 </w:t>
      </w:r>
      <w:r w:rsidR="00B7696D">
        <w:t xml:space="preserve">percentage </w:t>
      </w:r>
      <w:r w:rsidRPr="00F932E1">
        <w:t>points</w:t>
      </w:r>
      <w:r w:rsidR="00FA0014">
        <w:t xml:space="preserve"> </w:t>
      </w:r>
      <w:r w:rsidR="00560FDC">
        <w:t>–</w:t>
      </w:r>
      <w:r w:rsidR="00FA0014" w:rsidRPr="00F932E1">
        <w:t xml:space="preserve"> </w:t>
      </w:r>
      <w:r w:rsidRPr="00F932E1">
        <w:t>the most</w:t>
      </w:r>
      <w:r w:rsidR="00786B3D">
        <w:t xml:space="preserve"> of any group</w:t>
      </w:r>
      <w:r w:rsidR="00787C4A">
        <w:t xml:space="preserve"> experiencing compounded gender inequality (</w:t>
      </w:r>
      <w:r w:rsidR="005D321C">
        <w:t xml:space="preserve">when </w:t>
      </w:r>
      <w:r w:rsidR="00787C4A">
        <w:t xml:space="preserve">compared to men </w:t>
      </w:r>
      <w:r w:rsidR="00A320F6">
        <w:t>without th</w:t>
      </w:r>
      <w:r w:rsidR="008714A1">
        <w:t>e attribute</w:t>
      </w:r>
      <w:r w:rsidR="0039073F">
        <w:t>)</w:t>
      </w:r>
      <w:r w:rsidRPr="00F932E1">
        <w:t>.</w:t>
      </w:r>
    </w:p>
    <w:p w14:paraId="02BA2CA5" w14:textId="25616407" w:rsidR="00535CBF" w:rsidRDefault="003E371D" w:rsidP="0078531C">
      <w:pPr>
        <w:pStyle w:val="BodyText"/>
      </w:pPr>
      <w:r>
        <w:t xml:space="preserve">However, </w:t>
      </w:r>
      <w:r w:rsidR="00380837">
        <w:t>pay</w:t>
      </w:r>
      <w:r>
        <w:t xml:space="preserve"> gaps widened</w:t>
      </w:r>
      <w:r w:rsidR="00535CBF">
        <w:t xml:space="preserve"> for </w:t>
      </w:r>
      <w:r>
        <w:t xml:space="preserve">other </w:t>
      </w:r>
      <w:r w:rsidR="00F932E1" w:rsidRPr="00F932E1" w:rsidDel="003E371D">
        <w:t>groups</w:t>
      </w:r>
      <w:r w:rsidR="00F932E1" w:rsidRPr="00F932E1">
        <w:t>.</w:t>
      </w:r>
      <w:r w:rsidR="00535CBF">
        <w:t xml:space="preserve"> The </w:t>
      </w:r>
      <w:r w:rsidR="007406E4">
        <w:t>indicative</w:t>
      </w:r>
      <w:r w:rsidR="00535CBF">
        <w:t xml:space="preserve"> pay gap for lesbian, gay, bisexual, pansexual or asexual women </w:t>
      </w:r>
      <w:r w:rsidR="002E039E">
        <w:t xml:space="preserve">(compared to straight men) </w:t>
      </w:r>
      <w:r w:rsidR="00F932E1" w:rsidRPr="00F932E1">
        <w:t>widened</w:t>
      </w:r>
      <w:r w:rsidR="00535CBF">
        <w:t xml:space="preserve"> slightly </w:t>
      </w:r>
      <w:r w:rsidR="00F932E1" w:rsidRPr="00F932E1">
        <w:t>(up</w:t>
      </w:r>
      <w:r w:rsidR="00535CBF">
        <w:t xml:space="preserve"> 1.9 percentage points</w:t>
      </w:r>
      <w:r w:rsidR="00F932E1" w:rsidRPr="00F932E1">
        <w:t xml:space="preserve">), and for </w:t>
      </w:r>
      <w:r w:rsidR="00535CBF">
        <w:t>trans, non-binary and gender</w:t>
      </w:r>
      <w:r w:rsidR="00F932E1" w:rsidRPr="00F932E1">
        <w:t>-</w:t>
      </w:r>
      <w:r w:rsidR="00535CBF">
        <w:t xml:space="preserve">diverse people </w:t>
      </w:r>
      <w:r w:rsidR="00CE60B8">
        <w:t>(compared to cisgender men)</w:t>
      </w:r>
      <w:r w:rsidR="00535CBF">
        <w:t xml:space="preserve"> it </w:t>
      </w:r>
      <w:r w:rsidR="00F932E1" w:rsidRPr="00F932E1">
        <w:t>widened</w:t>
      </w:r>
      <w:r w:rsidR="00535CBF">
        <w:t xml:space="preserve"> more </w:t>
      </w:r>
      <w:r w:rsidR="00F932E1" w:rsidRPr="00F932E1">
        <w:t>(up</w:t>
      </w:r>
      <w:r w:rsidR="00535CBF">
        <w:t xml:space="preserve"> 5.1 percentage points</w:t>
      </w:r>
      <w:r w:rsidR="00F932E1" w:rsidRPr="00F932E1">
        <w:t xml:space="preserve">). While these figures </w:t>
      </w:r>
      <w:r w:rsidR="00F96AE9">
        <w:t>use</w:t>
      </w:r>
      <w:r w:rsidR="00F932E1" w:rsidRPr="00F932E1">
        <w:t xml:space="preserve"> smaller samples and should be read with care, the direction </w:t>
      </w:r>
      <w:r w:rsidR="00727C6F">
        <w:t xml:space="preserve">of change </w:t>
      </w:r>
      <w:r w:rsidR="00F932E1" w:rsidRPr="00F932E1">
        <w:t>is a concern</w:t>
      </w:r>
      <w:r w:rsidR="00727C6F">
        <w:t>. I</w:t>
      </w:r>
      <w:r w:rsidR="00F932E1" w:rsidRPr="00F932E1">
        <w:t>t</w:t>
      </w:r>
      <w:r w:rsidR="00535CBF" w:rsidRPr="0017747E">
        <w:t xml:space="preserve"> reinforces the importance of an intersectional approach to </w:t>
      </w:r>
      <w:r w:rsidR="00F932E1" w:rsidRPr="00F932E1">
        <w:t>pay equity</w:t>
      </w:r>
      <w:r w:rsidR="00C97C8D">
        <w:t xml:space="preserve"> and </w:t>
      </w:r>
      <w:r w:rsidR="00282483">
        <w:t xml:space="preserve">improving </w:t>
      </w:r>
      <w:r w:rsidR="00F916F1">
        <w:t>data collection to enable more robust intersectional analysis</w:t>
      </w:r>
      <w:r w:rsidR="00F932E1" w:rsidRPr="00F932E1">
        <w:t>.</w:t>
      </w:r>
    </w:p>
    <w:p w14:paraId="370E2728" w14:textId="3706C53E" w:rsidR="00B77373" w:rsidRPr="00B77373" w:rsidRDefault="00B77373" w:rsidP="002C0CC6">
      <w:pPr>
        <w:pStyle w:val="BodyText"/>
      </w:pPr>
      <w:r w:rsidRPr="00F41629">
        <w:t xml:space="preserve">Calculated using the same method, the indicative pay gap between all women and all men was </w:t>
      </w:r>
      <w:r w:rsidRPr="002C0CC6">
        <w:t>14.8%</w:t>
      </w:r>
      <w:r w:rsidRPr="00F41629">
        <w:t xml:space="preserve"> in 2025</w:t>
      </w:r>
      <w:r w:rsidRPr="002C0CC6">
        <w:t>.</w:t>
      </w:r>
    </w:p>
    <w:p w14:paraId="27FE17EB" w14:textId="59A1E6BA" w:rsidR="004C77BC" w:rsidRDefault="00280AAC" w:rsidP="005F688D">
      <w:pPr>
        <w:pStyle w:val="Heading3"/>
      </w:pPr>
      <w:r>
        <w:t>Areas for attention</w:t>
      </w:r>
    </w:p>
    <w:p w14:paraId="6CA77380" w14:textId="6459DFCA" w:rsidR="001A5407" w:rsidRPr="001A5407" w:rsidRDefault="001A5407" w:rsidP="001A5407">
      <w:pPr>
        <w:pStyle w:val="Heading4"/>
      </w:pPr>
      <w:r w:rsidRPr="001A5407">
        <w:t xml:space="preserve">The sector-wide </w:t>
      </w:r>
      <w:r w:rsidR="00277C8F">
        <w:t xml:space="preserve">gender pay </w:t>
      </w:r>
      <w:r w:rsidRPr="001A5407">
        <w:t>gap remain</w:t>
      </w:r>
      <w:r w:rsidR="004325B4">
        <w:t>ed</w:t>
      </w:r>
      <w:r w:rsidRPr="001A5407">
        <w:t xml:space="preserve"> stubborn</w:t>
      </w:r>
    </w:p>
    <w:p w14:paraId="580FC41D" w14:textId="14A6D6E4" w:rsidR="00C43514" w:rsidRDefault="00AE6C85" w:rsidP="00EE25B5">
      <w:pPr>
        <w:pStyle w:val="Body"/>
      </w:pPr>
      <w:r w:rsidRPr="00AE6C85">
        <w:t>In 2025, the mean base salary pay gap was 13.3%, down 0.5 percentage points since 2021</w:t>
      </w:r>
      <w:r w:rsidR="00E22097">
        <w:t>.</w:t>
      </w:r>
      <w:r w:rsidRPr="00AE6C85">
        <w:t xml:space="preserve"> </w:t>
      </w:r>
      <w:r w:rsidR="00E22097">
        <w:t>T</w:t>
      </w:r>
      <w:r w:rsidRPr="00AE6C85">
        <w:t>he mean total remuneration pay gap was 15.7%, up 0.5 percentage points.</w:t>
      </w:r>
      <w:r w:rsidR="00C85E07">
        <w:t xml:space="preserve"> T</w:t>
      </w:r>
      <w:r w:rsidRPr="00AE6C85">
        <w:t>hese sector-wide figures have barely moved despite pay gaps narrowing within many workplaces</w:t>
      </w:r>
      <w:r>
        <w:t xml:space="preserve"> and industries</w:t>
      </w:r>
      <w:r w:rsidRPr="00AE6C85">
        <w:t>.</w:t>
      </w:r>
      <w:r w:rsidR="00D11874">
        <w:t xml:space="preserve"> </w:t>
      </w:r>
      <w:r w:rsidRPr="00AE6C85">
        <w:t xml:space="preserve">Shifting them requires sustained attention to gendered segregation and to how work </w:t>
      </w:r>
      <w:r w:rsidR="0051382C">
        <w:t>in traditionally women</w:t>
      </w:r>
      <w:r w:rsidR="00462EEF">
        <w:t xml:space="preserve">-concentrated areas </w:t>
      </w:r>
      <w:r w:rsidRPr="00AE6C85">
        <w:t>is valued</w:t>
      </w:r>
      <w:r w:rsidR="00C85E07">
        <w:t xml:space="preserve">. </w:t>
      </w:r>
      <w:r w:rsidR="00D114D9">
        <w:t xml:space="preserve">Organisations must also </w:t>
      </w:r>
      <w:r w:rsidR="00495FEF">
        <w:t>consider</w:t>
      </w:r>
      <w:r w:rsidRPr="00AE6C85">
        <w:t xml:space="preserve"> how discretionary and non-base remuneration is distributed</w:t>
      </w:r>
      <w:r w:rsidR="00495FEF">
        <w:t>, how</w:t>
      </w:r>
      <w:r w:rsidRPr="00AE6C85">
        <w:t xml:space="preserve"> pay is set, and the conditions that shape careers over time</w:t>
      </w:r>
      <w:r w:rsidR="00495FEF">
        <w:t xml:space="preserve">. These conditions </w:t>
      </w:r>
      <w:r w:rsidR="00C878EB">
        <w:t>includ</w:t>
      </w:r>
      <w:r w:rsidR="00EB7D16">
        <w:t>e</w:t>
      </w:r>
      <w:r w:rsidR="00C878EB">
        <w:t xml:space="preserve"> </w:t>
      </w:r>
      <w:r w:rsidRPr="00AE6C85">
        <w:t>shared care, safe workplaces, and the compounding effects of intersecting discrimination</w:t>
      </w:r>
      <w:r w:rsidR="00017170">
        <w:t>.</w:t>
      </w:r>
    </w:p>
    <w:p w14:paraId="159E5352" w14:textId="4B857588" w:rsidR="00326041" w:rsidRPr="0088372E" w:rsidRDefault="00326041" w:rsidP="00C43514">
      <w:pPr>
        <w:pStyle w:val="Heading4"/>
      </w:pPr>
      <w:r>
        <w:t>More women entered senior leadership</w:t>
      </w:r>
      <w:r w:rsidRPr="0088372E">
        <w:t xml:space="preserve">, but </w:t>
      </w:r>
      <w:r>
        <w:t>the senior leader pay gap increased</w:t>
      </w:r>
    </w:p>
    <w:p w14:paraId="75EF393E" w14:textId="7378B924" w:rsidR="00326041" w:rsidRPr="00553C40" w:rsidRDefault="00326041" w:rsidP="00326041">
      <w:r w:rsidRPr="00553C40">
        <w:t>The mean total remuneration gender pay gap among senior leaders widened between 2023 and 2025, from 11.2% to 12.5%. At the same time</w:t>
      </w:r>
      <w:r>
        <w:t>,</w:t>
      </w:r>
      <w:r w:rsidRPr="00553C40">
        <w:t xml:space="preserve"> women</w:t>
      </w:r>
      <w:r w:rsidR="0090489F">
        <w:t>’</w:t>
      </w:r>
      <w:r w:rsidRPr="00553C40">
        <w:t xml:space="preserve">s representation in senior leadership rose from </w:t>
      </w:r>
      <w:r>
        <w:t>53.1</w:t>
      </w:r>
      <w:r w:rsidRPr="00553C40">
        <w:t xml:space="preserve">% to </w:t>
      </w:r>
      <w:r>
        <w:t>57.3</w:t>
      </w:r>
      <w:r w:rsidRPr="00553C40">
        <w:t xml:space="preserve">%. </w:t>
      </w:r>
      <w:r>
        <w:t>This means that m</w:t>
      </w:r>
      <w:r w:rsidRPr="00553C40">
        <w:t xml:space="preserve">ore women reached senior leadership, but their growing presence </w:t>
      </w:r>
      <w:r>
        <w:t>did not translate to comparable pay with men</w:t>
      </w:r>
      <w:r w:rsidRPr="00553C40">
        <w:t>.</w:t>
      </w:r>
    </w:p>
    <w:p w14:paraId="7573F229" w14:textId="4C887ACB" w:rsidR="00326041" w:rsidRPr="00553C40" w:rsidRDefault="00326041" w:rsidP="00326041">
      <w:r>
        <w:t xml:space="preserve">The Commission’s audit data identifies </w:t>
      </w:r>
      <w:r w:rsidR="00A80CBE">
        <w:t>3</w:t>
      </w:r>
      <w:r>
        <w:t xml:space="preserve"> potential drivers for this discrepancy. Firstly, trends within the</w:t>
      </w:r>
      <w:r w:rsidRPr="000D6A64">
        <w:t xml:space="preserve"> </w:t>
      </w:r>
      <w:r>
        <w:t xml:space="preserve">Victorian </w:t>
      </w:r>
      <w:r w:rsidR="00E77DB3">
        <w:t>P</w:t>
      </w:r>
      <w:r>
        <w:t xml:space="preserve">ublic </w:t>
      </w:r>
      <w:r w:rsidR="00E77DB3">
        <w:t>S</w:t>
      </w:r>
      <w:r>
        <w:t>ervice industry</w:t>
      </w:r>
      <w:r w:rsidRPr="000D6A64">
        <w:t xml:space="preserve"> </w:t>
      </w:r>
      <w:r>
        <w:t xml:space="preserve">influenced the changes. </w:t>
      </w:r>
      <w:r w:rsidRPr="00553C40">
        <w:t>T</w:t>
      </w:r>
      <w:r>
        <w:t xml:space="preserve">he VPS employs around </w:t>
      </w:r>
      <w:r w:rsidR="003C279C">
        <w:t>43</w:t>
      </w:r>
      <w:r>
        <w:t>% of the sector’s senior leaders</w:t>
      </w:r>
      <w:r w:rsidR="00CA74B2">
        <w:t>, so</w:t>
      </w:r>
      <w:r>
        <w:t xml:space="preserve"> changes within the VPS industry can shape trends at the sector level. Between 2023 and 2025, t</w:t>
      </w:r>
      <w:r w:rsidRPr="00553C40">
        <w:t>he VPS senior leader pay gap</w:t>
      </w:r>
      <w:r>
        <w:t xml:space="preserve"> </w:t>
      </w:r>
      <w:r w:rsidRPr="00553C40">
        <w:t>rose from 5.3% to 8.5%</w:t>
      </w:r>
      <w:r>
        <w:t xml:space="preserve">. While other industries also increased or decreased their senior leader pay gaps, the </w:t>
      </w:r>
      <w:r w:rsidR="00116AFA">
        <w:t>size</w:t>
      </w:r>
      <w:r>
        <w:t xml:space="preserve"> of the VPS </w:t>
      </w:r>
      <w:r w:rsidR="00C7396D">
        <w:t xml:space="preserve">senior leader cohort </w:t>
      </w:r>
      <w:r w:rsidRPr="00553C40">
        <w:t xml:space="preserve">means </w:t>
      </w:r>
      <w:r w:rsidR="00B90258">
        <w:t>changes to</w:t>
      </w:r>
      <w:r w:rsidRPr="00553C40">
        <w:t xml:space="preserve"> its </w:t>
      </w:r>
      <w:r w:rsidR="00B90258">
        <w:t>pay gap</w:t>
      </w:r>
      <w:r w:rsidRPr="00553C40">
        <w:t xml:space="preserve"> largely drove the sector</w:t>
      </w:r>
      <w:r w:rsidR="00F00C82">
        <w:t>-wide</w:t>
      </w:r>
      <w:r w:rsidRPr="00553C40">
        <w:t xml:space="preserve"> </w:t>
      </w:r>
      <w:r w:rsidR="00BB2340">
        <w:t>increase</w:t>
      </w:r>
      <w:r w:rsidRPr="00553C40">
        <w:t>.</w:t>
      </w:r>
    </w:p>
    <w:p w14:paraId="27B78985" w14:textId="34650E6F" w:rsidR="00326041" w:rsidRDefault="00326041" w:rsidP="00326041">
      <w:r>
        <w:t>Secondly,</w:t>
      </w:r>
      <w:r w:rsidRPr="00F73E90">
        <w:t xml:space="preserve"> </w:t>
      </w:r>
      <w:r w:rsidR="003507E9">
        <w:t xml:space="preserve">women’s increased share of senior leader roles mainly grew </w:t>
      </w:r>
      <w:r w:rsidR="00F6130E">
        <w:t>in more entry-level and lower-paid roles.</w:t>
      </w:r>
      <w:r w:rsidR="00A54905">
        <w:t xml:space="preserve"> This suggests that</w:t>
      </w:r>
      <w:r w:rsidR="00704F96">
        <w:t xml:space="preserve"> a</w:t>
      </w:r>
      <w:r w:rsidRPr="001A5407">
        <w:t>s more women move</w:t>
      </w:r>
      <w:r>
        <w:t>d</w:t>
      </w:r>
      <w:r w:rsidRPr="001A5407">
        <w:t xml:space="preserve"> into senior leadership, </w:t>
      </w:r>
      <w:r>
        <w:t>they</w:t>
      </w:r>
      <w:r w:rsidRPr="001A5407">
        <w:t xml:space="preserve"> enter</w:t>
      </w:r>
      <w:r>
        <w:t>ed</w:t>
      </w:r>
      <w:r w:rsidRPr="001A5407">
        <w:t xml:space="preserve"> at the lower-paid end of the executive range</w:t>
      </w:r>
      <w:r w:rsidR="00704F96">
        <w:t xml:space="preserve">. </w:t>
      </w:r>
      <w:r w:rsidR="00A54905">
        <w:t xml:space="preserve">More women </w:t>
      </w:r>
      <w:r w:rsidR="002963F6">
        <w:t>clustered in lower-paying roles</w:t>
      </w:r>
      <w:r w:rsidRPr="001A5407">
        <w:t xml:space="preserve"> </w:t>
      </w:r>
      <w:r>
        <w:t>widened</w:t>
      </w:r>
      <w:r w:rsidRPr="001A5407">
        <w:t xml:space="preserve"> the leadership pay gap</w:t>
      </w:r>
      <w:r w:rsidR="002963F6">
        <w:t>,</w:t>
      </w:r>
      <w:r w:rsidRPr="001A5407">
        <w:t xml:space="preserve"> </w:t>
      </w:r>
      <w:r w:rsidR="00A23C60">
        <w:t xml:space="preserve">despite </w:t>
      </w:r>
      <w:r w:rsidR="00B36BED">
        <w:t>women’s</w:t>
      </w:r>
      <w:r w:rsidRPr="001A5407">
        <w:t xml:space="preserve"> representation improv</w:t>
      </w:r>
      <w:r w:rsidR="00B36BED">
        <w:t>ing</w:t>
      </w:r>
      <w:r w:rsidR="00EE0F96">
        <w:t>.</w:t>
      </w:r>
    </w:p>
    <w:p w14:paraId="47238942" w14:textId="56B21C8A" w:rsidR="00326041" w:rsidRDefault="00A476E0" w:rsidP="00326041">
      <w:r>
        <w:t>Importantly</w:t>
      </w:r>
      <w:r w:rsidR="00326041">
        <w:t xml:space="preserve">, the Commission’s data shows that there is </w:t>
      </w:r>
      <w:r w:rsidR="00031F38">
        <w:t xml:space="preserve">also </w:t>
      </w:r>
      <w:r w:rsidR="00326041">
        <w:t xml:space="preserve">a widening gender pay gap towards the top of the leadership structure. Among </w:t>
      </w:r>
      <w:r w:rsidR="00326041" w:rsidRPr="00A6726E">
        <w:t>the most senior roles examined, women</w:t>
      </w:r>
      <w:r w:rsidR="00287AE0">
        <w:t>’</w:t>
      </w:r>
      <w:r w:rsidR="00326041" w:rsidRPr="00A6726E">
        <w:t xml:space="preserve">s representation </w:t>
      </w:r>
      <w:r w:rsidR="00326041" w:rsidRPr="00A6726E">
        <w:lastRenderedPageBreak/>
        <w:t>rose from around 48% to 53% between 2023 and 2025, yet the pay gap widened from 6.9% to 8.8%</w:t>
      </w:r>
      <w:r w:rsidR="00326041">
        <w:t>. The drivers of this require investigation.</w:t>
      </w:r>
    </w:p>
    <w:p w14:paraId="39558FEE" w14:textId="767ED911" w:rsidR="00326041" w:rsidRPr="001A5407" w:rsidRDefault="00326041" w:rsidP="00326041">
      <w:r>
        <w:t>While not visible within the Commission’s data, research also shows that sa</w:t>
      </w:r>
      <w:r w:rsidRPr="001A5407">
        <w:t>lary negotiation</w:t>
      </w:r>
      <w:r>
        <w:t xml:space="preserve"> affects senior leader pay</w:t>
      </w:r>
      <w:r w:rsidRPr="001A5407">
        <w:t>. Men continue to benefit more than women in negotiation (WGEA 2018). This was once attributed to women negotiating less, but more recent research finds women negotiate just as often</w:t>
      </w:r>
      <w:r>
        <w:t xml:space="preserve"> as men.</w:t>
      </w:r>
      <w:r w:rsidRPr="001A5407">
        <w:t xml:space="preserve"> </w:t>
      </w:r>
      <w:r>
        <w:t>However, t</w:t>
      </w:r>
      <w:r w:rsidRPr="001A5407">
        <w:t xml:space="preserve">heir requests are more likely to be refused (Artz </w:t>
      </w:r>
      <w:r>
        <w:t>et al.</w:t>
      </w:r>
      <w:r w:rsidRPr="001A5407">
        <w:t xml:space="preserve"> 2016). This creates a double bind: women who negotiate assertively are more likely to be judged as </w:t>
      </w:r>
      <w:r>
        <w:t>violating</w:t>
      </w:r>
      <w:r w:rsidRPr="001A5407">
        <w:t xml:space="preserve"> gender norms and viewed unfavourably (Rudman and Phelan 2008), while not negotiating entrenches the </w:t>
      </w:r>
      <w:r>
        <w:t xml:space="preserve">gender pay </w:t>
      </w:r>
      <w:r w:rsidRPr="001A5407">
        <w:t>gap.</w:t>
      </w:r>
    </w:p>
    <w:p w14:paraId="227F66F8" w14:textId="417DBFFC" w:rsidR="00326041" w:rsidRDefault="00326041" w:rsidP="00326041">
      <w:r w:rsidRPr="007C4E5E">
        <w:t xml:space="preserve">Organisations should analyse their </w:t>
      </w:r>
      <w:r w:rsidR="00061E5A">
        <w:t xml:space="preserve">gender </w:t>
      </w:r>
      <w:r w:rsidRPr="007C4E5E">
        <w:t>pay gaps at every workforce level to understand what is driving them.</w:t>
      </w:r>
    </w:p>
    <w:p w14:paraId="61DB8155" w14:textId="646B1012" w:rsidR="002520F3" w:rsidRDefault="00AE1895" w:rsidP="00F553C0">
      <w:pPr>
        <w:pStyle w:val="Heading4"/>
      </w:pPr>
      <w:r>
        <w:t>Traditionally women-concentrated occupations ha</w:t>
      </w:r>
      <w:r w:rsidR="009A24AB">
        <w:t>d</w:t>
      </w:r>
      <w:r>
        <w:t xml:space="preserve"> the highest pay gaps</w:t>
      </w:r>
    </w:p>
    <w:p w14:paraId="72878C66" w14:textId="0B4ED7C9" w:rsidR="00DB3F64" w:rsidRDefault="00436674" w:rsidP="0078531C">
      <w:pPr>
        <w:pStyle w:val="BodyText"/>
      </w:pPr>
      <w:r>
        <w:t xml:space="preserve">Analysis of the gender pay gap at </w:t>
      </w:r>
      <w:r w:rsidR="003E0493">
        <w:t>an o</w:t>
      </w:r>
      <w:r w:rsidR="000B25A7">
        <w:t xml:space="preserve">ccupational </w:t>
      </w:r>
      <w:r w:rsidR="003E0493">
        <w:t>level</w:t>
      </w:r>
      <w:r w:rsidR="000B25A7">
        <w:t xml:space="preserve"> </w:t>
      </w:r>
      <w:r w:rsidR="005116C8" w:rsidRPr="005116C8">
        <w:t>reveals</w:t>
      </w:r>
      <w:r w:rsidR="000B25A7">
        <w:t xml:space="preserve"> persistent</w:t>
      </w:r>
      <w:r w:rsidR="005116C8" w:rsidRPr="005116C8">
        <w:t>,</w:t>
      </w:r>
      <w:r w:rsidR="000B25A7">
        <w:t xml:space="preserve"> and sometimes unexpected</w:t>
      </w:r>
      <w:r w:rsidR="005116C8" w:rsidRPr="005116C8">
        <w:t>,</w:t>
      </w:r>
      <w:r w:rsidR="000B25A7">
        <w:t xml:space="preserve"> inequalities. </w:t>
      </w:r>
      <w:r w:rsidR="005116C8" w:rsidRPr="005116C8">
        <w:t>The</w:t>
      </w:r>
      <w:r w:rsidR="006D1577">
        <w:t xml:space="preserve"> highest </w:t>
      </w:r>
      <w:r w:rsidR="00BC1B1F">
        <w:t>occupational</w:t>
      </w:r>
      <w:r w:rsidR="006D1577">
        <w:t xml:space="preserve"> </w:t>
      </w:r>
      <w:r w:rsidR="005116C8" w:rsidRPr="005116C8">
        <w:t>pay gaps in 2025</w:t>
      </w:r>
      <w:r w:rsidR="006D1577">
        <w:t xml:space="preserve"> </w:t>
      </w:r>
      <w:r w:rsidR="00306778">
        <w:t xml:space="preserve">were </w:t>
      </w:r>
      <w:r w:rsidR="00485D07">
        <w:t>in</w:t>
      </w:r>
      <w:r w:rsidR="00DB3F64">
        <w:t>:</w:t>
      </w:r>
    </w:p>
    <w:p w14:paraId="6B60571E" w14:textId="6AB8E6AD" w:rsidR="00B94676" w:rsidRDefault="00485D07" w:rsidP="00B94676">
      <w:pPr>
        <w:pStyle w:val="Bullet1"/>
      </w:pPr>
      <w:r>
        <w:t>c</w:t>
      </w:r>
      <w:r w:rsidR="00B94676">
        <w:t>ommunity and personal service workers, at 24.1</w:t>
      </w:r>
      <w:r w:rsidR="00EC6DAD">
        <w:t>%</w:t>
      </w:r>
      <w:r w:rsidR="00B94676">
        <w:t xml:space="preserve"> (up </w:t>
      </w:r>
      <w:r w:rsidR="00E570E9">
        <w:t>4.1</w:t>
      </w:r>
      <w:r w:rsidR="009314AA">
        <w:t xml:space="preserve"> percentage </w:t>
      </w:r>
      <w:r w:rsidR="00E570E9">
        <w:t>points since</w:t>
      </w:r>
      <w:r w:rsidR="00B94676">
        <w:t xml:space="preserve"> 2021)</w:t>
      </w:r>
    </w:p>
    <w:p w14:paraId="6AABB720" w14:textId="52765E94" w:rsidR="00A540E8" w:rsidRDefault="00485D07" w:rsidP="00A540E8">
      <w:pPr>
        <w:pStyle w:val="Bullet1"/>
      </w:pPr>
      <w:r>
        <w:t>s</w:t>
      </w:r>
      <w:r w:rsidR="00A540E8">
        <w:t>ales workers, at 20.3</w:t>
      </w:r>
      <w:r w:rsidR="00EC6DAD">
        <w:t>%</w:t>
      </w:r>
      <w:r w:rsidR="00A540E8">
        <w:t xml:space="preserve"> (up </w:t>
      </w:r>
      <w:r w:rsidR="00E570E9">
        <w:t>6.4</w:t>
      </w:r>
      <w:r w:rsidR="009314AA">
        <w:t xml:space="preserve"> percentage points</w:t>
      </w:r>
      <w:r w:rsidR="00E570E9">
        <w:t xml:space="preserve"> since</w:t>
      </w:r>
      <w:r w:rsidR="00A540E8">
        <w:t xml:space="preserve"> 2021) </w:t>
      </w:r>
    </w:p>
    <w:p w14:paraId="1B26A000" w14:textId="2217248A" w:rsidR="00990FDB" w:rsidRDefault="00485D07" w:rsidP="006D1577">
      <w:pPr>
        <w:pStyle w:val="Bullet1"/>
      </w:pPr>
      <w:r>
        <w:t>p</w:t>
      </w:r>
      <w:r w:rsidR="00990FDB">
        <w:t>rofessionals</w:t>
      </w:r>
      <w:r w:rsidR="00DC5B15">
        <w:t>,</w:t>
      </w:r>
      <w:r w:rsidR="00990FDB">
        <w:t xml:space="preserve"> at </w:t>
      </w:r>
      <w:r w:rsidR="00E70D41">
        <w:t>16.5</w:t>
      </w:r>
      <w:r w:rsidR="00EC6DAD">
        <w:t>%</w:t>
      </w:r>
      <w:r w:rsidR="00990FDB">
        <w:t xml:space="preserve"> (up </w:t>
      </w:r>
      <w:r w:rsidR="00E570E9">
        <w:t>4.2</w:t>
      </w:r>
      <w:r w:rsidR="00847E71">
        <w:t xml:space="preserve"> percentage points</w:t>
      </w:r>
      <w:r w:rsidR="00990FDB">
        <w:t xml:space="preserve"> </w:t>
      </w:r>
      <w:r w:rsidR="00E570E9">
        <w:t>since</w:t>
      </w:r>
      <w:r w:rsidR="00990FDB">
        <w:t xml:space="preserve"> 2021)</w:t>
      </w:r>
    </w:p>
    <w:p w14:paraId="167D997A" w14:textId="6CE194A0" w:rsidR="00A540E8" w:rsidRDefault="00485D07" w:rsidP="00B94676">
      <w:pPr>
        <w:pStyle w:val="Bullet1"/>
      </w:pPr>
      <w:r>
        <w:t>c</w:t>
      </w:r>
      <w:r w:rsidR="00A540E8">
        <w:t>lerical and administrative workers, at 13.2</w:t>
      </w:r>
      <w:r w:rsidR="00EC6DAD">
        <w:t>%</w:t>
      </w:r>
      <w:r w:rsidR="00A540E8">
        <w:t xml:space="preserve"> (up </w:t>
      </w:r>
      <w:r w:rsidR="00733341">
        <w:t>1.9</w:t>
      </w:r>
      <w:r w:rsidR="00847E71" w:rsidRPr="00847E71">
        <w:t xml:space="preserve"> </w:t>
      </w:r>
      <w:r w:rsidR="00847E71">
        <w:t>percentage points</w:t>
      </w:r>
      <w:r w:rsidR="00A540E8">
        <w:t xml:space="preserve"> </w:t>
      </w:r>
      <w:r w:rsidR="00E570E9">
        <w:t>since</w:t>
      </w:r>
      <w:r w:rsidR="00A540E8">
        <w:t xml:space="preserve"> 2021</w:t>
      </w:r>
      <w:r w:rsidR="00A540E8" w:rsidRPr="00C27278">
        <w:t>)</w:t>
      </w:r>
      <w:r w:rsidR="00447220">
        <w:t>.</w:t>
      </w:r>
    </w:p>
    <w:p w14:paraId="59DD0EE7" w14:textId="51D25531" w:rsidR="007B29D3" w:rsidRDefault="007B29D3" w:rsidP="004444B7">
      <w:pPr>
        <w:pStyle w:val="Bodyafterbullets"/>
      </w:pPr>
      <w:r w:rsidRPr="007B29D3">
        <w:t>T</w:t>
      </w:r>
      <w:r w:rsidR="00BC2E68">
        <w:t>he fact t</w:t>
      </w:r>
      <w:r w:rsidRPr="007B29D3">
        <w:t>hat some of the largest gaps sit in traditionally women-concentrated occupations, such as community and personal service</w:t>
      </w:r>
      <w:r w:rsidR="00D629EC">
        <w:t>s</w:t>
      </w:r>
      <w:r w:rsidR="009D204E">
        <w:t>,</w:t>
      </w:r>
      <w:r w:rsidRPr="007B29D3">
        <w:t xml:space="preserve"> and clerical and administrative work, shows how inequality can persist even where women predominate. </w:t>
      </w:r>
    </w:p>
    <w:p w14:paraId="0C9A778C" w14:textId="59522BD0" w:rsidR="00187083" w:rsidRDefault="00EA2ACD" w:rsidP="004444B7">
      <w:pPr>
        <w:pStyle w:val="BodyText"/>
      </w:pPr>
      <w:r>
        <w:t xml:space="preserve">Research </w:t>
      </w:r>
      <w:r w:rsidR="00F45F9C">
        <w:t xml:space="preserve">reveals various reasons for gendered </w:t>
      </w:r>
      <w:r w:rsidR="00545DE0">
        <w:t xml:space="preserve">pay </w:t>
      </w:r>
      <w:r w:rsidR="00F45F9C">
        <w:t>disparities</w:t>
      </w:r>
      <w:r w:rsidR="00C26026">
        <w:t xml:space="preserve"> </w:t>
      </w:r>
      <w:r w:rsidR="008318FB" w:rsidRPr="008318FB">
        <w:t>among professionals.</w:t>
      </w:r>
      <w:r w:rsidR="00D813B5">
        <w:t xml:space="preserve"> </w:t>
      </w:r>
      <w:r w:rsidR="000D5309">
        <w:t xml:space="preserve">As with many pay gaps, </w:t>
      </w:r>
      <w:r w:rsidR="008318FB" w:rsidRPr="008318FB">
        <w:t xml:space="preserve">it is </w:t>
      </w:r>
      <w:r w:rsidR="00561F4E">
        <w:t xml:space="preserve">driven by </w:t>
      </w:r>
      <w:r w:rsidR="00236223">
        <w:t>many</w:t>
      </w:r>
      <w:r w:rsidR="008318FB" w:rsidRPr="008318FB">
        <w:t xml:space="preserve"> </w:t>
      </w:r>
      <w:r w:rsidR="00B96F4F">
        <w:t xml:space="preserve">small, incremental </w:t>
      </w:r>
      <w:r w:rsidR="008318FB" w:rsidRPr="008318FB">
        <w:t xml:space="preserve">disadvantages </w:t>
      </w:r>
      <w:r w:rsidR="005259D7">
        <w:t xml:space="preserve">such as </w:t>
      </w:r>
      <w:r w:rsidR="008318FB" w:rsidRPr="008318FB" w:rsidDel="005259D7">
        <w:t>the</w:t>
      </w:r>
      <w:r w:rsidR="008318FB" w:rsidRPr="008318FB">
        <w:t xml:space="preserve"> </w:t>
      </w:r>
      <w:r w:rsidR="00681165">
        <w:t xml:space="preserve">gendered distribution of workplace tasks and </w:t>
      </w:r>
      <w:r w:rsidR="008318FB" w:rsidRPr="008318FB">
        <w:t>the lasting effects of</w:t>
      </w:r>
      <w:r w:rsidR="0049485A">
        <w:t xml:space="preserve"> returning</w:t>
      </w:r>
      <w:r w:rsidR="00681165">
        <w:t xml:space="preserve"> from parental leave</w:t>
      </w:r>
      <w:r w:rsidR="00681165" w:rsidDel="005259D7">
        <w:t xml:space="preserve"> </w:t>
      </w:r>
      <w:r w:rsidR="00681165">
        <w:t>(Burns et al. 2015</w:t>
      </w:r>
      <w:r w:rsidR="008318FB" w:rsidRPr="008318FB">
        <w:t>)</w:t>
      </w:r>
      <w:r w:rsidR="000E1688">
        <w:t xml:space="preserve">. </w:t>
      </w:r>
      <w:r w:rsidR="00970343">
        <w:t>Yet, t</w:t>
      </w:r>
      <w:r w:rsidR="002E3FAA">
        <w:t>here is also</w:t>
      </w:r>
      <w:r w:rsidR="008318FB" w:rsidRPr="008318FB" w:rsidDel="002E3FAA">
        <w:t xml:space="preserve"> </w:t>
      </w:r>
      <w:r w:rsidR="002E3FAA">
        <w:t xml:space="preserve">a </w:t>
      </w:r>
      <w:r w:rsidR="008318FB" w:rsidRPr="008318FB">
        <w:t>greater</w:t>
      </w:r>
      <w:r w:rsidR="00BE6A07">
        <w:t xml:space="preserve"> </w:t>
      </w:r>
      <w:r w:rsidR="00E853C1">
        <w:t>scope for bargaining and managerial discretion</w:t>
      </w:r>
      <w:r w:rsidR="00FE4CB8">
        <w:t xml:space="preserve"> </w:t>
      </w:r>
      <w:r w:rsidR="00E34FCB">
        <w:t>that affects pay for this occupational group</w:t>
      </w:r>
      <w:r w:rsidR="008318FB" w:rsidRPr="008318FB">
        <w:t xml:space="preserve">, especially in </w:t>
      </w:r>
      <w:r w:rsidR="00FE3228">
        <w:t>health</w:t>
      </w:r>
      <w:r w:rsidR="00742388">
        <w:t xml:space="preserve"> </w:t>
      </w:r>
      <w:r w:rsidR="00FE3228">
        <w:t>(</w:t>
      </w:r>
      <w:r w:rsidR="00587052">
        <w:t>Vecchio et a</w:t>
      </w:r>
      <w:r w:rsidR="004D43B6">
        <w:t>l</w:t>
      </w:r>
      <w:r w:rsidR="00587052">
        <w:t xml:space="preserve">. </w:t>
      </w:r>
      <w:r w:rsidR="008318FB" w:rsidRPr="008318FB">
        <w:t>2013)</w:t>
      </w:r>
      <w:r w:rsidR="007546AB">
        <w:t>.</w:t>
      </w:r>
      <w:r w:rsidR="00CC3B4A">
        <w:t xml:space="preserve"> It is </w:t>
      </w:r>
      <w:r w:rsidR="00FF1A08">
        <w:t xml:space="preserve">also worth noting </w:t>
      </w:r>
      <w:r w:rsidR="008318FB" w:rsidRPr="008318FB">
        <w:t xml:space="preserve">the breadth of </w:t>
      </w:r>
      <w:r w:rsidR="005B02FB">
        <w:t>th</w:t>
      </w:r>
      <w:r w:rsidR="00D91C13">
        <w:t>e</w:t>
      </w:r>
      <w:r w:rsidR="005B02FB">
        <w:t xml:space="preserve"> </w:t>
      </w:r>
      <w:r w:rsidR="00FC0330" w:rsidDel="002F55AB">
        <w:t>‘</w:t>
      </w:r>
      <w:r w:rsidR="008318FB" w:rsidRPr="008318FB">
        <w:t>professional</w:t>
      </w:r>
      <w:r w:rsidR="002F55AB">
        <w:t>’</w:t>
      </w:r>
      <w:r w:rsidR="008318FB" w:rsidRPr="008318FB">
        <w:t xml:space="preserve"> </w:t>
      </w:r>
      <w:r w:rsidR="005B02FB">
        <w:t>cat</w:t>
      </w:r>
      <w:r w:rsidR="002F1374">
        <w:t>e</w:t>
      </w:r>
      <w:r w:rsidR="005B02FB">
        <w:t>gory</w:t>
      </w:r>
      <w:r w:rsidR="00E31E6A">
        <w:t xml:space="preserve"> </w:t>
      </w:r>
      <w:r w:rsidR="00DA21D5">
        <w:t xml:space="preserve">in the </w:t>
      </w:r>
      <w:r w:rsidR="008318FB" w:rsidRPr="008318FB">
        <w:t>ANZSCO</w:t>
      </w:r>
      <w:r w:rsidR="00DA21D5">
        <w:t xml:space="preserve"> classification</w:t>
      </w:r>
      <w:r w:rsidR="008318FB" w:rsidRPr="008318FB">
        <w:t>, which can</w:t>
      </w:r>
      <w:r w:rsidR="00634A4E">
        <w:t xml:space="preserve"> produce data</w:t>
      </w:r>
      <w:r w:rsidR="00DA21D5">
        <w:t xml:space="preserve"> </w:t>
      </w:r>
      <w:r w:rsidR="000F0904">
        <w:t>that is difficult to interpret</w:t>
      </w:r>
      <w:r w:rsidR="00DA21D5">
        <w:t xml:space="preserve"> </w:t>
      </w:r>
      <w:r w:rsidR="00E31E6A">
        <w:t>(Wibrow 2022)</w:t>
      </w:r>
      <w:r w:rsidR="008842F2">
        <w:t>. This is</w:t>
      </w:r>
      <w:r w:rsidR="002F1374">
        <w:t xml:space="preserve"> particularly </w:t>
      </w:r>
      <w:r w:rsidR="008842F2">
        <w:t xml:space="preserve">true </w:t>
      </w:r>
      <w:r w:rsidR="002F1374">
        <w:t xml:space="preserve">for </w:t>
      </w:r>
      <w:r w:rsidR="00DA4D77">
        <w:t>women-</w:t>
      </w:r>
      <w:r w:rsidR="00243999">
        <w:t>concentrated occupations (</w:t>
      </w:r>
      <w:r w:rsidR="003876C2">
        <w:t xml:space="preserve">Lind </w:t>
      </w:r>
      <w:r w:rsidR="008318FB" w:rsidRPr="008318FB">
        <w:t>and</w:t>
      </w:r>
      <w:r w:rsidR="003876C2">
        <w:t xml:space="preserve"> Colquhoun 2021; </w:t>
      </w:r>
      <w:r w:rsidR="00243999">
        <w:t>Risse 2025).</w:t>
      </w:r>
      <w:r w:rsidR="00E162EE">
        <w:rPr>
          <w:rStyle w:val="FootnoteReference"/>
        </w:rPr>
        <w:footnoteReference w:id="5"/>
      </w:r>
      <w:r w:rsidR="008318FB" w:rsidRPr="008318FB">
        <w:t xml:space="preserve"> Finer</w:t>
      </w:r>
      <w:r w:rsidR="004D6FFD">
        <w:t xml:space="preserve"> disaggregation </w:t>
      </w:r>
      <w:r w:rsidR="008318FB">
        <w:t>will</w:t>
      </w:r>
      <w:r w:rsidR="000417FF">
        <w:t xml:space="preserve"> be </w:t>
      </w:r>
      <w:r w:rsidR="008318FB" w:rsidRPr="008318FB">
        <w:t>needed</w:t>
      </w:r>
      <w:r w:rsidR="000417FF">
        <w:t xml:space="preserve"> to </w:t>
      </w:r>
      <w:r w:rsidR="008318FB" w:rsidRPr="008318FB">
        <w:t>understand</w:t>
      </w:r>
      <w:r w:rsidR="000417FF">
        <w:t xml:space="preserve"> pay </w:t>
      </w:r>
      <w:r w:rsidR="008318FB" w:rsidRPr="008318FB">
        <w:t>inequality</w:t>
      </w:r>
      <w:r w:rsidR="00B53585">
        <w:t xml:space="preserve"> among professional workers</w:t>
      </w:r>
      <w:r w:rsidR="0097021A">
        <w:t xml:space="preserve"> </w:t>
      </w:r>
      <w:r w:rsidR="00810AE9">
        <w:t xml:space="preserve">more </w:t>
      </w:r>
      <w:r w:rsidR="008318FB" w:rsidRPr="008318FB">
        <w:t>fully</w:t>
      </w:r>
      <w:r w:rsidR="0017747E" w:rsidRPr="0017747E">
        <w:t>.</w:t>
      </w:r>
    </w:p>
    <w:tbl>
      <w:tblPr>
        <w:tblStyle w:val="TableGrid"/>
        <w:tblW w:w="0" w:type="auto"/>
        <w:tblLook w:val="04A0" w:firstRow="1" w:lastRow="0" w:firstColumn="1" w:lastColumn="0" w:noHBand="0" w:noVBand="1"/>
      </w:tblPr>
      <w:tblGrid>
        <w:gridCol w:w="9016"/>
        <w:gridCol w:w="272"/>
      </w:tblGrid>
      <w:tr w:rsidR="0058519D" w14:paraId="6A2B71F8" w14:textId="77777777" w:rsidTr="005F688D">
        <w:tc>
          <w:tcPr>
            <w:tcW w:w="9288" w:type="dxa"/>
            <w:gridSpan w:val="2"/>
            <w:tcBorders>
              <w:top w:val="nil"/>
              <w:left w:val="nil"/>
              <w:bottom w:val="nil"/>
              <w:right w:val="nil"/>
            </w:tcBorders>
            <w:shd w:val="clear" w:color="auto" w:fill="E3F3F9"/>
          </w:tcPr>
          <w:p w14:paraId="79617F4F" w14:textId="775280F3" w:rsidR="0058519D" w:rsidRDefault="0058519D" w:rsidP="005F688D">
            <w:pPr>
              <w:pStyle w:val="Heading2"/>
            </w:pPr>
            <w:bookmarkStart w:id="36" w:name="_Toc237259529"/>
            <w:r>
              <w:lastRenderedPageBreak/>
              <w:t>Commissioner expectations</w:t>
            </w:r>
            <w:bookmarkEnd w:id="36"/>
          </w:p>
          <w:p w14:paraId="6E93E134" w14:textId="0AC3A0A7" w:rsidR="004B7ACB" w:rsidRPr="004B7ACB" w:rsidRDefault="004B7ACB" w:rsidP="0078531C">
            <w:pPr>
              <w:pStyle w:val="BodyText"/>
            </w:pPr>
            <w:r w:rsidRPr="004B7ACB">
              <w:t xml:space="preserve">The Commissioner expects strong, targeted action on gender pay gaps. Pay gaps are the cumulative result of inequalities across recruitment, promotion, workforce composition, </w:t>
            </w:r>
            <w:r w:rsidR="000879BB">
              <w:t xml:space="preserve">gendered </w:t>
            </w:r>
            <w:r w:rsidRPr="004B7ACB">
              <w:t xml:space="preserve">occupational segregation, leave and flexibility, sexual harassment and discrimination. </w:t>
            </w:r>
            <w:r w:rsidR="007E2607">
              <w:t>In each duty holder organisation they must be investigated</w:t>
            </w:r>
            <w:r w:rsidR="00B07A78">
              <w:t xml:space="preserve">, addressed, and </w:t>
            </w:r>
            <w:r>
              <w:t>eventually</w:t>
            </w:r>
            <w:r w:rsidRPr="004B7ACB">
              <w:t xml:space="preserve"> eliminated.</w:t>
            </w:r>
          </w:p>
          <w:p w14:paraId="4515773F" w14:textId="160B72CD" w:rsidR="00795421" w:rsidRDefault="004B7ACB" w:rsidP="0078531C">
            <w:pPr>
              <w:pStyle w:val="BodyText"/>
            </w:pPr>
            <w:r w:rsidRPr="004B7ACB">
              <w:t xml:space="preserve">Some drivers </w:t>
            </w:r>
            <w:r w:rsidR="007A1167">
              <w:t xml:space="preserve">of the gender pay gap </w:t>
            </w:r>
            <w:r w:rsidRPr="004B7ACB">
              <w:t>are structural and sit across whole industries</w:t>
            </w:r>
            <w:r w:rsidR="007A1167">
              <w:t>.</w:t>
            </w:r>
            <w:r w:rsidRPr="004B7ACB">
              <w:t xml:space="preserve"> </w:t>
            </w:r>
            <w:r w:rsidR="007A1167">
              <w:t>O</w:t>
            </w:r>
            <w:r w:rsidRPr="004B7ACB">
              <w:t>thers can be addressed directly within organisations. To act on the</w:t>
            </w:r>
            <w:r w:rsidR="00C63933">
              <w:t>se</w:t>
            </w:r>
            <w:r w:rsidRPr="004B7ACB">
              <w:t>, duty holders should</w:t>
            </w:r>
            <w:r w:rsidR="00795421">
              <w:t>:</w:t>
            </w:r>
          </w:p>
          <w:p w14:paraId="1686FF64" w14:textId="20669AA3" w:rsidR="007D3713" w:rsidRDefault="00C63933" w:rsidP="004444B7">
            <w:pPr>
              <w:pStyle w:val="Bullet1"/>
            </w:pPr>
            <w:r>
              <w:t>a</w:t>
            </w:r>
            <w:r w:rsidR="004B7ACB" w:rsidRPr="004B7ACB">
              <w:t>nalyse their own data to understand what is driving any gap</w:t>
            </w:r>
          </w:p>
          <w:p w14:paraId="7C3A297A" w14:textId="1E58C892" w:rsidR="007D3713" w:rsidRDefault="00C63933" w:rsidP="004444B7">
            <w:pPr>
              <w:pStyle w:val="Bullet1"/>
            </w:pPr>
            <w:r>
              <w:t>l</w:t>
            </w:r>
            <w:r w:rsidR="004B7ACB" w:rsidRPr="004B7ACB">
              <w:t xml:space="preserve">ook at pay differences within occupations and by level: are gaps more pronounced in particular areas? Is one gender overrepresented at certain levels or in certain roles? </w:t>
            </w:r>
          </w:p>
          <w:p w14:paraId="28152259" w14:textId="46CAD3B2" w:rsidR="007D3713" w:rsidRDefault="00C63933" w:rsidP="004444B7">
            <w:pPr>
              <w:pStyle w:val="Bullet1"/>
            </w:pPr>
            <w:r>
              <w:t>r</w:t>
            </w:r>
            <w:r w:rsidR="004B7ACB" w:rsidRPr="004B7ACB">
              <w:t xml:space="preserve">eview starting salaries by gender, and examine whether bias is </w:t>
            </w:r>
            <w:r w:rsidR="00B65B3F">
              <w:t>affecting</w:t>
            </w:r>
            <w:r w:rsidR="004B7ACB" w:rsidRPr="004B7ACB">
              <w:t xml:space="preserve"> recruitment, promotion and pay </w:t>
            </w:r>
          </w:p>
          <w:p w14:paraId="3A337357" w14:textId="1486EDEA" w:rsidR="004B7ACB" w:rsidRPr="004B7ACB" w:rsidRDefault="00C63933" w:rsidP="004444B7">
            <w:pPr>
              <w:pStyle w:val="Bullet1"/>
            </w:pPr>
            <w:r>
              <w:t>i</w:t>
            </w:r>
            <w:r w:rsidR="004B7ACB" w:rsidRPr="004B7ACB">
              <w:t xml:space="preserve">nvestigate </w:t>
            </w:r>
            <w:r w:rsidR="008B23C7">
              <w:t xml:space="preserve">whether </w:t>
            </w:r>
            <w:r w:rsidR="008B23C7" w:rsidRPr="004B7ACB">
              <w:t xml:space="preserve">discriminatory practices or unconscious bias </w:t>
            </w:r>
            <w:r w:rsidR="00C94CDB">
              <w:t xml:space="preserve">exist in </w:t>
            </w:r>
            <w:r w:rsidR="004B7ACB" w:rsidRPr="004B7ACB">
              <w:t>organisational culture and norms.</w:t>
            </w:r>
          </w:p>
          <w:p w14:paraId="62DC965D" w14:textId="46F18A1A" w:rsidR="004B7ACB" w:rsidRPr="004B7ACB" w:rsidRDefault="004B7ACB" w:rsidP="004444B7">
            <w:pPr>
              <w:pStyle w:val="Bodyafterbullets"/>
            </w:pPr>
            <w:r w:rsidRPr="004B7ACB">
              <w:t>Because the senior leader</w:t>
            </w:r>
            <w:r w:rsidR="00AB3E73">
              <w:t xml:space="preserve"> gender pay</w:t>
            </w:r>
            <w:r w:rsidRPr="004B7ACB">
              <w:t xml:space="preserve"> gap has widened, and because gaps in higher pay bands translate into large dollar amounts, it is especially important to examine how pay is distributed in the top bands. </w:t>
            </w:r>
            <w:r w:rsidR="00EE789D">
              <w:t>Duty holders should a</w:t>
            </w:r>
            <w:r w:rsidRPr="004B7ACB">
              <w:t>pply an intersectional lens wherever the data allows, to see where and why inequalities show up.</w:t>
            </w:r>
          </w:p>
          <w:p w14:paraId="728EC514" w14:textId="0F21CE26" w:rsidR="0058519D" w:rsidRDefault="0050572D" w:rsidP="0078531C">
            <w:pPr>
              <w:pStyle w:val="BodyText"/>
            </w:pPr>
            <w:r>
              <w:t>Gendered o</w:t>
            </w:r>
            <w:r w:rsidR="0058519D">
              <w:t xml:space="preserve">ccupational and industrial segregation are significant and </w:t>
            </w:r>
            <w:r w:rsidR="004B7ACB" w:rsidRPr="004B7ACB">
              <w:t>hard-to-</w:t>
            </w:r>
            <w:r w:rsidR="0058519D">
              <w:t>shift</w:t>
            </w:r>
            <w:r w:rsidR="004B7ACB" w:rsidRPr="004B7ACB">
              <w:t xml:space="preserve"> drivers</w:t>
            </w:r>
            <w:r w:rsidR="0057346F">
              <w:t>.</w:t>
            </w:r>
            <w:r w:rsidR="0058519D">
              <w:t xml:space="preserve"> Organisations have little control over the fact that work traditionally associated with men is valued </w:t>
            </w:r>
            <w:r w:rsidR="004B7ACB" w:rsidRPr="004B7ACB">
              <w:t xml:space="preserve">more highly. Addressing this at the </w:t>
            </w:r>
            <w:r w:rsidR="0058519D">
              <w:t xml:space="preserve">structural </w:t>
            </w:r>
            <w:r w:rsidR="004B7ACB" w:rsidRPr="004B7ACB">
              <w:t>level includes</w:t>
            </w:r>
            <w:r w:rsidR="0058519D">
              <w:t xml:space="preserve"> improving pay in publicly</w:t>
            </w:r>
            <w:r w:rsidR="004B7ACB" w:rsidRPr="004B7ACB">
              <w:t xml:space="preserve"> </w:t>
            </w:r>
            <w:r w:rsidR="0058519D">
              <w:t>funded</w:t>
            </w:r>
            <w:r w:rsidR="00461AB5">
              <w:t>,</w:t>
            </w:r>
            <w:r w:rsidR="0058519D">
              <w:t xml:space="preserve"> women-concentrated workforces. At the organisational level, duty holders should </w:t>
            </w:r>
            <w:r w:rsidR="004B7ACB" w:rsidRPr="004B7ACB">
              <w:t>focus on</w:t>
            </w:r>
            <w:r w:rsidR="0058519D">
              <w:t xml:space="preserve"> what they can </w:t>
            </w:r>
            <w:r w:rsidR="004B7ACB" w:rsidRPr="004B7ACB">
              <w:t>control</w:t>
            </w:r>
            <w:r w:rsidR="00A37784">
              <w:t>.</w:t>
            </w:r>
            <w:r w:rsidR="004B7ACB" w:rsidRPr="004B7ACB">
              <w:t xml:space="preserve"> </w:t>
            </w:r>
            <w:r w:rsidR="00A37784">
              <w:t xml:space="preserve">For example, </w:t>
            </w:r>
            <w:r w:rsidR="004B7ACB" w:rsidRPr="004B7ACB">
              <w:t>building</w:t>
            </w:r>
            <w:r w:rsidR="0058519D">
              <w:t xml:space="preserve"> pathways into roles </w:t>
            </w:r>
            <w:r w:rsidR="004B7ACB" w:rsidRPr="004B7ACB">
              <w:t>and</w:t>
            </w:r>
            <w:r w:rsidR="0058519D">
              <w:t xml:space="preserve"> areas </w:t>
            </w:r>
            <w:r w:rsidR="004B7ACB" w:rsidRPr="004B7ACB">
              <w:t>where particular genders are</w:t>
            </w:r>
            <w:r w:rsidR="0058519D">
              <w:t xml:space="preserve"> underrepresented.</w:t>
            </w:r>
          </w:p>
        </w:tc>
      </w:tr>
      <w:tr w:rsidR="00984AE1" w:rsidRPr="00C27278" w14:paraId="4E5A09C1" w14:textId="77777777" w:rsidTr="005F688D">
        <w:trPr>
          <w:gridAfter w:val="1"/>
          <w:wAfter w:w="272" w:type="dxa"/>
        </w:trPr>
        <w:tc>
          <w:tcPr>
            <w:tcW w:w="9016" w:type="dxa"/>
            <w:tcBorders>
              <w:top w:val="nil"/>
              <w:left w:val="nil"/>
              <w:bottom w:val="nil"/>
              <w:right w:val="nil"/>
            </w:tcBorders>
            <w:shd w:val="clear" w:color="auto" w:fill="E3F3F9"/>
            <w:hideMark/>
          </w:tcPr>
          <w:p w14:paraId="6B3AEB19" w14:textId="1AC1B140" w:rsidR="00984AE1" w:rsidRPr="00C27278" w:rsidRDefault="00984AE1" w:rsidP="00334695">
            <w:pPr>
              <w:pStyle w:val="Tablefigurenote"/>
              <w:rPr>
                <w:lang w:eastAsia="en-AU"/>
              </w:rPr>
            </w:pPr>
          </w:p>
        </w:tc>
      </w:tr>
    </w:tbl>
    <w:p w14:paraId="5A803B59" w14:textId="77777777" w:rsidR="0058027A" w:rsidRPr="00C27278" w:rsidRDefault="0058027A" w:rsidP="0058027A">
      <w:pPr>
        <w:pStyle w:val="Heading2"/>
        <w:rPr>
          <w:lang w:eastAsia="en-AU"/>
        </w:rPr>
      </w:pPr>
      <w:bookmarkStart w:id="37" w:name="_Toc237259530"/>
      <w:r w:rsidRPr="00C27278">
        <w:rPr>
          <w:lang w:eastAsia="en-AU"/>
        </w:rPr>
        <w:t xml:space="preserve">Rural and </w:t>
      </w:r>
      <w:r w:rsidRPr="00C27278">
        <w:t>regional</w:t>
      </w:r>
      <w:r w:rsidRPr="00C27278">
        <w:rPr>
          <w:lang w:eastAsia="en-AU"/>
        </w:rPr>
        <w:t xml:space="preserve"> </w:t>
      </w:r>
      <w:r>
        <w:t>snapshot</w:t>
      </w:r>
      <w:bookmarkEnd w:id="37"/>
      <w:r w:rsidRPr="00C27278">
        <w:rPr>
          <w:lang w:eastAsia="en-AU"/>
        </w:rPr>
        <w:t xml:space="preserve"> </w:t>
      </w:r>
    </w:p>
    <w:p w14:paraId="0471A40C" w14:textId="77777777" w:rsidR="0058027A" w:rsidRPr="0065712D" w:rsidRDefault="0058027A" w:rsidP="0058027A">
      <w:pPr>
        <w:pStyle w:val="BodyText"/>
        <w:rPr>
          <w:lang w:eastAsia="en-AU"/>
        </w:rPr>
      </w:pPr>
      <w:r w:rsidRPr="0065712D">
        <w:rPr>
          <w:lang w:eastAsia="en-AU"/>
        </w:rPr>
        <w:t xml:space="preserve">Rural and regional workplaces face distinct challenges in embedding gender equality. </w:t>
      </w:r>
      <w:r>
        <w:rPr>
          <w:lang w:eastAsia="en-AU"/>
        </w:rPr>
        <w:t xml:space="preserve">Families can </w:t>
      </w:r>
      <w:r w:rsidRPr="0065712D">
        <w:rPr>
          <w:lang w:eastAsia="en-AU"/>
        </w:rPr>
        <w:t xml:space="preserve">struggle to access adequate </w:t>
      </w:r>
      <w:r>
        <w:rPr>
          <w:lang w:eastAsia="en-AU"/>
        </w:rPr>
        <w:t xml:space="preserve">flexibility and </w:t>
      </w:r>
      <w:r w:rsidRPr="0065712D">
        <w:rPr>
          <w:lang w:eastAsia="en-AU"/>
        </w:rPr>
        <w:t xml:space="preserve">childcare, </w:t>
      </w:r>
      <w:r>
        <w:rPr>
          <w:lang w:eastAsia="en-AU"/>
        </w:rPr>
        <w:t xml:space="preserve">which often </w:t>
      </w:r>
      <w:r w:rsidRPr="0065712D">
        <w:rPr>
          <w:lang w:eastAsia="en-AU"/>
        </w:rPr>
        <w:t>limit</w:t>
      </w:r>
      <w:r>
        <w:rPr>
          <w:lang w:eastAsia="en-AU"/>
        </w:rPr>
        <w:t>s</w:t>
      </w:r>
      <w:r w:rsidRPr="0065712D">
        <w:rPr>
          <w:lang w:eastAsia="en-AU"/>
        </w:rPr>
        <w:t xml:space="preserve"> </w:t>
      </w:r>
      <w:r>
        <w:rPr>
          <w:lang w:eastAsia="en-AU"/>
        </w:rPr>
        <w:t xml:space="preserve">women’s </w:t>
      </w:r>
      <w:r w:rsidRPr="0065712D">
        <w:rPr>
          <w:lang w:eastAsia="en-AU"/>
        </w:rPr>
        <w:t>workforce participation</w:t>
      </w:r>
      <w:r>
        <w:rPr>
          <w:lang w:eastAsia="en-AU"/>
        </w:rPr>
        <w:t>. Women in rural and regional areas can also be</w:t>
      </w:r>
      <w:r w:rsidRPr="0065712D">
        <w:rPr>
          <w:lang w:eastAsia="en-AU"/>
        </w:rPr>
        <w:t xml:space="preserve"> reluctant to move into senior roles </w:t>
      </w:r>
      <w:r>
        <w:rPr>
          <w:lang w:eastAsia="en-AU"/>
        </w:rPr>
        <w:t>as workloads can be</w:t>
      </w:r>
      <w:r w:rsidRPr="0065712D">
        <w:rPr>
          <w:lang w:eastAsia="en-AU"/>
        </w:rPr>
        <w:t xml:space="preserve"> considerably higher than in metropolitan areas </w:t>
      </w:r>
      <w:r>
        <w:rPr>
          <w:lang w:eastAsia="en-AU"/>
        </w:rPr>
        <w:t>and flexibility</w:t>
      </w:r>
      <w:r w:rsidRPr="0065712D">
        <w:rPr>
          <w:lang w:eastAsia="en-AU"/>
        </w:rPr>
        <w:t xml:space="preserve"> </w:t>
      </w:r>
      <w:r>
        <w:rPr>
          <w:lang w:eastAsia="en-AU"/>
        </w:rPr>
        <w:t xml:space="preserve">may be limited </w:t>
      </w:r>
      <w:r w:rsidRPr="0065712D">
        <w:rPr>
          <w:lang w:eastAsia="en-AU"/>
        </w:rPr>
        <w:t>(Tischler et al. 2023).</w:t>
      </w:r>
    </w:p>
    <w:p w14:paraId="16AF0441" w14:textId="77777777" w:rsidR="0058027A" w:rsidRDefault="0058027A" w:rsidP="0058027A">
      <w:pPr>
        <w:pStyle w:val="BodyText"/>
        <w:rPr>
          <w:lang w:eastAsia="en-AU"/>
        </w:rPr>
      </w:pPr>
      <w:r w:rsidRPr="0065712D">
        <w:rPr>
          <w:lang w:eastAsia="en-AU"/>
        </w:rPr>
        <w:t xml:space="preserve">In the Victorian public sector, overall pay gaps were lower in rural areas than in metropolitan Melbourne, but senior leader pay gaps were higher. </w:t>
      </w:r>
    </w:p>
    <w:p w14:paraId="5342E550" w14:textId="77777777" w:rsidR="0058027A" w:rsidRPr="0065712D" w:rsidRDefault="0058027A" w:rsidP="0058027A">
      <w:pPr>
        <w:pStyle w:val="BodyText"/>
        <w:rPr>
          <w:lang w:eastAsia="en-AU"/>
        </w:rPr>
      </w:pPr>
      <w:r w:rsidRPr="0065712D">
        <w:rPr>
          <w:lang w:eastAsia="en-AU"/>
        </w:rPr>
        <w:t xml:space="preserve">Regional pay gaps were </w:t>
      </w:r>
      <w:r w:rsidRPr="00F01BDF">
        <w:rPr>
          <w:lang w:eastAsia="en-AU"/>
        </w:rPr>
        <w:t xml:space="preserve">slightly higher than </w:t>
      </w:r>
      <w:r w:rsidRPr="0065712D">
        <w:rPr>
          <w:lang w:eastAsia="en-AU"/>
        </w:rPr>
        <w:t>metropolitan ones</w:t>
      </w:r>
      <w:r w:rsidRPr="00F01BDF">
        <w:rPr>
          <w:lang w:eastAsia="en-AU"/>
        </w:rPr>
        <w:t>. The</w:t>
      </w:r>
      <w:r w:rsidRPr="0065712D">
        <w:rPr>
          <w:lang w:eastAsia="en-AU"/>
        </w:rPr>
        <w:t xml:space="preserve"> mean total remuneration gap in regional areas </w:t>
      </w:r>
      <w:r w:rsidRPr="00F01BDF">
        <w:rPr>
          <w:lang w:eastAsia="en-AU"/>
        </w:rPr>
        <w:t xml:space="preserve">was </w:t>
      </w:r>
      <w:r w:rsidRPr="0065712D">
        <w:rPr>
          <w:lang w:eastAsia="en-AU"/>
        </w:rPr>
        <w:t>17.0</w:t>
      </w:r>
      <w:r w:rsidRPr="00F01BDF">
        <w:rPr>
          <w:lang w:eastAsia="en-AU"/>
        </w:rPr>
        <w:t>%,</w:t>
      </w:r>
      <w:r w:rsidRPr="0065712D" w:rsidDel="00B43098">
        <w:rPr>
          <w:lang w:eastAsia="en-AU"/>
        </w:rPr>
        <w:t xml:space="preserve"> </w:t>
      </w:r>
      <w:r>
        <w:rPr>
          <w:lang w:eastAsia="en-AU"/>
        </w:rPr>
        <w:t xml:space="preserve">compared to </w:t>
      </w:r>
      <w:r w:rsidRPr="0065712D">
        <w:rPr>
          <w:lang w:eastAsia="en-AU"/>
        </w:rPr>
        <w:t>15.6</w:t>
      </w:r>
      <w:r w:rsidRPr="00F01BDF">
        <w:rPr>
          <w:lang w:eastAsia="en-AU"/>
        </w:rPr>
        <w:t>% in metropolitan areas</w:t>
      </w:r>
      <w:r>
        <w:rPr>
          <w:lang w:eastAsia="en-AU"/>
        </w:rPr>
        <w:t>.</w:t>
      </w:r>
    </w:p>
    <w:p w14:paraId="486414A4" w14:textId="77777777" w:rsidR="0058027A" w:rsidRDefault="0058027A" w:rsidP="0058027A">
      <w:pPr>
        <w:pStyle w:val="BodyText"/>
        <w:rPr>
          <w:lang w:eastAsia="en-AU"/>
        </w:rPr>
      </w:pPr>
      <w:r w:rsidRPr="0065712D">
        <w:rPr>
          <w:lang w:eastAsia="en-AU"/>
        </w:rPr>
        <w:t>Women</w:t>
      </w:r>
      <w:r>
        <w:rPr>
          <w:lang w:eastAsia="en-AU"/>
        </w:rPr>
        <w:t>’</w:t>
      </w:r>
      <w:r w:rsidRPr="0065712D">
        <w:rPr>
          <w:lang w:eastAsia="en-AU"/>
        </w:rPr>
        <w:t>s access to career development was significantly lower than men</w:t>
      </w:r>
      <w:r>
        <w:rPr>
          <w:lang w:eastAsia="en-AU"/>
        </w:rPr>
        <w:t>’</w:t>
      </w:r>
      <w:r w:rsidRPr="0065712D">
        <w:rPr>
          <w:lang w:eastAsia="en-AU"/>
        </w:rPr>
        <w:t>s in rural areas. In 2025, every location had a career-development gap in favour of men</w:t>
      </w:r>
      <w:r>
        <w:rPr>
          <w:lang w:eastAsia="en-AU"/>
        </w:rPr>
        <w:t xml:space="preserve">. However, the gap </w:t>
      </w:r>
      <w:r w:rsidRPr="0065712D">
        <w:rPr>
          <w:lang w:eastAsia="en-AU"/>
        </w:rPr>
        <w:t xml:space="preserve">was most pronounced in rural areas </w:t>
      </w:r>
      <w:r>
        <w:rPr>
          <w:lang w:eastAsia="en-AU"/>
        </w:rPr>
        <w:t>(</w:t>
      </w:r>
      <w:r w:rsidRPr="0065712D">
        <w:rPr>
          <w:lang w:eastAsia="en-AU"/>
        </w:rPr>
        <w:t>13.1</w:t>
      </w:r>
      <w:r>
        <w:rPr>
          <w:lang w:eastAsia="en-AU"/>
        </w:rPr>
        <w:t>%)</w:t>
      </w:r>
      <w:r w:rsidRPr="0065712D">
        <w:rPr>
          <w:lang w:eastAsia="en-AU"/>
        </w:rPr>
        <w:t xml:space="preserve">, compared with metropolitan areas </w:t>
      </w:r>
      <w:r>
        <w:rPr>
          <w:lang w:eastAsia="en-AU"/>
        </w:rPr>
        <w:t>(</w:t>
      </w:r>
      <w:r w:rsidRPr="0065712D">
        <w:rPr>
          <w:lang w:eastAsia="en-AU"/>
        </w:rPr>
        <w:t>8.4</w:t>
      </w:r>
      <w:r>
        <w:rPr>
          <w:lang w:eastAsia="en-AU"/>
        </w:rPr>
        <w:t xml:space="preserve">%) </w:t>
      </w:r>
      <w:r w:rsidRPr="0065712D">
        <w:rPr>
          <w:lang w:eastAsia="en-AU"/>
        </w:rPr>
        <w:t>and regional centres</w:t>
      </w:r>
      <w:r>
        <w:rPr>
          <w:lang w:eastAsia="en-AU"/>
        </w:rPr>
        <w:t xml:space="preserve"> (</w:t>
      </w:r>
      <w:r w:rsidRPr="0065712D">
        <w:rPr>
          <w:lang w:eastAsia="en-AU"/>
        </w:rPr>
        <w:t>7.9</w:t>
      </w:r>
      <w:r>
        <w:rPr>
          <w:lang w:eastAsia="en-AU"/>
        </w:rPr>
        <w:t>%)</w:t>
      </w:r>
      <w:r w:rsidRPr="0065712D">
        <w:rPr>
          <w:lang w:eastAsia="en-AU"/>
        </w:rPr>
        <w:t xml:space="preserve">. </w:t>
      </w:r>
      <w:r>
        <w:rPr>
          <w:lang w:eastAsia="en-AU"/>
        </w:rPr>
        <w:t xml:space="preserve">See </w:t>
      </w:r>
      <w:hyperlink w:anchor="_Indicator_5:_Recruitment" w:history="1">
        <w:r w:rsidRPr="009C5E22">
          <w:rPr>
            <w:rStyle w:val="Hyperlink"/>
            <w:rFonts w:cs="Times New Roman"/>
            <w:lang w:eastAsia="en-AU"/>
          </w:rPr>
          <w:t>Indicator 5: Recruitment and promotion</w:t>
        </w:r>
      </w:hyperlink>
      <w:r>
        <w:rPr>
          <w:lang w:eastAsia="en-AU"/>
        </w:rPr>
        <w:t xml:space="preserve"> for more detail on </w:t>
      </w:r>
      <w:r w:rsidRPr="0065712D">
        <w:rPr>
          <w:lang w:eastAsia="en-AU"/>
        </w:rPr>
        <w:t xml:space="preserve">career development. </w:t>
      </w:r>
    </w:p>
    <w:p w14:paraId="4278A49B" w14:textId="77777777" w:rsidR="0058027A" w:rsidRPr="0065712D" w:rsidRDefault="0058027A" w:rsidP="0058027A">
      <w:pPr>
        <w:pStyle w:val="BodyText"/>
        <w:rPr>
          <w:lang w:eastAsia="en-AU"/>
        </w:rPr>
      </w:pPr>
      <w:r w:rsidRPr="0065712D">
        <w:rPr>
          <w:lang w:eastAsia="en-AU"/>
        </w:rPr>
        <w:t>Alongside the structural factors above, this lack of advancement opportunity may help explain the more pronounced senior leader pay gap in rural areas</w:t>
      </w:r>
      <w:r>
        <w:rPr>
          <w:lang w:eastAsia="en-AU"/>
        </w:rPr>
        <w:t>.</w:t>
      </w:r>
      <w:r w:rsidRPr="0065712D">
        <w:rPr>
          <w:lang w:eastAsia="en-AU"/>
        </w:rPr>
        <w:t xml:space="preserve"> </w:t>
      </w:r>
      <w:r>
        <w:rPr>
          <w:lang w:eastAsia="en-AU"/>
        </w:rPr>
        <w:t>It could potentially be</w:t>
      </w:r>
      <w:r w:rsidRPr="0065712D">
        <w:rPr>
          <w:lang w:eastAsia="en-AU"/>
        </w:rPr>
        <w:t xml:space="preserve"> constraining both women</w:t>
      </w:r>
      <w:r>
        <w:rPr>
          <w:lang w:eastAsia="en-AU"/>
        </w:rPr>
        <w:t>’</w:t>
      </w:r>
      <w:r w:rsidRPr="0065712D">
        <w:rPr>
          <w:lang w:eastAsia="en-AU"/>
        </w:rPr>
        <w:t>s pathways into leadership and their pay once there.</w:t>
      </w:r>
    </w:p>
    <w:p w14:paraId="294F9DA9" w14:textId="77777777" w:rsidR="0058027A" w:rsidRPr="00BD1744" w:rsidRDefault="0058027A" w:rsidP="0058027A">
      <w:pPr>
        <w:pStyle w:val="Tablecaption"/>
        <w:rPr>
          <w:lang w:eastAsia="en-AU"/>
        </w:rPr>
      </w:pPr>
      <w:r w:rsidRPr="00C27278">
        <w:rPr>
          <w:lang w:eastAsia="en-AU"/>
        </w:rPr>
        <w:lastRenderedPageBreak/>
        <w:t xml:space="preserve">Table </w:t>
      </w:r>
      <w:r w:rsidRPr="00BD1744">
        <w:rPr>
          <w:lang w:eastAsia="en-AU"/>
        </w:rPr>
        <w:t>3.</w:t>
      </w:r>
      <w:r>
        <w:rPr>
          <w:lang w:eastAsia="en-AU"/>
        </w:rPr>
        <w:t>9</w:t>
      </w:r>
      <w:r w:rsidRPr="00BD1744">
        <w:rPr>
          <w:lang w:eastAsia="en-AU"/>
        </w:rPr>
        <w:t xml:space="preserve">: Mean total remuneration pay gaps and senior leaders pay gaps by location </w:t>
      </w:r>
    </w:p>
    <w:tbl>
      <w:tblPr>
        <w:tblStyle w:val="CGEPStable"/>
        <w:tblW w:w="0" w:type="auto"/>
        <w:tblLook w:val="04A0" w:firstRow="1" w:lastRow="0" w:firstColumn="1" w:lastColumn="0" w:noHBand="0" w:noVBand="1"/>
      </w:tblPr>
      <w:tblGrid>
        <w:gridCol w:w="1930"/>
        <w:gridCol w:w="1942"/>
        <w:gridCol w:w="1760"/>
        <w:gridCol w:w="1649"/>
        <w:gridCol w:w="1519"/>
      </w:tblGrid>
      <w:tr w:rsidR="0058027A" w:rsidRPr="00C27278" w14:paraId="3333D85F" w14:textId="77777777">
        <w:trPr>
          <w:cnfStyle w:val="100000000000" w:firstRow="1" w:lastRow="0" w:firstColumn="0" w:lastColumn="0" w:oddVBand="0" w:evenVBand="0" w:oddHBand="0" w:evenHBand="0" w:firstRowFirstColumn="0" w:firstRowLastColumn="0" w:lastRowFirstColumn="0" w:lastRowLastColumn="0"/>
        </w:trPr>
        <w:tc>
          <w:tcPr>
            <w:tcW w:w="1930" w:type="dxa"/>
          </w:tcPr>
          <w:p w14:paraId="6E601D94" w14:textId="77777777" w:rsidR="0058027A" w:rsidRPr="00C27278" w:rsidRDefault="0058027A">
            <w:pPr>
              <w:pStyle w:val="Tablecolhead"/>
              <w:rPr>
                <w:b w:val="0"/>
                <w:lang w:eastAsia="en-AU"/>
              </w:rPr>
            </w:pPr>
            <w:r w:rsidRPr="00C27278">
              <w:rPr>
                <w:lang w:eastAsia="en-AU"/>
              </w:rPr>
              <w:t>Location</w:t>
            </w:r>
          </w:p>
        </w:tc>
        <w:tc>
          <w:tcPr>
            <w:tcW w:w="1942" w:type="dxa"/>
          </w:tcPr>
          <w:p w14:paraId="785BB804" w14:textId="77777777" w:rsidR="0058027A" w:rsidRPr="00C27278" w:rsidRDefault="0058027A">
            <w:pPr>
              <w:pStyle w:val="Tablecolhead"/>
              <w:rPr>
                <w:b w:val="0"/>
                <w:lang w:eastAsia="en-AU"/>
              </w:rPr>
            </w:pPr>
            <w:r w:rsidRPr="00C27278">
              <w:rPr>
                <w:lang w:eastAsia="en-AU"/>
              </w:rPr>
              <w:t>Measure</w:t>
            </w:r>
          </w:p>
        </w:tc>
        <w:tc>
          <w:tcPr>
            <w:tcW w:w="1760" w:type="dxa"/>
          </w:tcPr>
          <w:p w14:paraId="71AF5807" w14:textId="77777777" w:rsidR="0058027A" w:rsidRPr="00C27278" w:rsidRDefault="0058027A">
            <w:pPr>
              <w:pStyle w:val="Tablecolhead"/>
              <w:rPr>
                <w:b w:val="0"/>
                <w:lang w:eastAsia="en-AU"/>
              </w:rPr>
            </w:pPr>
            <w:r w:rsidRPr="00C27278">
              <w:rPr>
                <w:lang w:eastAsia="en-AU"/>
              </w:rPr>
              <w:t>2023</w:t>
            </w:r>
          </w:p>
        </w:tc>
        <w:tc>
          <w:tcPr>
            <w:tcW w:w="1649" w:type="dxa"/>
          </w:tcPr>
          <w:p w14:paraId="6ED0F801" w14:textId="77777777" w:rsidR="0058027A" w:rsidRPr="00C27278" w:rsidRDefault="0058027A">
            <w:pPr>
              <w:pStyle w:val="Tablecolhead"/>
              <w:rPr>
                <w:b w:val="0"/>
                <w:lang w:eastAsia="en-AU"/>
              </w:rPr>
            </w:pPr>
            <w:r w:rsidRPr="00C27278">
              <w:rPr>
                <w:lang w:eastAsia="en-AU"/>
              </w:rPr>
              <w:t>2025</w:t>
            </w:r>
          </w:p>
        </w:tc>
        <w:tc>
          <w:tcPr>
            <w:tcW w:w="1519" w:type="dxa"/>
          </w:tcPr>
          <w:p w14:paraId="61C73B1E" w14:textId="77777777" w:rsidR="0058027A" w:rsidRPr="00C27278" w:rsidRDefault="0058027A">
            <w:pPr>
              <w:pStyle w:val="Tablecolhead"/>
              <w:rPr>
                <w:b w:val="0"/>
                <w:lang w:eastAsia="en-AU"/>
              </w:rPr>
            </w:pPr>
            <w:r w:rsidRPr="00C27278">
              <w:rPr>
                <w:lang w:eastAsia="en-AU"/>
              </w:rPr>
              <w:t>Percentage point change 2023-2025</w:t>
            </w:r>
          </w:p>
        </w:tc>
      </w:tr>
      <w:tr w:rsidR="0058027A" w:rsidRPr="00C27278" w14:paraId="5B5ABBFE" w14:textId="77777777">
        <w:tc>
          <w:tcPr>
            <w:tcW w:w="1930" w:type="dxa"/>
          </w:tcPr>
          <w:p w14:paraId="6700929F" w14:textId="77777777" w:rsidR="0058027A" w:rsidRPr="00C27278" w:rsidRDefault="0058027A">
            <w:pPr>
              <w:pStyle w:val="Tabletext"/>
              <w:rPr>
                <w:lang w:eastAsia="en-AU"/>
              </w:rPr>
            </w:pPr>
            <w:r w:rsidRPr="00C27278">
              <w:rPr>
                <w:lang w:eastAsia="en-AU"/>
              </w:rPr>
              <w:t xml:space="preserve">Metropolitan </w:t>
            </w:r>
          </w:p>
        </w:tc>
        <w:tc>
          <w:tcPr>
            <w:tcW w:w="1942" w:type="dxa"/>
          </w:tcPr>
          <w:p w14:paraId="1C05BD00" w14:textId="77777777" w:rsidR="0058027A" w:rsidRPr="00C27278" w:rsidRDefault="0058027A">
            <w:pPr>
              <w:pStyle w:val="Tabletext"/>
              <w:rPr>
                <w:lang w:eastAsia="en-AU"/>
              </w:rPr>
            </w:pPr>
            <w:r w:rsidRPr="00C27278">
              <w:rPr>
                <w:lang w:eastAsia="en-AU"/>
              </w:rPr>
              <w:t>All employees mean total remuneration gap</w:t>
            </w:r>
          </w:p>
        </w:tc>
        <w:tc>
          <w:tcPr>
            <w:tcW w:w="1760" w:type="dxa"/>
          </w:tcPr>
          <w:p w14:paraId="2330574F" w14:textId="77777777" w:rsidR="0058027A" w:rsidRPr="00C27278" w:rsidRDefault="0058027A">
            <w:pPr>
              <w:pStyle w:val="Tabletext"/>
              <w:rPr>
                <w:lang w:eastAsia="en-AU"/>
              </w:rPr>
            </w:pPr>
            <w:r w:rsidRPr="00C27278">
              <w:rPr>
                <w:lang w:eastAsia="en-AU"/>
              </w:rPr>
              <w:t>16.1</w:t>
            </w:r>
            <w:r>
              <w:rPr>
                <w:lang w:eastAsia="en-AU"/>
              </w:rPr>
              <w:t>%</w:t>
            </w:r>
          </w:p>
        </w:tc>
        <w:tc>
          <w:tcPr>
            <w:tcW w:w="1649" w:type="dxa"/>
          </w:tcPr>
          <w:p w14:paraId="10922EEB" w14:textId="77777777" w:rsidR="0058027A" w:rsidRPr="00C27278" w:rsidRDefault="0058027A">
            <w:pPr>
              <w:pStyle w:val="Tabletext"/>
              <w:rPr>
                <w:lang w:eastAsia="en-AU"/>
              </w:rPr>
            </w:pPr>
            <w:r w:rsidRPr="00C27278">
              <w:rPr>
                <w:lang w:eastAsia="en-AU"/>
              </w:rPr>
              <w:t>15.6</w:t>
            </w:r>
            <w:r>
              <w:rPr>
                <w:lang w:eastAsia="en-AU"/>
              </w:rPr>
              <w:t>%</w:t>
            </w:r>
          </w:p>
        </w:tc>
        <w:tc>
          <w:tcPr>
            <w:tcW w:w="1519" w:type="dxa"/>
          </w:tcPr>
          <w:p w14:paraId="531EB035" w14:textId="77777777" w:rsidR="0058027A" w:rsidRPr="00C27278" w:rsidRDefault="0058027A">
            <w:pPr>
              <w:pStyle w:val="Tabletext"/>
              <w:rPr>
                <w:lang w:eastAsia="en-AU"/>
              </w:rPr>
            </w:pPr>
            <w:r w:rsidRPr="00C27278">
              <w:rPr>
                <w:lang w:eastAsia="en-AU"/>
              </w:rPr>
              <w:t>-0.5pp</w:t>
            </w:r>
          </w:p>
        </w:tc>
      </w:tr>
      <w:tr w:rsidR="0058027A" w:rsidRPr="00C27278" w14:paraId="6826AF50" w14:textId="77777777">
        <w:tc>
          <w:tcPr>
            <w:tcW w:w="1930" w:type="dxa"/>
          </w:tcPr>
          <w:p w14:paraId="42EAD7D7" w14:textId="77777777" w:rsidR="0058027A" w:rsidRPr="00C27278" w:rsidRDefault="0058027A">
            <w:pPr>
              <w:pStyle w:val="Tabletext"/>
              <w:rPr>
                <w:lang w:eastAsia="en-AU"/>
              </w:rPr>
            </w:pPr>
            <w:r w:rsidRPr="00C27278">
              <w:rPr>
                <w:lang w:eastAsia="en-AU"/>
              </w:rPr>
              <w:t>Regional</w:t>
            </w:r>
            <w:r>
              <w:rPr>
                <w:lang w:eastAsia="en-AU"/>
              </w:rPr>
              <w:t xml:space="preserve"> </w:t>
            </w:r>
          </w:p>
        </w:tc>
        <w:tc>
          <w:tcPr>
            <w:tcW w:w="1942" w:type="dxa"/>
          </w:tcPr>
          <w:p w14:paraId="46672168" w14:textId="77777777" w:rsidR="0058027A" w:rsidRPr="00C27278" w:rsidRDefault="0058027A">
            <w:pPr>
              <w:pStyle w:val="Tabletext"/>
              <w:rPr>
                <w:lang w:eastAsia="en-AU"/>
              </w:rPr>
            </w:pPr>
            <w:r w:rsidRPr="00C27278">
              <w:rPr>
                <w:lang w:eastAsia="en-AU"/>
              </w:rPr>
              <w:t>All employees mean total remuneration gap</w:t>
            </w:r>
          </w:p>
        </w:tc>
        <w:tc>
          <w:tcPr>
            <w:tcW w:w="1760" w:type="dxa"/>
          </w:tcPr>
          <w:p w14:paraId="7D796580" w14:textId="77777777" w:rsidR="0058027A" w:rsidRPr="00C27278" w:rsidRDefault="0058027A">
            <w:pPr>
              <w:pStyle w:val="Tabletext"/>
              <w:rPr>
                <w:lang w:eastAsia="en-AU"/>
              </w:rPr>
            </w:pPr>
            <w:r w:rsidRPr="00C27278">
              <w:rPr>
                <w:lang w:eastAsia="en-AU"/>
              </w:rPr>
              <w:t>16.6</w:t>
            </w:r>
            <w:r>
              <w:rPr>
                <w:lang w:eastAsia="en-AU"/>
              </w:rPr>
              <w:t>%</w:t>
            </w:r>
          </w:p>
        </w:tc>
        <w:tc>
          <w:tcPr>
            <w:tcW w:w="1649" w:type="dxa"/>
          </w:tcPr>
          <w:p w14:paraId="3537CDB8" w14:textId="77777777" w:rsidR="0058027A" w:rsidRPr="00C27278" w:rsidRDefault="0058027A">
            <w:pPr>
              <w:pStyle w:val="Tabletext"/>
              <w:rPr>
                <w:lang w:eastAsia="en-AU"/>
              </w:rPr>
            </w:pPr>
            <w:r w:rsidRPr="00C27278">
              <w:rPr>
                <w:lang w:eastAsia="en-AU"/>
              </w:rPr>
              <w:t>17.0</w:t>
            </w:r>
            <w:r>
              <w:rPr>
                <w:lang w:eastAsia="en-AU"/>
              </w:rPr>
              <w:t>%</w:t>
            </w:r>
          </w:p>
        </w:tc>
        <w:tc>
          <w:tcPr>
            <w:tcW w:w="1519" w:type="dxa"/>
          </w:tcPr>
          <w:p w14:paraId="38DBED2D" w14:textId="77777777" w:rsidR="0058027A" w:rsidRPr="00C27278" w:rsidRDefault="0058027A">
            <w:pPr>
              <w:pStyle w:val="Tabletext"/>
              <w:rPr>
                <w:lang w:eastAsia="en-AU"/>
              </w:rPr>
            </w:pPr>
            <w:r w:rsidRPr="00C27278">
              <w:rPr>
                <w:lang w:eastAsia="en-AU"/>
              </w:rPr>
              <w:t>+0.4pp</w:t>
            </w:r>
          </w:p>
        </w:tc>
      </w:tr>
      <w:tr w:rsidR="0058027A" w:rsidRPr="00C27278" w14:paraId="107A9213" w14:textId="77777777">
        <w:tc>
          <w:tcPr>
            <w:tcW w:w="1930" w:type="dxa"/>
          </w:tcPr>
          <w:p w14:paraId="2F207358" w14:textId="77777777" w:rsidR="0058027A" w:rsidRPr="00C27278" w:rsidRDefault="0058027A">
            <w:pPr>
              <w:pStyle w:val="Tabletext"/>
              <w:rPr>
                <w:lang w:eastAsia="en-AU"/>
              </w:rPr>
            </w:pPr>
            <w:r>
              <w:rPr>
                <w:lang w:eastAsia="en-AU"/>
              </w:rPr>
              <w:t xml:space="preserve">Rural </w:t>
            </w:r>
          </w:p>
        </w:tc>
        <w:tc>
          <w:tcPr>
            <w:tcW w:w="1942" w:type="dxa"/>
          </w:tcPr>
          <w:p w14:paraId="0AF5C44C" w14:textId="77777777" w:rsidR="0058027A" w:rsidRPr="00C27278" w:rsidRDefault="0058027A">
            <w:pPr>
              <w:pStyle w:val="Tabletext"/>
              <w:rPr>
                <w:lang w:eastAsia="en-AU"/>
              </w:rPr>
            </w:pPr>
            <w:r w:rsidRPr="00C27278">
              <w:rPr>
                <w:lang w:eastAsia="en-AU"/>
              </w:rPr>
              <w:t>All employees mean total remuneration gap</w:t>
            </w:r>
          </w:p>
        </w:tc>
        <w:tc>
          <w:tcPr>
            <w:tcW w:w="1760" w:type="dxa"/>
          </w:tcPr>
          <w:p w14:paraId="11785C79" w14:textId="77777777" w:rsidR="0058027A" w:rsidRPr="00C27278" w:rsidRDefault="0058027A">
            <w:pPr>
              <w:pStyle w:val="Tabletext"/>
              <w:rPr>
                <w:lang w:eastAsia="en-AU"/>
              </w:rPr>
            </w:pPr>
            <w:r w:rsidRPr="00C27278">
              <w:rPr>
                <w:lang w:eastAsia="en-AU"/>
              </w:rPr>
              <w:t>10.7</w:t>
            </w:r>
            <w:r>
              <w:rPr>
                <w:lang w:eastAsia="en-AU"/>
              </w:rPr>
              <w:t>%</w:t>
            </w:r>
          </w:p>
        </w:tc>
        <w:tc>
          <w:tcPr>
            <w:tcW w:w="1649" w:type="dxa"/>
          </w:tcPr>
          <w:p w14:paraId="51803EA9" w14:textId="77777777" w:rsidR="0058027A" w:rsidRPr="00C27278" w:rsidRDefault="0058027A">
            <w:pPr>
              <w:pStyle w:val="Tabletext"/>
              <w:rPr>
                <w:lang w:eastAsia="en-AU"/>
              </w:rPr>
            </w:pPr>
            <w:r w:rsidRPr="00C27278">
              <w:rPr>
                <w:lang w:eastAsia="en-AU"/>
              </w:rPr>
              <w:t>10.9</w:t>
            </w:r>
            <w:r>
              <w:rPr>
                <w:lang w:eastAsia="en-AU"/>
              </w:rPr>
              <w:t>%</w:t>
            </w:r>
          </w:p>
        </w:tc>
        <w:tc>
          <w:tcPr>
            <w:tcW w:w="1519" w:type="dxa"/>
          </w:tcPr>
          <w:p w14:paraId="3FF0B5C8" w14:textId="77777777" w:rsidR="0058027A" w:rsidRPr="00C27278" w:rsidRDefault="0058027A">
            <w:pPr>
              <w:pStyle w:val="Tabletext"/>
              <w:rPr>
                <w:lang w:eastAsia="en-AU"/>
              </w:rPr>
            </w:pPr>
            <w:r w:rsidRPr="00C27278">
              <w:rPr>
                <w:lang w:eastAsia="en-AU"/>
              </w:rPr>
              <w:t>+0.2pp</w:t>
            </w:r>
          </w:p>
        </w:tc>
      </w:tr>
      <w:tr w:rsidR="0058027A" w:rsidRPr="00C27278" w14:paraId="12135CCB" w14:textId="77777777">
        <w:tc>
          <w:tcPr>
            <w:tcW w:w="1930" w:type="dxa"/>
            <w:shd w:val="clear" w:color="auto" w:fill="CCC0D9" w:themeFill="accent4" w:themeFillTint="66"/>
          </w:tcPr>
          <w:p w14:paraId="4942A344" w14:textId="77777777" w:rsidR="0058027A" w:rsidRPr="00C27278" w:rsidRDefault="0058027A">
            <w:pPr>
              <w:pStyle w:val="Tabletext"/>
              <w:rPr>
                <w:lang w:eastAsia="en-AU"/>
              </w:rPr>
            </w:pPr>
            <w:r w:rsidRPr="00C27278">
              <w:rPr>
                <w:lang w:eastAsia="en-AU"/>
              </w:rPr>
              <w:t>Metropolitan</w:t>
            </w:r>
          </w:p>
        </w:tc>
        <w:tc>
          <w:tcPr>
            <w:tcW w:w="1942" w:type="dxa"/>
            <w:shd w:val="clear" w:color="auto" w:fill="CCC0D9" w:themeFill="accent4" w:themeFillTint="66"/>
          </w:tcPr>
          <w:p w14:paraId="1C7E42AB" w14:textId="77777777" w:rsidR="0058027A" w:rsidRPr="00C27278" w:rsidRDefault="0058027A">
            <w:pPr>
              <w:pStyle w:val="Tabletext"/>
              <w:rPr>
                <w:lang w:eastAsia="en-AU"/>
              </w:rPr>
            </w:pPr>
            <w:r w:rsidRPr="00C27278">
              <w:rPr>
                <w:lang w:eastAsia="en-AU"/>
              </w:rPr>
              <w:t>Senior leader mean total remuneration gap</w:t>
            </w:r>
          </w:p>
        </w:tc>
        <w:tc>
          <w:tcPr>
            <w:tcW w:w="1760" w:type="dxa"/>
            <w:shd w:val="clear" w:color="auto" w:fill="CCC0D9" w:themeFill="accent4" w:themeFillTint="66"/>
          </w:tcPr>
          <w:p w14:paraId="32D0613B" w14:textId="77777777" w:rsidR="0058027A" w:rsidRPr="00C27278" w:rsidRDefault="0058027A">
            <w:pPr>
              <w:pStyle w:val="Tabletext"/>
              <w:rPr>
                <w:lang w:eastAsia="en-AU"/>
              </w:rPr>
            </w:pPr>
            <w:r w:rsidRPr="00C27278">
              <w:rPr>
                <w:lang w:eastAsia="en-AU"/>
              </w:rPr>
              <w:t>11.5</w:t>
            </w:r>
            <w:r>
              <w:rPr>
                <w:lang w:eastAsia="en-AU"/>
              </w:rPr>
              <w:t>%</w:t>
            </w:r>
          </w:p>
        </w:tc>
        <w:tc>
          <w:tcPr>
            <w:tcW w:w="1649" w:type="dxa"/>
            <w:shd w:val="clear" w:color="auto" w:fill="CCC0D9" w:themeFill="accent4" w:themeFillTint="66"/>
          </w:tcPr>
          <w:p w14:paraId="7F2ED65E" w14:textId="77777777" w:rsidR="0058027A" w:rsidRPr="00C27278" w:rsidRDefault="0058027A">
            <w:pPr>
              <w:pStyle w:val="Tabletext"/>
              <w:rPr>
                <w:lang w:eastAsia="en-AU"/>
              </w:rPr>
            </w:pPr>
            <w:r w:rsidRPr="00C27278">
              <w:rPr>
                <w:lang w:eastAsia="en-AU"/>
              </w:rPr>
              <w:t>11.9</w:t>
            </w:r>
            <w:r>
              <w:rPr>
                <w:lang w:eastAsia="en-AU"/>
              </w:rPr>
              <w:t>%</w:t>
            </w:r>
          </w:p>
        </w:tc>
        <w:tc>
          <w:tcPr>
            <w:tcW w:w="1519" w:type="dxa"/>
            <w:shd w:val="clear" w:color="auto" w:fill="CCC0D9" w:themeFill="accent4" w:themeFillTint="66"/>
          </w:tcPr>
          <w:p w14:paraId="42E2CE5B" w14:textId="77777777" w:rsidR="0058027A" w:rsidRPr="00C27278" w:rsidRDefault="0058027A">
            <w:pPr>
              <w:pStyle w:val="Tabletext"/>
              <w:rPr>
                <w:lang w:eastAsia="en-AU"/>
              </w:rPr>
            </w:pPr>
            <w:r w:rsidRPr="00C27278">
              <w:rPr>
                <w:lang w:eastAsia="en-AU"/>
              </w:rPr>
              <w:t>+0.4pp</w:t>
            </w:r>
          </w:p>
        </w:tc>
      </w:tr>
      <w:tr w:rsidR="0058027A" w:rsidRPr="00C27278" w14:paraId="7342153E" w14:textId="77777777">
        <w:tc>
          <w:tcPr>
            <w:tcW w:w="1930" w:type="dxa"/>
            <w:shd w:val="clear" w:color="auto" w:fill="CCC0D9" w:themeFill="accent4" w:themeFillTint="66"/>
          </w:tcPr>
          <w:p w14:paraId="0BDB8229" w14:textId="77777777" w:rsidR="0058027A" w:rsidRPr="00C27278" w:rsidRDefault="0058027A">
            <w:pPr>
              <w:pStyle w:val="Tabletext"/>
              <w:rPr>
                <w:lang w:eastAsia="en-AU"/>
              </w:rPr>
            </w:pPr>
            <w:r w:rsidRPr="00C27278">
              <w:rPr>
                <w:lang w:eastAsia="en-AU"/>
              </w:rPr>
              <w:t>Regional</w:t>
            </w:r>
            <w:r>
              <w:rPr>
                <w:lang w:eastAsia="en-AU"/>
              </w:rPr>
              <w:t xml:space="preserve"> </w:t>
            </w:r>
          </w:p>
        </w:tc>
        <w:tc>
          <w:tcPr>
            <w:tcW w:w="1942" w:type="dxa"/>
            <w:shd w:val="clear" w:color="auto" w:fill="CCC0D9" w:themeFill="accent4" w:themeFillTint="66"/>
          </w:tcPr>
          <w:p w14:paraId="7F1D0B06" w14:textId="77777777" w:rsidR="0058027A" w:rsidRPr="00C27278" w:rsidRDefault="0058027A">
            <w:pPr>
              <w:pStyle w:val="Tabletext"/>
              <w:rPr>
                <w:lang w:eastAsia="en-AU"/>
              </w:rPr>
            </w:pPr>
            <w:r w:rsidRPr="00C27278">
              <w:rPr>
                <w:lang w:eastAsia="en-AU"/>
              </w:rPr>
              <w:t>Senior leader mean total remuneration gap</w:t>
            </w:r>
          </w:p>
        </w:tc>
        <w:tc>
          <w:tcPr>
            <w:tcW w:w="1760" w:type="dxa"/>
            <w:shd w:val="clear" w:color="auto" w:fill="CCC0D9" w:themeFill="accent4" w:themeFillTint="66"/>
          </w:tcPr>
          <w:p w14:paraId="183CE4DC" w14:textId="77777777" w:rsidR="0058027A" w:rsidRPr="00C27278" w:rsidRDefault="0058027A">
            <w:pPr>
              <w:pStyle w:val="Tabletext"/>
              <w:rPr>
                <w:lang w:eastAsia="en-AU"/>
              </w:rPr>
            </w:pPr>
            <w:r w:rsidRPr="00C27278">
              <w:rPr>
                <w:lang w:eastAsia="en-AU"/>
              </w:rPr>
              <w:t>7.1</w:t>
            </w:r>
            <w:r>
              <w:rPr>
                <w:lang w:eastAsia="en-AU"/>
              </w:rPr>
              <w:t>%</w:t>
            </w:r>
          </w:p>
        </w:tc>
        <w:tc>
          <w:tcPr>
            <w:tcW w:w="1649" w:type="dxa"/>
            <w:shd w:val="clear" w:color="auto" w:fill="CCC0D9" w:themeFill="accent4" w:themeFillTint="66"/>
          </w:tcPr>
          <w:p w14:paraId="7324932D" w14:textId="77777777" w:rsidR="0058027A" w:rsidRPr="00C27278" w:rsidRDefault="0058027A">
            <w:pPr>
              <w:pStyle w:val="Tabletext"/>
              <w:rPr>
                <w:lang w:eastAsia="en-AU"/>
              </w:rPr>
            </w:pPr>
            <w:r w:rsidRPr="00C27278">
              <w:rPr>
                <w:lang w:eastAsia="en-AU"/>
              </w:rPr>
              <w:t>12.4</w:t>
            </w:r>
            <w:r>
              <w:rPr>
                <w:lang w:eastAsia="en-AU"/>
              </w:rPr>
              <w:t>%</w:t>
            </w:r>
          </w:p>
        </w:tc>
        <w:tc>
          <w:tcPr>
            <w:tcW w:w="1519" w:type="dxa"/>
            <w:shd w:val="clear" w:color="auto" w:fill="CCC0D9" w:themeFill="accent4" w:themeFillTint="66"/>
          </w:tcPr>
          <w:p w14:paraId="5D2F1B95" w14:textId="77777777" w:rsidR="0058027A" w:rsidRPr="00C27278" w:rsidRDefault="0058027A">
            <w:pPr>
              <w:pStyle w:val="Tabletext"/>
              <w:rPr>
                <w:lang w:eastAsia="en-AU"/>
              </w:rPr>
            </w:pPr>
            <w:r w:rsidRPr="00C27278">
              <w:rPr>
                <w:lang w:eastAsia="en-AU"/>
              </w:rPr>
              <w:t>+5.3pp</w:t>
            </w:r>
          </w:p>
        </w:tc>
      </w:tr>
      <w:tr w:rsidR="0058027A" w:rsidRPr="00C27278" w14:paraId="6B2DFD1D" w14:textId="77777777">
        <w:tc>
          <w:tcPr>
            <w:tcW w:w="1930" w:type="dxa"/>
            <w:shd w:val="clear" w:color="auto" w:fill="CCC0D9" w:themeFill="accent4" w:themeFillTint="66"/>
          </w:tcPr>
          <w:p w14:paraId="4935DDDD" w14:textId="77777777" w:rsidR="0058027A" w:rsidRPr="00C27278" w:rsidRDefault="0058027A">
            <w:pPr>
              <w:pStyle w:val="Tabletext"/>
              <w:rPr>
                <w:lang w:eastAsia="en-AU"/>
              </w:rPr>
            </w:pPr>
            <w:r>
              <w:rPr>
                <w:lang w:eastAsia="en-AU"/>
              </w:rPr>
              <w:t xml:space="preserve">Rural </w:t>
            </w:r>
          </w:p>
        </w:tc>
        <w:tc>
          <w:tcPr>
            <w:tcW w:w="1942" w:type="dxa"/>
            <w:shd w:val="clear" w:color="auto" w:fill="CCC0D9" w:themeFill="accent4" w:themeFillTint="66"/>
          </w:tcPr>
          <w:p w14:paraId="328D4852" w14:textId="77777777" w:rsidR="0058027A" w:rsidRPr="00C27278" w:rsidRDefault="0058027A">
            <w:pPr>
              <w:pStyle w:val="Tabletext"/>
              <w:rPr>
                <w:lang w:eastAsia="en-AU"/>
              </w:rPr>
            </w:pPr>
            <w:r w:rsidRPr="00C27278">
              <w:rPr>
                <w:lang w:eastAsia="en-AU"/>
              </w:rPr>
              <w:t>Senior leader mean total remuneration gap</w:t>
            </w:r>
          </w:p>
        </w:tc>
        <w:tc>
          <w:tcPr>
            <w:tcW w:w="1760" w:type="dxa"/>
            <w:shd w:val="clear" w:color="auto" w:fill="CCC0D9" w:themeFill="accent4" w:themeFillTint="66"/>
          </w:tcPr>
          <w:p w14:paraId="711C2DE1" w14:textId="77777777" w:rsidR="0058027A" w:rsidRPr="00C27278" w:rsidRDefault="0058027A">
            <w:pPr>
              <w:pStyle w:val="Tabletext"/>
              <w:rPr>
                <w:lang w:eastAsia="en-AU"/>
              </w:rPr>
            </w:pPr>
            <w:r w:rsidRPr="00C27278">
              <w:rPr>
                <w:lang w:eastAsia="en-AU"/>
              </w:rPr>
              <w:t>15.7</w:t>
            </w:r>
            <w:r>
              <w:rPr>
                <w:lang w:eastAsia="en-AU"/>
              </w:rPr>
              <w:t>%</w:t>
            </w:r>
          </w:p>
        </w:tc>
        <w:tc>
          <w:tcPr>
            <w:tcW w:w="1649" w:type="dxa"/>
            <w:shd w:val="clear" w:color="auto" w:fill="CCC0D9" w:themeFill="accent4" w:themeFillTint="66"/>
          </w:tcPr>
          <w:p w14:paraId="61190480" w14:textId="77777777" w:rsidR="0058027A" w:rsidRPr="00C27278" w:rsidRDefault="0058027A">
            <w:pPr>
              <w:pStyle w:val="Tabletext"/>
              <w:rPr>
                <w:lang w:eastAsia="en-AU"/>
              </w:rPr>
            </w:pPr>
            <w:r w:rsidRPr="00C27278">
              <w:rPr>
                <w:lang w:eastAsia="en-AU"/>
              </w:rPr>
              <w:t>14.7</w:t>
            </w:r>
            <w:r>
              <w:rPr>
                <w:lang w:eastAsia="en-AU"/>
              </w:rPr>
              <w:t>%</w:t>
            </w:r>
          </w:p>
        </w:tc>
        <w:tc>
          <w:tcPr>
            <w:tcW w:w="1519" w:type="dxa"/>
            <w:shd w:val="clear" w:color="auto" w:fill="CCC0D9" w:themeFill="accent4" w:themeFillTint="66"/>
          </w:tcPr>
          <w:p w14:paraId="17CE94C5" w14:textId="77777777" w:rsidR="0058027A" w:rsidRPr="00C27278" w:rsidRDefault="0058027A">
            <w:pPr>
              <w:pStyle w:val="Tabletext"/>
              <w:rPr>
                <w:lang w:eastAsia="en-AU"/>
              </w:rPr>
            </w:pPr>
            <w:r w:rsidRPr="00C27278">
              <w:rPr>
                <w:lang w:eastAsia="en-AU"/>
              </w:rPr>
              <w:t>-1.0pp</w:t>
            </w:r>
          </w:p>
        </w:tc>
      </w:tr>
    </w:tbl>
    <w:p w14:paraId="5E544089" w14:textId="77777777" w:rsidR="0058027A" w:rsidRDefault="0058027A" w:rsidP="0058027A">
      <w:pPr>
        <w:pStyle w:val="Tablefigurenote"/>
      </w:pPr>
      <w:r w:rsidRPr="00136D6E">
        <w:t xml:space="preserve">Source: Workplace gender audit workforce data, </w:t>
      </w:r>
      <w:r>
        <w:t>2023 and 2025.</w:t>
      </w:r>
    </w:p>
    <w:p w14:paraId="1F211A22" w14:textId="77777777" w:rsidR="003B1ABF" w:rsidRDefault="0058027A" w:rsidP="003B1ABF">
      <w:pPr>
        <w:pStyle w:val="Tablefigurenote"/>
        <w:rPr>
          <w:lang w:eastAsia="en-AU"/>
        </w:rPr>
      </w:pPr>
      <w:r w:rsidRPr="00C27278">
        <w:rPr>
          <w:lang w:eastAsia="en-AU"/>
        </w:rPr>
        <w:t xml:space="preserve">Notes: </w:t>
      </w:r>
      <w:r w:rsidRPr="00B21E62">
        <w:rPr>
          <w:lang w:eastAsia="en-AU"/>
        </w:rPr>
        <w:t xml:space="preserve">Location classifications are based on employee workplace postcodes and use the </w:t>
      </w:r>
      <w:hyperlink r:id="rId36" w:history="1">
        <w:r w:rsidRPr="00B21E62">
          <w:rPr>
            <w:rStyle w:val="Hyperlink"/>
            <w:rFonts w:cs="Times New Roman"/>
            <w:lang w:eastAsia="en-AU"/>
          </w:rPr>
          <w:t>Modified Monash Model (MMM)</w:t>
        </w:r>
      </w:hyperlink>
      <w:r w:rsidRPr="00B21E62">
        <w:rPr>
          <w:lang w:eastAsia="en-AU"/>
        </w:rPr>
        <w:t>. MMM categories were aggregated into three groups: Metropolitan areas (MMM1), Regional centres and large rural towns (MMM2–MMM3</w:t>
      </w:r>
      <w:r>
        <w:rPr>
          <w:lang w:eastAsia="en-AU"/>
        </w:rPr>
        <w:t>, referred to here as ‘regional’</w:t>
      </w:r>
      <w:r w:rsidRPr="00B21E62">
        <w:rPr>
          <w:lang w:eastAsia="en-AU"/>
        </w:rPr>
        <w:t>), and Small-medium rural towns and remote areas (MMM4–MMM7</w:t>
      </w:r>
      <w:r>
        <w:rPr>
          <w:lang w:eastAsia="en-AU"/>
        </w:rPr>
        <w:t>, referred to here as ‘rural’</w:t>
      </w:r>
      <w:r w:rsidRPr="00B21E62">
        <w:rPr>
          <w:lang w:eastAsia="en-AU"/>
        </w:rPr>
        <w:t>). Location data was not collected in the 2021 workplace gender audit.</w:t>
      </w:r>
    </w:p>
    <w:p w14:paraId="4F01879F" w14:textId="77777777" w:rsidR="00E946C0" w:rsidRDefault="00E946C0" w:rsidP="009944B1">
      <w:pPr>
        <w:pStyle w:val="Heading2"/>
      </w:pPr>
      <w:bookmarkStart w:id="38" w:name="_Toc237259531"/>
      <w:r>
        <w:t>Spotlight on gender pay gap</w:t>
      </w:r>
      <w:bookmarkEnd w:id="38"/>
    </w:p>
    <w:p w14:paraId="08BCD155" w14:textId="77777777" w:rsidR="00E946C0" w:rsidRDefault="00E946C0" w:rsidP="009944B1">
      <w:pPr>
        <w:pStyle w:val="Heading3"/>
      </w:pPr>
      <w:r>
        <w:t>Where pay gaps hit hardest</w:t>
      </w:r>
    </w:p>
    <w:p w14:paraId="4EB752F0" w14:textId="77777777" w:rsidR="00E946C0" w:rsidRDefault="00E946C0" w:rsidP="0078531C">
      <w:pPr>
        <w:pStyle w:val="BodyText"/>
      </w:pPr>
      <w:r>
        <w:t>The gender pay gap in Victoria’s public sector is 15.7%.</w:t>
      </w:r>
    </w:p>
    <w:p w14:paraId="69F5AFB4" w14:textId="77777777" w:rsidR="00E946C0" w:rsidRDefault="00E946C0" w:rsidP="0078531C">
      <w:pPr>
        <w:pStyle w:val="BodyText"/>
      </w:pPr>
      <w:r>
        <w:t xml:space="preserve">That means that women, on average, are missing out on </w:t>
      </w:r>
      <w:r w:rsidRPr="00622E22">
        <w:rPr>
          <w:b/>
          <w:bCs/>
        </w:rPr>
        <w:t>$23,052</w:t>
      </w:r>
      <w:r w:rsidRPr="00490AE4">
        <w:t xml:space="preserve"> </w:t>
      </w:r>
      <w:r>
        <w:t xml:space="preserve">per year, compared to men. </w:t>
      </w:r>
    </w:p>
    <w:p w14:paraId="11628986" w14:textId="77777777" w:rsidR="00E946C0" w:rsidRDefault="00E946C0" w:rsidP="0078531C">
      <w:pPr>
        <w:pStyle w:val="BodyText"/>
      </w:pPr>
      <w:r>
        <w:t xml:space="preserve">This pay gap </w:t>
      </w:r>
      <w:r w:rsidRPr="00BD1FEF">
        <w:t>sets</w:t>
      </w:r>
      <w:r>
        <w:t xml:space="preserve"> women in the public sector </w:t>
      </w:r>
      <w:r w:rsidRPr="00BD1FEF">
        <w:t xml:space="preserve">back </w:t>
      </w:r>
      <w:r>
        <w:t xml:space="preserve">financially </w:t>
      </w:r>
      <w:r w:rsidRPr="00BD1FEF">
        <w:t>over a lifetime</w:t>
      </w:r>
      <w:r>
        <w:t xml:space="preserve">. </w:t>
      </w:r>
    </w:p>
    <w:p w14:paraId="0C429A32" w14:textId="77777777" w:rsidR="00E946C0" w:rsidRDefault="00E946C0" w:rsidP="0078531C">
      <w:pPr>
        <w:pStyle w:val="BodyText"/>
      </w:pPr>
      <w:r>
        <w:t>Women in certain industries, job roles, locations and age brackets are set back further than others by wider gender pay gaps. So, who is hurt most by the current gender pay gap – and how much are they losing?</w:t>
      </w:r>
    </w:p>
    <w:p w14:paraId="722232B3" w14:textId="77777777" w:rsidR="00E946C0" w:rsidRPr="004444B7" w:rsidRDefault="00E946C0" w:rsidP="0078531C">
      <w:pPr>
        <w:pStyle w:val="BodyText"/>
        <w:rPr>
          <w:b/>
        </w:rPr>
      </w:pPr>
      <w:r w:rsidRPr="004444B7">
        <w:rPr>
          <w:b/>
        </w:rPr>
        <w:t>Occupations and industries</w:t>
      </w:r>
    </w:p>
    <w:p w14:paraId="24FFE242" w14:textId="3ADDDCAC" w:rsidR="00E946C0" w:rsidRPr="00381779" w:rsidRDefault="00E946C0" w:rsidP="0078531C">
      <w:pPr>
        <w:pStyle w:val="BodyText"/>
      </w:pPr>
      <w:r w:rsidRPr="00381779">
        <w:t>Mean total remuneration gender pay gaps in 2025</w:t>
      </w:r>
      <w:r w:rsidR="004F069E">
        <w:t>:</w:t>
      </w:r>
    </w:p>
    <w:p w14:paraId="0797C0BE" w14:textId="0EA5CF22" w:rsidR="00E946C0" w:rsidRPr="000C3B6F" w:rsidRDefault="00E946C0" w:rsidP="00AD7264">
      <w:pPr>
        <w:pStyle w:val="Bullet1"/>
      </w:pPr>
      <w:r>
        <w:t xml:space="preserve">Public health care: </w:t>
      </w:r>
      <w:r w:rsidRPr="003D131F">
        <w:t>29.0</w:t>
      </w:r>
      <w:r>
        <w:t xml:space="preserve">% </w:t>
      </w:r>
      <w:r w:rsidR="006362AE">
        <w:t>(</w:t>
      </w:r>
      <w:r>
        <w:t>$</w:t>
      </w:r>
      <w:r w:rsidRPr="00A42FB4">
        <w:t>53,267</w:t>
      </w:r>
      <w:r w:rsidR="004F069E">
        <w:t>)</w:t>
      </w:r>
    </w:p>
    <w:p w14:paraId="63C9E66E" w14:textId="4B970938" w:rsidR="00E946C0" w:rsidRDefault="00E946C0" w:rsidP="004444B7">
      <w:pPr>
        <w:pStyle w:val="Bullet1"/>
      </w:pPr>
      <w:r w:rsidRPr="004444B7">
        <w:t>Community and personal service workers</w:t>
      </w:r>
      <w:r>
        <w:t xml:space="preserve">: 24.1% </w:t>
      </w:r>
      <w:r w:rsidR="004F069E">
        <w:t>(</w:t>
      </w:r>
      <w:r>
        <w:t>$</w:t>
      </w:r>
      <w:r w:rsidRPr="004D6404">
        <w:t>29,892</w:t>
      </w:r>
      <w:r w:rsidR="004F069E">
        <w:t>)</w:t>
      </w:r>
    </w:p>
    <w:p w14:paraId="5399E6A5" w14:textId="5525E495" w:rsidR="00E946C0" w:rsidRDefault="00E946C0" w:rsidP="004444B7">
      <w:pPr>
        <w:pStyle w:val="Bullet1"/>
      </w:pPr>
      <w:r w:rsidRPr="004444B7">
        <w:t>Sales workers</w:t>
      </w:r>
      <w:r>
        <w:t xml:space="preserve">: 20.3% </w:t>
      </w:r>
      <w:r w:rsidR="004F069E">
        <w:t>(</w:t>
      </w:r>
      <w:r>
        <w:t>$</w:t>
      </w:r>
      <w:r w:rsidRPr="009B08C1">
        <w:t>25,371</w:t>
      </w:r>
      <w:r w:rsidR="004F069E">
        <w:t>)</w:t>
      </w:r>
    </w:p>
    <w:p w14:paraId="52323C3B" w14:textId="6C5F3DF1" w:rsidR="00E946C0" w:rsidRPr="007122AD" w:rsidRDefault="00E946C0" w:rsidP="004444B7">
      <w:pPr>
        <w:pStyle w:val="Bullet1"/>
      </w:pPr>
      <w:r w:rsidRPr="004444B7">
        <w:lastRenderedPageBreak/>
        <w:t>Professionals</w:t>
      </w:r>
      <w:r>
        <w:t xml:space="preserve">: 16.5% </w:t>
      </w:r>
      <w:r w:rsidR="004F069E">
        <w:t>(</w:t>
      </w:r>
      <w:r>
        <w:t>$</w:t>
      </w:r>
      <w:r w:rsidRPr="007122AD">
        <w:t>27,086</w:t>
      </w:r>
      <w:r w:rsidR="004F069E">
        <w:t>)</w:t>
      </w:r>
    </w:p>
    <w:p w14:paraId="6C3D79AC" w14:textId="77777777" w:rsidR="00E946C0" w:rsidRPr="004F069E" w:rsidRDefault="00E946C0" w:rsidP="004F069E">
      <w:pPr>
        <w:pStyle w:val="Bodyafterbullets"/>
        <w:rPr>
          <w:b/>
          <w:bCs/>
        </w:rPr>
      </w:pPr>
      <w:r w:rsidRPr="004F069E">
        <w:rPr>
          <w:b/>
          <w:bCs/>
        </w:rPr>
        <w:t xml:space="preserve">Women in regional areas </w:t>
      </w:r>
    </w:p>
    <w:p w14:paraId="0D71BE50" w14:textId="38F3A2E1" w:rsidR="00E946C0" w:rsidRPr="00DE7993" w:rsidRDefault="00E946C0" w:rsidP="0078531C">
      <w:pPr>
        <w:pStyle w:val="BodyText"/>
        <w:rPr>
          <w:b/>
          <w:bCs/>
        </w:rPr>
      </w:pPr>
      <w:r w:rsidRPr="00381779">
        <w:t>Mean total remuneration gender pay gap in 2025</w:t>
      </w:r>
      <w:r w:rsidR="004F069E">
        <w:t>:</w:t>
      </w:r>
    </w:p>
    <w:p w14:paraId="5F9EBC3B" w14:textId="6BB9E166" w:rsidR="00E946C0" w:rsidRDefault="00E946C0" w:rsidP="004444B7">
      <w:pPr>
        <w:pStyle w:val="Bullet1"/>
        <w:rPr>
          <w:lang w:eastAsia="en-AU"/>
        </w:rPr>
      </w:pPr>
      <w:r>
        <w:t>Women in regional areas:</w:t>
      </w:r>
      <w:r w:rsidRPr="0007499F">
        <w:rPr>
          <w:lang w:eastAsia="en-AU"/>
        </w:rPr>
        <w:t xml:space="preserve"> </w:t>
      </w:r>
      <w:r w:rsidRPr="00C27278">
        <w:rPr>
          <w:lang w:eastAsia="en-AU"/>
        </w:rPr>
        <w:t>17.</w:t>
      </w:r>
      <w:r>
        <w:rPr>
          <w:lang w:eastAsia="en-AU"/>
        </w:rPr>
        <w:t xml:space="preserve">0% </w:t>
      </w:r>
      <w:r w:rsidR="004F069E">
        <w:rPr>
          <w:lang w:eastAsia="en-AU"/>
        </w:rPr>
        <w:t>(</w:t>
      </w:r>
      <w:r>
        <w:t>$</w:t>
      </w:r>
      <w:r w:rsidRPr="00A42FB4">
        <w:t>23,</w:t>
      </w:r>
      <w:r w:rsidRPr="00E64FF0">
        <w:t>644</w:t>
      </w:r>
      <w:r w:rsidR="004F069E">
        <w:t>)</w:t>
      </w:r>
    </w:p>
    <w:p w14:paraId="67A813F9" w14:textId="77777777" w:rsidR="00E946C0" w:rsidRPr="004F069E" w:rsidRDefault="00E946C0" w:rsidP="004F069E">
      <w:pPr>
        <w:pStyle w:val="Bodyafterbullets"/>
        <w:rPr>
          <w:b/>
          <w:bCs/>
        </w:rPr>
      </w:pPr>
      <w:r>
        <w:rPr>
          <w:b/>
          <w:bCs/>
        </w:rPr>
        <w:t xml:space="preserve">Women aged 45 and above </w:t>
      </w:r>
    </w:p>
    <w:p w14:paraId="361330EB" w14:textId="77777777" w:rsidR="00E946C0" w:rsidRDefault="00E946C0" w:rsidP="00D8120C">
      <w:pPr>
        <w:pStyle w:val="BodyText"/>
      </w:pPr>
      <w:r>
        <w:t xml:space="preserve">The gender pay gap is wider for women aged 45 and above. </w:t>
      </w:r>
    </w:p>
    <w:p w14:paraId="19486BB5" w14:textId="77777777" w:rsidR="00E946C0" w:rsidRDefault="00E946C0" w:rsidP="00D8120C">
      <w:pPr>
        <w:pStyle w:val="BodyText"/>
      </w:pPr>
      <w:r>
        <w:t xml:space="preserve">Women aged </w:t>
      </w:r>
      <w:r w:rsidRPr="00D4592E">
        <w:t xml:space="preserve">55-64 </w:t>
      </w:r>
      <w:r>
        <w:t xml:space="preserve">experience the widest pay gap at 22%. This means on average they miss out on </w:t>
      </w:r>
      <w:r w:rsidRPr="00F33AD2">
        <w:rPr>
          <w:b/>
          <w:bCs/>
        </w:rPr>
        <w:t>$24,769</w:t>
      </w:r>
      <w:r>
        <w:t xml:space="preserve"> each year compared to men in the same age bracket.</w:t>
      </w:r>
    </w:p>
    <w:p w14:paraId="0A58CB69" w14:textId="77777777" w:rsidR="00E946C0" w:rsidRDefault="00E946C0" w:rsidP="00DE20A8">
      <w:pPr>
        <w:pStyle w:val="Figurecaption"/>
      </w:pPr>
      <w:r>
        <w:t xml:space="preserve">Figure </w:t>
      </w:r>
      <w:fldSimple w:instr=" SEQ Figure \* ARABIC ">
        <w:r>
          <w:rPr>
            <w:noProof/>
          </w:rPr>
          <w:t>1</w:t>
        </w:r>
      </w:fldSimple>
      <w:r>
        <w:t>: Gender pay gap by age (2025)</w:t>
      </w:r>
    </w:p>
    <w:p w14:paraId="0B8027A8" w14:textId="62D60929" w:rsidR="00E946C0" w:rsidRDefault="00610B8E" w:rsidP="00DE20A8">
      <w:pPr>
        <w:pStyle w:val="BodyText"/>
      </w:pPr>
      <w:r>
        <w:rPr>
          <w:noProof/>
        </w:rPr>
        <w:drawing>
          <wp:inline distT="0" distB="0" distL="0" distR="0" wp14:anchorId="482A4E60" wp14:editId="19247572">
            <wp:extent cx="5903333" cy="3021496"/>
            <wp:effectExtent l="0" t="0" r="2540" b="7620"/>
            <wp:docPr id="1770842791" name="Picture 7" descr="Horizontal bar chart comparing pay gaps by age group, showing dollar differences favoring men or women. Bars in purple indicate women favored with negative pay gaps, while teal bars indicate men favored with positive pay gaps, highlighting largest gaps in 55-64 years ($13,200) and 45-54 years ($1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42791" name="Picture 7" descr="Horizontal bar chart comparing pay gaps by age group, showing dollar differences favoring men or women. Bars in purple indicate women favored with negative pay gaps, while teal bars indicate men favored with positive pay gaps, highlighting largest gaps in 55-64 years ($13,200) and 45-54 years ($10,900)."/>
                    <pic:cNvPicPr/>
                  </pic:nvPicPr>
                  <pic:blipFill rotWithShape="1">
                    <a:blip r:embed="rId37"/>
                    <a:srcRect t="12995" b="1856"/>
                    <a:stretch>
                      <a:fillRect/>
                    </a:stretch>
                  </pic:blipFill>
                  <pic:spPr bwMode="auto">
                    <a:xfrm>
                      <a:off x="0" y="0"/>
                      <a:ext cx="5904230" cy="3021955"/>
                    </a:xfrm>
                    <a:prstGeom prst="rect">
                      <a:avLst/>
                    </a:prstGeom>
                    <a:ln>
                      <a:noFill/>
                    </a:ln>
                    <a:extLst>
                      <a:ext uri="{53640926-AAD7-44D8-BBD7-CCE9431645EC}">
                        <a14:shadowObscured xmlns:a14="http://schemas.microsoft.com/office/drawing/2010/main"/>
                      </a:ext>
                    </a:extLst>
                  </pic:spPr>
                </pic:pic>
              </a:graphicData>
            </a:graphic>
          </wp:inline>
        </w:drawing>
      </w:r>
    </w:p>
    <w:p w14:paraId="4E7E0776" w14:textId="77777777" w:rsidR="00E946C0" w:rsidRDefault="00E946C0" w:rsidP="009944B1">
      <w:pPr>
        <w:pStyle w:val="Heading3"/>
      </w:pPr>
      <w:r>
        <w:t>Gendered segregation drives the pay gap</w:t>
      </w:r>
    </w:p>
    <w:p w14:paraId="53F112E2" w14:textId="77777777" w:rsidR="00E946C0" w:rsidRDefault="00E946C0" w:rsidP="0078531C">
      <w:pPr>
        <w:pStyle w:val="BodyText"/>
      </w:pPr>
      <w:r>
        <w:t>At the sector level, pay gaps persist because more men hold higher paid positions. Women hold more roles with mid-range salaries.</w:t>
      </w:r>
    </w:p>
    <w:p w14:paraId="626E39D9" w14:textId="77777777" w:rsidR="00E946C0" w:rsidRDefault="00E946C0" w:rsidP="0078531C">
      <w:pPr>
        <w:pStyle w:val="BodyText"/>
      </w:pPr>
      <w:r>
        <w:t>Within industries, the distribution of women and men leads to narrower, or wider, pay gaps.</w:t>
      </w:r>
    </w:p>
    <w:p w14:paraId="39AE1A31" w14:textId="77777777" w:rsidR="00E946C0" w:rsidRDefault="00E946C0" w:rsidP="004444B7">
      <w:pPr>
        <w:pStyle w:val="Figurecaption"/>
      </w:pPr>
      <w:r>
        <w:lastRenderedPageBreak/>
        <w:t xml:space="preserve">Figure </w:t>
      </w:r>
      <w:fldSimple w:instr=" SEQ Figure \* ARABIC ">
        <w:r>
          <w:rPr>
            <w:noProof/>
          </w:rPr>
          <w:t>2</w:t>
        </w:r>
      </w:fldSimple>
      <w:r>
        <w:t xml:space="preserve">: </w:t>
      </w:r>
      <w:r w:rsidRPr="00BA710D">
        <w:t>Gender pay distribution – all public sector employees (2025)</w:t>
      </w:r>
    </w:p>
    <w:p w14:paraId="672F93E7" w14:textId="3D5F38BB" w:rsidR="00E946C0" w:rsidRDefault="00610B8E" w:rsidP="009944B1">
      <w:pPr>
        <w:pStyle w:val="Figurecaption"/>
        <w:rPr>
          <w:lang w:eastAsia="en-AU"/>
        </w:rPr>
      </w:pPr>
      <w:r>
        <w:rPr>
          <w:noProof/>
          <w:lang w:eastAsia="en-AU"/>
        </w:rPr>
        <w:drawing>
          <wp:inline distT="0" distB="0" distL="0" distR="0" wp14:anchorId="0910395A" wp14:editId="4135F10C">
            <wp:extent cx="3060192" cy="2161032"/>
            <wp:effectExtent l="0" t="0" r="6985" b="0"/>
            <wp:docPr id="257043246" name="Picture 8" descr="Density plot comparing annual remuneration distributions for men and women, highlighting a pay gap. Purple shaded area represents women with mean pay of $124,024, teal line represents men with mean pay of $147,076, showing a 15.7% mean total remuneration pay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43246" name="Picture 8" descr="Density plot comparing annual remuneration distributions for men and women, highlighting a pay gap. Purple shaded area represents women with mean pay of $124,024, teal line represents men with mean pay of $147,076, showing a 15.7% mean total remuneration pay gap."/>
                    <pic:cNvPicPr/>
                  </pic:nvPicPr>
                  <pic:blipFill>
                    <a:blip r:embed="rId38"/>
                    <a:stretch>
                      <a:fillRect/>
                    </a:stretch>
                  </pic:blipFill>
                  <pic:spPr>
                    <a:xfrm>
                      <a:off x="0" y="0"/>
                      <a:ext cx="3060192" cy="2161032"/>
                    </a:xfrm>
                    <a:prstGeom prst="rect">
                      <a:avLst/>
                    </a:prstGeom>
                  </pic:spPr>
                </pic:pic>
              </a:graphicData>
            </a:graphic>
          </wp:inline>
        </w:drawing>
      </w:r>
    </w:p>
    <w:p w14:paraId="2749F769" w14:textId="77777777" w:rsidR="00E946C0" w:rsidRPr="00D51E7A" w:rsidRDefault="00E946C0" w:rsidP="009944B1">
      <w:pPr>
        <w:pStyle w:val="Tablefigurenote"/>
        <w:rPr>
          <w:sz w:val="18"/>
          <w:szCs w:val="18"/>
        </w:rPr>
      </w:pPr>
      <w:r w:rsidRPr="00034D2F">
        <w:rPr>
          <w:sz w:val="18"/>
          <w:szCs w:val="18"/>
        </w:rPr>
        <w:t xml:space="preserve">Note: </w:t>
      </w:r>
      <w:r w:rsidRPr="00F33AD2">
        <w:rPr>
          <w:sz w:val="18"/>
          <w:szCs w:val="18"/>
        </w:rPr>
        <w:t>Figures 2-</w:t>
      </w:r>
      <w:r w:rsidRPr="00034D2F">
        <w:rPr>
          <w:sz w:val="18"/>
          <w:szCs w:val="18"/>
        </w:rPr>
        <w:t>7 display the central 98% of remuneration values to improve readability (1st to 99th percentile). Extreme values are excluded from the visual range but retained in the mean total remuneration calculations.</w:t>
      </w:r>
    </w:p>
    <w:p w14:paraId="5BA53F99" w14:textId="77777777" w:rsidR="00E946C0" w:rsidRPr="00935BF5" w:rsidRDefault="00E946C0" w:rsidP="009944B1">
      <w:pPr>
        <w:pStyle w:val="Heading4"/>
      </w:pPr>
      <w:r w:rsidRPr="00935BF5">
        <w:t>Local government leads the way</w:t>
      </w:r>
    </w:p>
    <w:p w14:paraId="6D85C338" w14:textId="77777777" w:rsidR="00E946C0" w:rsidRDefault="00E946C0" w:rsidP="0078531C">
      <w:pPr>
        <w:pStyle w:val="BodyText"/>
      </w:pPr>
      <w:r>
        <w:t>Local government has an even gender distribution across salary bands. The gender pay gap in local government is the lowest of all industries in the public sector.</w:t>
      </w:r>
    </w:p>
    <w:p w14:paraId="3F9F381A" w14:textId="77777777" w:rsidR="00E946C0" w:rsidRDefault="00E946C0" w:rsidP="009944B1">
      <w:pPr>
        <w:pStyle w:val="Figurecaption"/>
      </w:pPr>
      <w:r>
        <w:t xml:space="preserve">Figure </w:t>
      </w:r>
      <w:fldSimple w:instr=" SEQ Figure \* ARABIC ">
        <w:r>
          <w:rPr>
            <w:noProof/>
          </w:rPr>
          <w:t>3</w:t>
        </w:r>
      </w:fldSimple>
      <w:r>
        <w:t xml:space="preserve">: Gender pay distribution </w:t>
      </w:r>
      <w:r>
        <w:rPr>
          <w:noProof/>
        </w:rPr>
        <w:t>in local government (2025)</w:t>
      </w:r>
    </w:p>
    <w:p w14:paraId="5A38018E" w14:textId="3A369F7F" w:rsidR="00E946C0" w:rsidRDefault="00DC2058" w:rsidP="0078531C">
      <w:pPr>
        <w:pStyle w:val="BodyText"/>
      </w:pPr>
      <w:r>
        <w:rPr>
          <w:noProof/>
        </w:rPr>
        <w:drawing>
          <wp:inline distT="0" distB="0" distL="0" distR="0" wp14:anchorId="5C9194DD" wp14:editId="74DDE6F8">
            <wp:extent cx="3060192" cy="2161032"/>
            <wp:effectExtent l="0" t="0" r="6985" b="0"/>
            <wp:docPr id="619394477" name="Picture 9" descr="Density plot comparing annual remuneration distributions for men and women, highlighting a mean total pay gap of 2.4%. The plot uses purple shading for women and a blue line for men, with vertical dashed lines marking median salaries of $105,614 for women and $108,235 for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94477" name="Picture 9" descr="Density plot comparing annual remuneration distributions for men and women, highlighting a mean total pay gap of 2.4%. The plot uses purple shading for women and a blue line for men, with vertical dashed lines marking median salaries of $105,614 for women and $108,235 for men."/>
                    <pic:cNvPicPr/>
                  </pic:nvPicPr>
                  <pic:blipFill>
                    <a:blip r:embed="rId39"/>
                    <a:stretch>
                      <a:fillRect/>
                    </a:stretch>
                  </pic:blipFill>
                  <pic:spPr>
                    <a:xfrm>
                      <a:off x="0" y="0"/>
                      <a:ext cx="3060192" cy="2161032"/>
                    </a:xfrm>
                    <a:prstGeom prst="rect">
                      <a:avLst/>
                    </a:prstGeom>
                  </pic:spPr>
                </pic:pic>
              </a:graphicData>
            </a:graphic>
          </wp:inline>
        </w:drawing>
      </w:r>
    </w:p>
    <w:p w14:paraId="31A082B2" w14:textId="77777777" w:rsidR="00E946C0" w:rsidRPr="00841674" w:rsidRDefault="00E946C0" w:rsidP="009944B1">
      <w:pPr>
        <w:pStyle w:val="Heading4"/>
      </w:pPr>
      <w:r>
        <w:t>More men in high-paid roles drives the gap</w:t>
      </w:r>
    </w:p>
    <w:p w14:paraId="75C2C5E5" w14:textId="77777777" w:rsidR="00E946C0" w:rsidRDefault="00E946C0" w:rsidP="0078531C">
      <w:pPr>
        <w:pStyle w:val="BodyText"/>
      </w:pPr>
      <w:r>
        <w:t>In public health care in 2025, women held more jobs with salaries around $100,000 while men held more high-income roles with salaries above $200,000. This disparity means public health care was the industry with the highest gender pay gap in the public sector, at 29.0%.</w:t>
      </w:r>
    </w:p>
    <w:p w14:paraId="4C2EDD39" w14:textId="77777777" w:rsidR="00E946C0" w:rsidRDefault="00E946C0" w:rsidP="009944B1">
      <w:pPr>
        <w:pStyle w:val="Figurecaption"/>
      </w:pPr>
      <w:r>
        <w:lastRenderedPageBreak/>
        <w:t xml:space="preserve">Figure </w:t>
      </w:r>
      <w:fldSimple w:instr=" SEQ Figure \* ARABIC ">
        <w:r>
          <w:rPr>
            <w:noProof/>
          </w:rPr>
          <w:t>4</w:t>
        </w:r>
      </w:fldSimple>
      <w:r>
        <w:t xml:space="preserve">: </w:t>
      </w:r>
      <w:r w:rsidRPr="004444B7">
        <w:t>Gender</w:t>
      </w:r>
      <w:r>
        <w:t xml:space="preserve"> pay distribution in public health care (2025)</w:t>
      </w:r>
    </w:p>
    <w:p w14:paraId="3CE9B770" w14:textId="3E95AB25" w:rsidR="00E946C0" w:rsidRDefault="00DC2058" w:rsidP="0078531C">
      <w:pPr>
        <w:pStyle w:val="BodyText"/>
      </w:pPr>
      <w:r>
        <w:rPr>
          <w:noProof/>
        </w:rPr>
        <w:drawing>
          <wp:inline distT="0" distB="0" distL="0" distR="0" wp14:anchorId="0ED38AE1" wp14:editId="288B07D7">
            <wp:extent cx="3060192" cy="2161032"/>
            <wp:effectExtent l="0" t="0" r="6985" b="0"/>
            <wp:docPr id="1728226731" name="Picture 10" descr="Density plot comparing annual remuneration for men and women, highlighting a 29.0% mean total pay gap with women earning $130,595 and men $183,862. The plot uses purple shading for women and a teal line for men, showing higher density of women’s pay concentrated below $200,000 and men’s pay spread more broadly with a longer tail toward higher sal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26731" name="Picture 10" descr="Density plot comparing annual remuneration for men and women, highlighting a 29.0% mean total pay gap with women earning $130,595 and men $183,862. The plot uses purple shading for women and a teal line for men, showing higher density of women’s pay concentrated below $200,000 and men’s pay spread more broadly with a longer tail toward higher salaries."/>
                    <pic:cNvPicPr/>
                  </pic:nvPicPr>
                  <pic:blipFill>
                    <a:blip r:embed="rId40"/>
                    <a:stretch>
                      <a:fillRect/>
                    </a:stretch>
                  </pic:blipFill>
                  <pic:spPr>
                    <a:xfrm>
                      <a:off x="0" y="0"/>
                      <a:ext cx="3060192" cy="2161032"/>
                    </a:xfrm>
                    <a:prstGeom prst="rect">
                      <a:avLst/>
                    </a:prstGeom>
                  </pic:spPr>
                </pic:pic>
              </a:graphicData>
            </a:graphic>
          </wp:inline>
        </w:drawing>
      </w:r>
    </w:p>
    <w:p w14:paraId="6D2F1475" w14:textId="77777777" w:rsidR="00E946C0" w:rsidRDefault="00E946C0" w:rsidP="0078531C">
      <w:pPr>
        <w:pStyle w:val="BodyText"/>
      </w:pPr>
      <w:r>
        <w:t xml:space="preserve">In transport, finance and insurance, the trend is similar – with more men in higher paid roles driving the gender pay gap. </w:t>
      </w:r>
    </w:p>
    <w:p w14:paraId="4230C55D" w14:textId="77777777" w:rsidR="00E946C0" w:rsidRDefault="00E946C0" w:rsidP="009944B1">
      <w:pPr>
        <w:pStyle w:val="Figurecaption"/>
      </w:pPr>
      <w:r>
        <w:t xml:space="preserve">Figure </w:t>
      </w:r>
      <w:fldSimple w:instr=" SEQ Figure \* ARABIC ">
        <w:r>
          <w:rPr>
            <w:noProof/>
          </w:rPr>
          <w:t>5</w:t>
        </w:r>
      </w:fldSimple>
      <w:r w:rsidRPr="0052638D">
        <w:t xml:space="preserve">: Gender pay distribution in </w:t>
      </w:r>
      <w:r>
        <w:t>transport</w:t>
      </w:r>
      <w:r w:rsidRPr="0052638D">
        <w:t xml:space="preserve"> (2025)</w:t>
      </w:r>
    </w:p>
    <w:p w14:paraId="64105A2C" w14:textId="3F906AF1" w:rsidR="00E946C0" w:rsidRDefault="00DC2058" w:rsidP="0078531C">
      <w:pPr>
        <w:pStyle w:val="BodyText"/>
      </w:pPr>
      <w:r>
        <w:rPr>
          <w:noProof/>
        </w:rPr>
        <w:drawing>
          <wp:inline distT="0" distB="0" distL="0" distR="0" wp14:anchorId="22637366" wp14:editId="01409F76">
            <wp:extent cx="3060192" cy="2161032"/>
            <wp:effectExtent l="0" t="0" r="6985" b="0"/>
            <wp:docPr id="1090946466" name="Picture 11" descr="Density plot comparing annual remuneration distributions for women and men, illustrating a mean total pay gap of 14.6%. Purple shaded area represents women’s pay density peaking around $151,919, while a teal line shows men’s pay density peaking higher near $177,936, with labeled vertical lines marking these median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46466" name="Picture 11" descr="Density plot comparing annual remuneration distributions for women and men, illustrating a mean total pay gap of 14.6%. Purple shaded area represents women’s pay density peaking around $151,919, while a teal line shows men’s pay density peaking higher near $177,936, with labeled vertical lines marking these median values."/>
                    <pic:cNvPicPr/>
                  </pic:nvPicPr>
                  <pic:blipFill>
                    <a:blip r:embed="rId41"/>
                    <a:stretch>
                      <a:fillRect/>
                    </a:stretch>
                  </pic:blipFill>
                  <pic:spPr>
                    <a:xfrm>
                      <a:off x="0" y="0"/>
                      <a:ext cx="3060192" cy="2161032"/>
                    </a:xfrm>
                    <a:prstGeom prst="rect">
                      <a:avLst/>
                    </a:prstGeom>
                  </pic:spPr>
                </pic:pic>
              </a:graphicData>
            </a:graphic>
          </wp:inline>
        </w:drawing>
      </w:r>
    </w:p>
    <w:p w14:paraId="62603E92" w14:textId="77777777" w:rsidR="00E946C0" w:rsidRDefault="00E946C0" w:rsidP="009944B1">
      <w:pPr>
        <w:pStyle w:val="Figurecaption"/>
      </w:pPr>
      <w:r>
        <w:t xml:space="preserve">Figure </w:t>
      </w:r>
      <w:fldSimple w:instr=" SEQ Figure \* ARABIC ">
        <w:r>
          <w:rPr>
            <w:noProof/>
          </w:rPr>
          <w:t>6</w:t>
        </w:r>
      </w:fldSimple>
      <w:r>
        <w:t>: Gender pay distribution in finance and insurance</w:t>
      </w:r>
      <w:r>
        <w:rPr>
          <w:noProof/>
        </w:rPr>
        <w:t xml:space="preserve"> (2025)</w:t>
      </w:r>
    </w:p>
    <w:p w14:paraId="214D5928" w14:textId="503359F5" w:rsidR="00E946C0" w:rsidRPr="003D5D3F" w:rsidRDefault="00DC2058" w:rsidP="0078531C">
      <w:pPr>
        <w:pStyle w:val="BodyText"/>
      </w:pPr>
      <w:r>
        <w:rPr>
          <w:noProof/>
        </w:rPr>
        <w:drawing>
          <wp:inline distT="0" distB="0" distL="0" distR="0" wp14:anchorId="5D0EE804" wp14:editId="6C357DF5">
            <wp:extent cx="3060192" cy="2161032"/>
            <wp:effectExtent l="0" t="0" r="6985" b="0"/>
            <wp:docPr id="404599928" name="Picture 12" descr="Density plot comparing annual remuneration distributions for women and men, highlighting a mean total pay gap of 15.1%. The plot shows women's pay concentrated around $142,656 and men's around $167,984, with shaded areas and dashed lines distinguishing gender pay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99928" name="Picture 12" descr="Density plot comparing annual remuneration distributions for women and men, highlighting a mean total pay gap of 15.1%. The plot shows women's pay concentrated around $142,656 and men's around $167,984, with shaded areas and dashed lines distinguishing gender pay trends."/>
                    <pic:cNvPicPr/>
                  </pic:nvPicPr>
                  <pic:blipFill>
                    <a:blip r:embed="rId42"/>
                    <a:stretch>
                      <a:fillRect/>
                    </a:stretch>
                  </pic:blipFill>
                  <pic:spPr>
                    <a:xfrm>
                      <a:off x="0" y="0"/>
                      <a:ext cx="3060192" cy="2161032"/>
                    </a:xfrm>
                    <a:prstGeom prst="rect">
                      <a:avLst/>
                    </a:prstGeom>
                  </pic:spPr>
                </pic:pic>
              </a:graphicData>
            </a:graphic>
          </wp:inline>
        </w:drawing>
      </w:r>
    </w:p>
    <w:p w14:paraId="2F621F83" w14:textId="77777777" w:rsidR="00E946C0" w:rsidRDefault="00E946C0" w:rsidP="00396429">
      <w:pPr>
        <w:pStyle w:val="Heading4"/>
      </w:pPr>
      <w:r>
        <w:t xml:space="preserve">The gap for women in </w:t>
      </w:r>
      <w:r w:rsidRPr="001A5407">
        <w:t>senior leader</w:t>
      </w:r>
      <w:r>
        <w:t>ship increased</w:t>
      </w:r>
    </w:p>
    <w:p w14:paraId="625F9F1B" w14:textId="77777777" w:rsidR="00E946C0" w:rsidRPr="001A5407" w:rsidRDefault="00E946C0" w:rsidP="004444B7">
      <w:pPr>
        <w:pStyle w:val="BodyText"/>
      </w:pPr>
      <w:r>
        <w:t xml:space="preserve">The gender </w:t>
      </w:r>
      <w:r w:rsidRPr="001A5407">
        <w:t xml:space="preserve">pay gap </w:t>
      </w:r>
      <w:r>
        <w:t xml:space="preserve">for senior leaders </w:t>
      </w:r>
      <w:r w:rsidRPr="001A5407">
        <w:t>widened</w:t>
      </w:r>
      <w:r>
        <w:t xml:space="preserve"> in 2025. More women held senior leadership positions, but they were paid on average </w:t>
      </w:r>
      <w:r w:rsidRPr="005C3B2C">
        <w:rPr>
          <w:b/>
          <w:bCs/>
        </w:rPr>
        <w:t>$31,063</w:t>
      </w:r>
      <w:r>
        <w:t xml:space="preserve"> less than men in senior roles.</w:t>
      </w:r>
    </w:p>
    <w:p w14:paraId="0967C9B2" w14:textId="77777777" w:rsidR="00E946C0" w:rsidRDefault="00E946C0" w:rsidP="004444B7">
      <w:pPr>
        <w:pStyle w:val="Figurecaption"/>
      </w:pPr>
      <w:r>
        <w:lastRenderedPageBreak/>
        <w:t xml:space="preserve">Figure </w:t>
      </w:r>
      <w:fldSimple w:instr=" SEQ Figure \* ARABIC ">
        <w:r>
          <w:rPr>
            <w:noProof/>
          </w:rPr>
          <w:t>7</w:t>
        </w:r>
      </w:fldSimple>
      <w:r>
        <w:t xml:space="preserve">: </w:t>
      </w:r>
      <w:r w:rsidRPr="00817FE4">
        <w:t>Senior leader gender pay distribution (2025)</w:t>
      </w:r>
    </w:p>
    <w:p w14:paraId="6DB160F1" w14:textId="405220D8" w:rsidR="00E946C0" w:rsidRPr="00F53007" w:rsidRDefault="00DC2058" w:rsidP="00E442F0">
      <w:pPr>
        <w:pStyle w:val="Body"/>
      </w:pPr>
      <w:r>
        <w:rPr>
          <w:noProof/>
        </w:rPr>
        <w:drawing>
          <wp:inline distT="0" distB="0" distL="0" distR="0" wp14:anchorId="29C2E280" wp14:editId="02A19996">
            <wp:extent cx="3060192" cy="2161032"/>
            <wp:effectExtent l="0" t="0" r="6985" b="0"/>
            <wp:docPr id="861763672" name="Picture 13" descr="Density plot comparing annual remuneration distribution between women and men, highlighting a mean total pay gap of 12.5%. Women’s pay density peaks around $216,897, shaded in purple, while men’s pay peaks higher at $247,960, marked with a dashed line, showing men generally earn more across salary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63672" name="Picture 13" descr="Density plot comparing annual remuneration distribution between women and men, highlighting a mean total pay gap of 12.5%. Women’s pay density peaks around $216,897, shaded in purple, while men’s pay peaks higher at $247,960, marked with a dashed line, showing men generally earn more across salary ranges."/>
                    <pic:cNvPicPr/>
                  </pic:nvPicPr>
                  <pic:blipFill>
                    <a:blip r:embed="rId43"/>
                    <a:stretch>
                      <a:fillRect/>
                    </a:stretch>
                  </pic:blipFill>
                  <pic:spPr>
                    <a:xfrm>
                      <a:off x="0" y="0"/>
                      <a:ext cx="3060192" cy="2161032"/>
                    </a:xfrm>
                    <a:prstGeom prst="rect">
                      <a:avLst/>
                    </a:prstGeom>
                  </pic:spPr>
                </pic:pic>
              </a:graphicData>
            </a:graphic>
          </wp:inline>
        </w:drawing>
      </w:r>
    </w:p>
    <w:p w14:paraId="48E0EEFE" w14:textId="77777777" w:rsidR="00E946C0" w:rsidRDefault="00E946C0" w:rsidP="009944B1">
      <w:pPr>
        <w:pStyle w:val="Heading3"/>
        <w:rPr>
          <w:b/>
        </w:rPr>
      </w:pPr>
      <w:r>
        <w:t>Change is possible – and it’s happening</w:t>
      </w:r>
    </w:p>
    <w:p w14:paraId="783D6069" w14:textId="77777777" w:rsidR="00E946C0" w:rsidRDefault="00E946C0" w:rsidP="0078531C">
      <w:pPr>
        <w:pStyle w:val="BodyText"/>
      </w:pPr>
      <w:r>
        <w:t xml:space="preserve">Between 2021 and 2025, </w:t>
      </w:r>
      <w:r w:rsidRPr="00E61B52">
        <w:t>gender pay gaps</w:t>
      </w:r>
      <w:r>
        <w:t xml:space="preserve"> reduced</w:t>
      </w:r>
      <w:r w:rsidRPr="00E61B52">
        <w:t xml:space="preserve"> in </w:t>
      </w:r>
      <w:r>
        <w:t>traditionally men-concentrated</w:t>
      </w:r>
      <w:r w:rsidRPr="00E61B52">
        <w:t xml:space="preserve"> industries and occupations</w:t>
      </w:r>
      <w:r>
        <w:t>. So, where’s positive change happening?</w:t>
      </w:r>
    </w:p>
    <w:p w14:paraId="65A889B0" w14:textId="77777777" w:rsidR="00E946C0" w:rsidRPr="004B3761" w:rsidRDefault="00E946C0" w:rsidP="0078531C">
      <w:pPr>
        <w:pStyle w:val="BodyText"/>
        <w:rPr>
          <w:b/>
        </w:rPr>
      </w:pPr>
      <w:r w:rsidRPr="004B3761">
        <w:rPr>
          <w:b/>
        </w:rPr>
        <w:t xml:space="preserve">Occupations and industries </w:t>
      </w:r>
    </w:p>
    <w:p w14:paraId="4394C4B8" w14:textId="77777777" w:rsidR="00E946C0" w:rsidRDefault="00E946C0" w:rsidP="004B3761">
      <w:pPr>
        <w:pStyle w:val="Bullet1"/>
      </w:pPr>
      <w:r w:rsidRPr="004B3761">
        <w:t>Police and emergency services</w:t>
      </w:r>
      <w:r>
        <w:t xml:space="preserve">: pay gap down 6.1 percentage points </w:t>
      </w:r>
    </w:p>
    <w:p w14:paraId="3D4BA2A2" w14:textId="77777777" w:rsidR="00E946C0" w:rsidRDefault="00E946C0" w:rsidP="004B3761">
      <w:pPr>
        <w:pStyle w:val="Bullet1"/>
      </w:pPr>
      <w:r w:rsidRPr="004B3761">
        <w:t>Water and land management</w:t>
      </w:r>
      <w:r>
        <w:t>: pay gap down 2.9 percentage points</w:t>
      </w:r>
    </w:p>
    <w:p w14:paraId="19AAE7E3" w14:textId="77777777" w:rsidR="00E946C0" w:rsidRDefault="00E946C0" w:rsidP="004B3761">
      <w:pPr>
        <w:pStyle w:val="Bullet1"/>
      </w:pPr>
      <w:r w:rsidRPr="004B3761">
        <w:t>Labouring roles</w:t>
      </w:r>
      <w:r>
        <w:t>: pay gap down 9.4 percentage points</w:t>
      </w:r>
    </w:p>
    <w:p w14:paraId="4C8EAA6F" w14:textId="77777777" w:rsidR="00E946C0" w:rsidRDefault="00E946C0" w:rsidP="004B3761">
      <w:pPr>
        <w:pStyle w:val="Bullet1"/>
      </w:pPr>
      <w:r w:rsidRPr="004B3761">
        <w:t>Machinery operators and drivers</w:t>
      </w:r>
      <w:r>
        <w:t>: pay gap down 3.3 percentage points</w:t>
      </w:r>
    </w:p>
    <w:p w14:paraId="182D3C4B" w14:textId="77777777" w:rsidR="00E946C0" w:rsidRPr="005F688D" w:rsidRDefault="00E946C0" w:rsidP="004B3761">
      <w:pPr>
        <w:pStyle w:val="Bullet1"/>
        <w:rPr>
          <w:b/>
        </w:rPr>
      </w:pPr>
      <w:r w:rsidRPr="004B3761">
        <w:t>Technicians and trade workers</w:t>
      </w:r>
      <w:r>
        <w:t>: pay gap down 0.8 percentage points</w:t>
      </w:r>
    </w:p>
    <w:p w14:paraId="47CFA766" w14:textId="4A0CC151" w:rsidR="00BA3693" w:rsidRDefault="00BA3693" w:rsidP="00BA3693">
      <w:pPr>
        <w:pStyle w:val="Heading1"/>
      </w:pPr>
      <w:bookmarkStart w:id="39" w:name="_Toc237259532"/>
      <w:r>
        <w:t>Indicator 4: Workplace sexual harassment</w:t>
      </w:r>
      <w:bookmarkEnd w:id="39"/>
    </w:p>
    <w:p w14:paraId="0455D132" w14:textId="77777777" w:rsidR="00BA3693" w:rsidRDefault="00BA3693" w:rsidP="00BA3693">
      <w:pPr>
        <w:pStyle w:val="Heading2"/>
      </w:pPr>
      <w:bookmarkStart w:id="40" w:name="_Toc237259533"/>
      <w:r w:rsidRPr="00ED1F0F">
        <w:t>Why this matters</w:t>
      </w:r>
      <w:bookmarkEnd w:id="40"/>
    </w:p>
    <w:p w14:paraId="298E55DF" w14:textId="27A946E0" w:rsidR="00BD7707" w:rsidRDefault="00BD7707" w:rsidP="00CE00D0">
      <w:pPr>
        <w:pStyle w:val="BodyText"/>
      </w:pPr>
      <w:r w:rsidRPr="00BD7707">
        <w:t xml:space="preserve">Workplace sexual harassment is one of the most serious and persistent barriers to workplace gender equality. It is also a </w:t>
      </w:r>
      <w:r w:rsidR="00B057C6">
        <w:t>significant</w:t>
      </w:r>
      <w:r w:rsidRPr="00BD7707">
        <w:t xml:space="preserve"> work health and safety issue. </w:t>
      </w:r>
      <w:r w:rsidR="00121249">
        <w:t xml:space="preserve">Following recent changes to </w:t>
      </w:r>
      <w:r w:rsidRPr="00BD7707">
        <w:t xml:space="preserve">the </w:t>
      </w:r>
      <w:r w:rsidRPr="00BD7707">
        <w:rPr>
          <w:i/>
          <w:iCs/>
        </w:rPr>
        <w:t>Sex Discrimination Act 1984</w:t>
      </w:r>
      <w:r w:rsidRPr="00BD7707">
        <w:t xml:space="preserve"> (Cth), employers </w:t>
      </w:r>
      <w:r w:rsidR="00BD0F36">
        <w:t xml:space="preserve">now </w:t>
      </w:r>
      <w:r w:rsidRPr="00BD7707">
        <w:t>have a positive duty to take reasonable and proportionate measures to eliminate sexual harassment, as far as possible.</w:t>
      </w:r>
      <w:r w:rsidR="00BD0F36">
        <w:t xml:space="preserve"> </w:t>
      </w:r>
      <w:r w:rsidR="00953C43">
        <w:t>Simply</w:t>
      </w:r>
      <w:r w:rsidR="00BD0F36" w:rsidRPr="00BD0F36">
        <w:t xml:space="preserve"> responding to complaints </w:t>
      </w:r>
      <w:r w:rsidR="00731486">
        <w:t xml:space="preserve">is no longer </w:t>
      </w:r>
      <w:r w:rsidR="00953C43">
        <w:t xml:space="preserve">sufficient – organisations must </w:t>
      </w:r>
      <w:r w:rsidR="00BD0F36" w:rsidRPr="00BD0F36">
        <w:t>creat</w:t>
      </w:r>
      <w:r w:rsidR="00953C43">
        <w:t>e</w:t>
      </w:r>
      <w:r w:rsidR="00BD0F36" w:rsidRPr="00BD0F36">
        <w:t xml:space="preserve"> safe workplace environments.</w:t>
      </w:r>
      <w:r w:rsidRPr="00BD7707">
        <w:t xml:space="preserve"> </w:t>
      </w:r>
      <w:r w:rsidR="003062FD">
        <w:t xml:space="preserve">Similarly, in 2023 </w:t>
      </w:r>
      <w:r w:rsidR="003062FD" w:rsidRPr="003062FD">
        <w:t xml:space="preserve">changes relating to the prohibition of sexual harassment in the workplace </w:t>
      </w:r>
      <w:r w:rsidR="003062FD">
        <w:t>took effect</w:t>
      </w:r>
      <w:r w:rsidR="00AA244A">
        <w:t xml:space="preserve"> in the </w:t>
      </w:r>
      <w:r w:rsidR="003062FD" w:rsidRPr="003062FD">
        <w:rPr>
          <w:i/>
          <w:iCs/>
        </w:rPr>
        <w:t>Fair Work Act 2009</w:t>
      </w:r>
      <w:r w:rsidR="003062FD" w:rsidRPr="003062FD">
        <w:t> (Cth).</w:t>
      </w:r>
      <w:r w:rsidR="00AA244A">
        <w:t xml:space="preserve"> These were </w:t>
      </w:r>
      <w:r w:rsidR="003062FD" w:rsidRPr="003062FD">
        <w:t>the introduction of a prohibition of sexual harassment of workers</w:t>
      </w:r>
      <w:r w:rsidR="00DC5C57">
        <w:t xml:space="preserve">, </w:t>
      </w:r>
      <w:r w:rsidR="003062FD" w:rsidRPr="003062FD">
        <w:t xml:space="preserve">an ability for an employer to be found vicariously liable for sexual harassment if they are unable to demonstrate that pro-active measures had been taken to prevent </w:t>
      </w:r>
      <w:r w:rsidR="00DC5C57">
        <w:t>it</w:t>
      </w:r>
      <w:r w:rsidR="00CF63BE">
        <w:t>, and t</w:t>
      </w:r>
      <w:r w:rsidR="003062FD" w:rsidRPr="003062FD">
        <w:t>he creation of an alternative path to pursue sexual harassment claims through the Fair Work Commission (FWC).</w:t>
      </w:r>
      <w:r w:rsidR="00CF63BE">
        <w:t xml:space="preserve"> Employers</w:t>
      </w:r>
      <w:r w:rsidRPr="00BD7707">
        <w:t xml:space="preserve"> also have obligations under the </w:t>
      </w:r>
      <w:r w:rsidRPr="00BD7707">
        <w:rPr>
          <w:i/>
          <w:iCs/>
        </w:rPr>
        <w:t>Occupational Health and Safety Act 2004</w:t>
      </w:r>
      <w:r w:rsidRPr="00BD7707">
        <w:t xml:space="preserve"> (Vic) to provide and maintain a working environment that is safe and without risks to health, including psychological health.</w:t>
      </w:r>
    </w:p>
    <w:p w14:paraId="7F5EC508" w14:textId="220D0D47" w:rsidR="00CE00D0" w:rsidRPr="00CE00D0" w:rsidRDefault="00CF317E" w:rsidP="00CE00D0">
      <w:pPr>
        <w:pStyle w:val="BodyText"/>
      </w:pPr>
      <w:r w:rsidRPr="00CF317E">
        <w:t xml:space="preserve">Sexual harassment in the workplace </w:t>
      </w:r>
      <w:r w:rsidR="008220E3">
        <w:t>remains too</w:t>
      </w:r>
      <w:r w:rsidRPr="00CF317E">
        <w:t xml:space="preserve"> common. It causes psychological, physical and financial harm to victim-survivors</w:t>
      </w:r>
      <w:r w:rsidR="006C1F3D">
        <w:t>. It</w:t>
      </w:r>
      <w:r w:rsidRPr="00CF317E">
        <w:t xml:space="preserve"> carries a significant economic cost for organisations and the wider community.</w:t>
      </w:r>
      <w:r w:rsidR="00CE00D0">
        <w:t xml:space="preserve"> </w:t>
      </w:r>
      <w:r w:rsidR="00052BA0">
        <w:t>It</w:t>
      </w:r>
      <w:r w:rsidR="00CE00D0" w:rsidRPr="00CE00D0">
        <w:t xml:space="preserve"> is both a symptom and a driver of </w:t>
      </w:r>
      <w:r w:rsidR="00F528B6">
        <w:t xml:space="preserve">workplace </w:t>
      </w:r>
      <w:r w:rsidR="00CE00D0" w:rsidRPr="00CE00D0">
        <w:t>gender inequality</w:t>
      </w:r>
      <w:r w:rsidR="00F528B6">
        <w:t>. I</w:t>
      </w:r>
      <w:r w:rsidR="00CE00D0" w:rsidRPr="00CE00D0">
        <w:t xml:space="preserve">t arises from </w:t>
      </w:r>
      <w:r w:rsidR="00CE00D0" w:rsidRPr="00CE00D0">
        <w:lastRenderedPageBreak/>
        <w:t xml:space="preserve">unequal power relations and, if left unaddressed, reinforces them by limiting safety, participation and </w:t>
      </w:r>
      <w:r w:rsidR="00975938">
        <w:t xml:space="preserve">career </w:t>
      </w:r>
      <w:r w:rsidR="00CE00D0" w:rsidRPr="00CE00D0">
        <w:t>progression.</w:t>
      </w:r>
    </w:p>
    <w:p w14:paraId="6AA641A1" w14:textId="2D655C7B" w:rsidR="00953C43" w:rsidRDefault="00CF317E" w:rsidP="0078531C">
      <w:pPr>
        <w:pStyle w:val="BodyText"/>
      </w:pPr>
      <w:r w:rsidRPr="00CF317E">
        <w:t xml:space="preserve">Under the </w:t>
      </w:r>
      <w:r w:rsidRPr="001C49FE">
        <w:t>Gender Equality Act</w:t>
      </w:r>
      <w:r w:rsidRPr="00CF317E">
        <w:t xml:space="preserve">, duty holders collect </w:t>
      </w:r>
      <w:r w:rsidR="001067A1" w:rsidRPr="001067A1">
        <w:t xml:space="preserve">complementary sources </w:t>
      </w:r>
      <w:r w:rsidRPr="00CF317E">
        <w:t xml:space="preserve">of </w:t>
      </w:r>
      <w:r w:rsidR="001067A1" w:rsidRPr="001067A1">
        <w:t>information about workplace sexual harassment. Workforce data records</w:t>
      </w:r>
      <w:r w:rsidRPr="00CF317E">
        <w:t xml:space="preserve"> the number of formal sexual harassment reports </w:t>
      </w:r>
      <w:r w:rsidR="001067A1" w:rsidRPr="001067A1">
        <w:t xml:space="preserve">received by an organisation. Anonymous </w:t>
      </w:r>
      <w:r w:rsidRPr="00CF317E">
        <w:t>employee experience data</w:t>
      </w:r>
      <w:r w:rsidR="001067A1" w:rsidRPr="001067A1">
        <w:t xml:space="preserve"> captures both people's experiences of workplace sexual harassment and whether they</w:t>
      </w:r>
      <w:r w:rsidR="001C49FE">
        <w:t xml:space="preserve"> said they had</w:t>
      </w:r>
      <w:r w:rsidR="001067A1" w:rsidRPr="001067A1">
        <w:t xml:space="preserve"> formally reported those experiences. Together</w:t>
      </w:r>
      <w:r w:rsidRPr="00CF317E">
        <w:t xml:space="preserve">, these </w:t>
      </w:r>
      <w:r w:rsidR="001067A1" w:rsidRPr="001067A1">
        <w:t>data provide</w:t>
      </w:r>
      <w:r w:rsidRPr="00CF317E">
        <w:t xml:space="preserve"> a </w:t>
      </w:r>
      <w:r w:rsidR="001067A1" w:rsidRPr="001067A1">
        <w:t>more complete</w:t>
      </w:r>
      <w:r w:rsidRPr="00CF317E">
        <w:t xml:space="preserve"> picture of </w:t>
      </w:r>
      <w:r w:rsidR="001067A1" w:rsidRPr="001067A1">
        <w:t xml:space="preserve">workplace sexual harassment than either source </w:t>
      </w:r>
      <w:r w:rsidR="0046292A">
        <w:t>can</w:t>
      </w:r>
      <w:r w:rsidR="001067A1" w:rsidRPr="001067A1">
        <w:t xml:space="preserve"> alone.</w:t>
      </w:r>
      <w:r w:rsidRPr="00CF317E">
        <w:t xml:space="preserve"> </w:t>
      </w:r>
    </w:p>
    <w:p w14:paraId="06CEEEBD" w14:textId="0951CC38" w:rsidR="00CF317E" w:rsidRPr="00CF317E" w:rsidRDefault="00536311" w:rsidP="0078531C">
      <w:pPr>
        <w:pStyle w:val="BodyText"/>
      </w:pPr>
      <w:r>
        <w:t>While o</w:t>
      </w:r>
      <w:r w:rsidR="00953C43" w:rsidRPr="008056C3">
        <w:t>ther regulators such as WorkSafe Victoria</w:t>
      </w:r>
      <w:r w:rsidR="001817B7">
        <w:t xml:space="preserve">, </w:t>
      </w:r>
      <w:r w:rsidR="00953C43">
        <w:t>the Victorian Equal Opportunity and Human Rights Commission</w:t>
      </w:r>
      <w:r w:rsidR="001817B7">
        <w:t xml:space="preserve">, and </w:t>
      </w:r>
      <w:r w:rsidR="002A50AC">
        <w:t xml:space="preserve">the </w:t>
      </w:r>
      <w:r w:rsidR="001817B7">
        <w:t>Fair Work</w:t>
      </w:r>
      <w:r w:rsidR="00953C43" w:rsidRPr="008056C3">
        <w:t xml:space="preserve"> </w:t>
      </w:r>
      <w:r w:rsidR="00C97241">
        <w:t>Commission</w:t>
      </w:r>
      <w:r w:rsidR="002A50AC">
        <w:t>,</w:t>
      </w:r>
      <w:r w:rsidR="00953C43" w:rsidRPr="008056C3">
        <w:t xml:space="preserve"> can respond to cases of sexual harassment when a complaint is made</w:t>
      </w:r>
      <w:r w:rsidR="00276289">
        <w:t>,</w:t>
      </w:r>
      <w:r w:rsidR="00953C43" w:rsidRPr="008056C3">
        <w:t xml:space="preserve"> the </w:t>
      </w:r>
      <w:r w:rsidR="00953C43">
        <w:t xml:space="preserve">Public Sector Gender Equality </w:t>
      </w:r>
      <w:r w:rsidR="00953C43" w:rsidRPr="008056C3">
        <w:t>Commission</w:t>
      </w:r>
      <w:r w:rsidR="00953C43">
        <w:t>er</w:t>
      </w:r>
      <w:r w:rsidR="00953C43" w:rsidRPr="008056C3">
        <w:t xml:space="preserve"> is the only regulator requiring </w:t>
      </w:r>
      <w:r w:rsidR="00C21DC8">
        <w:t xml:space="preserve">Victorian </w:t>
      </w:r>
      <w:r w:rsidR="00953C43" w:rsidRPr="008056C3">
        <w:t xml:space="preserve">public sector organisations to regularly </w:t>
      </w:r>
      <w:r w:rsidR="00953C43">
        <w:t xml:space="preserve">and transparently </w:t>
      </w:r>
      <w:r w:rsidR="00953C43" w:rsidRPr="008056C3">
        <w:t>report on sexual harassment</w:t>
      </w:r>
      <w:r w:rsidR="00953C43">
        <w:t xml:space="preserve"> at a workplace level</w:t>
      </w:r>
      <w:r w:rsidR="00953C43" w:rsidRPr="008056C3">
        <w:t>.</w:t>
      </w:r>
    </w:p>
    <w:p w14:paraId="4BA97132" w14:textId="26310221" w:rsidR="00CF317E" w:rsidRPr="00CF317E" w:rsidRDefault="0010111D" w:rsidP="0078531C">
      <w:pPr>
        <w:pStyle w:val="BodyText"/>
      </w:pPr>
      <w:r>
        <w:t xml:space="preserve">This is </w:t>
      </w:r>
      <w:r w:rsidR="00D1146D">
        <w:t>important because m</w:t>
      </w:r>
      <w:r w:rsidR="00CF317E" w:rsidRPr="00CF317E">
        <w:t xml:space="preserve">any people who experience </w:t>
      </w:r>
      <w:r w:rsidR="00BC32CB" w:rsidRPr="00BC32CB">
        <w:t xml:space="preserve">workplace </w:t>
      </w:r>
      <w:r w:rsidR="00CF317E" w:rsidRPr="00CF317E">
        <w:t xml:space="preserve">sexual harassment never make a formal report. Barriers include fear of reprisal, uncertainty about </w:t>
      </w:r>
      <w:r w:rsidR="00BC32CB" w:rsidRPr="00BC32CB">
        <w:t>reporting processes</w:t>
      </w:r>
      <w:r w:rsidR="00CF317E" w:rsidRPr="00CF317E">
        <w:t xml:space="preserve">, lack of confidence </w:t>
      </w:r>
      <w:r w:rsidR="00BC32CB" w:rsidRPr="00BC32CB">
        <w:t>that action will be taken</w:t>
      </w:r>
      <w:r w:rsidR="00CF317E" w:rsidRPr="00CF317E">
        <w:t xml:space="preserve">, and limited understanding of what constitutes sexual harassment. </w:t>
      </w:r>
      <w:r w:rsidR="00BC32CB" w:rsidRPr="00BC32CB">
        <w:t>Together, these barriers, and failures to formally record reports that are made, mean organisations may underestimate both the prevalence of workplace sexual harassment and the effectiveness of their reporting systems. These issues are</w:t>
      </w:r>
      <w:r w:rsidR="00322CDA">
        <w:t xml:space="preserve"> </w:t>
      </w:r>
      <w:r w:rsidR="00CF317E" w:rsidRPr="00CF317E">
        <w:t xml:space="preserve">examined in </w:t>
      </w:r>
      <w:r w:rsidR="00BC32CB" w:rsidRPr="00BC32CB">
        <w:t xml:space="preserve">more </w:t>
      </w:r>
      <w:r w:rsidR="00CF317E" w:rsidRPr="00CF317E">
        <w:t>detail below.</w:t>
      </w:r>
    </w:p>
    <w:p w14:paraId="68B0A1DF" w14:textId="4422ABFB" w:rsidR="005F0A14" w:rsidRDefault="00947F0A" w:rsidP="0078531C">
      <w:pPr>
        <w:pStyle w:val="BodyText"/>
        <w:rPr>
          <w:b/>
        </w:rPr>
      </w:pPr>
      <w:r>
        <w:t xml:space="preserve">You can read more about sexual harassment, including </w:t>
      </w:r>
      <w:r w:rsidR="00685583">
        <w:t xml:space="preserve">its </w:t>
      </w:r>
      <w:r>
        <w:t xml:space="preserve">drivers and risk factors, in </w:t>
      </w:r>
      <w:r w:rsidR="00D92D5B" w:rsidRPr="00C27278">
        <w:t xml:space="preserve">the </w:t>
      </w:r>
      <w:r w:rsidR="00CF317E" w:rsidRPr="00CF317E">
        <w:t>Commission</w:t>
      </w:r>
      <w:r w:rsidR="002F55AB">
        <w:t>’</w:t>
      </w:r>
      <w:r w:rsidR="00CF317E" w:rsidRPr="00CF317E">
        <w:t>s</w:t>
      </w:r>
      <w:r w:rsidRPr="00C27278">
        <w:t xml:space="preserve"> </w:t>
      </w:r>
      <w:hyperlink r:id="rId44" w:history="1">
        <w:r w:rsidR="005F0A14">
          <w:rPr>
            <w:rStyle w:val="Hyperlink"/>
            <w:rFonts w:cs="Times New Roman"/>
          </w:rPr>
          <w:t>Insights report:</w:t>
        </w:r>
        <w:r w:rsidRPr="00A6261D">
          <w:rPr>
            <w:rStyle w:val="Hyperlink"/>
            <w:rFonts w:cs="Times New Roman"/>
          </w:rPr>
          <w:t xml:space="preserve"> </w:t>
        </w:r>
        <w:r w:rsidR="00A6261D" w:rsidRPr="00A6261D">
          <w:rPr>
            <w:rStyle w:val="Hyperlink"/>
            <w:rFonts w:cs="Times New Roman"/>
          </w:rPr>
          <w:t xml:space="preserve">Sexual </w:t>
        </w:r>
        <w:r w:rsidR="005F0A14">
          <w:rPr>
            <w:rStyle w:val="Hyperlink"/>
            <w:rFonts w:cs="Times New Roman"/>
          </w:rPr>
          <w:t>h</w:t>
        </w:r>
        <w:r w:rsidR="00A6261D" w:rsidRPr="00A6261D">
          <w:rPr>
            <w:rStyle w:val="Hyperlink"/>
            <w:rFonts w:cs="Times New Roman"/>
          </w:rPr>
          <w:t>arassment</w:t>
        </w:r>
      </w:hyperlink>
      <w:r w:rsidR="005F0A14">
        <w:rPr>
          <w:b/>
        </w:rPr>
        <w:t xml:space="preserve"> </w:t>
      </w:r>
      <w:r w:rsidR="005F0A14" w:rsidRPr="005F0A14">
        <w:rPr>
          <w:bCs/>
        </w:rPr>
        <w:t>(2025).</w:t>
      </w:r>
    </w:p>
    <w:p w14:paraId="212A79DE" w14:textId="6B13910D" w:rsidR="00BA3693" w:rsidRDefault="00BA3693" w:rsidP="005F0A14">
      <w:pPr>
        <w:pStyle w:val="Heading2"/>
      </w:pPr>
      <w:bookmarkStart w:id="41" w:name="_Toc237259534"/>
      <w:r>
        <w:t>How we define progress</w:t>
      </w:r>
      <w:bookmarkEnd w:id="41"/>
    </w:p>
    <w:p w14:paraId="7D97B82E" w14:textId="4CCB3A33" w:rsidR="000409B4" w:rsidRPr="000409B4" w:rsidRDefault="000409B4" w:rsidP="000409B4">
      <w:pPr>
        <w:pStyle w:val="BodyText"/>
      </w:pPr>
      <w:r w:rsidRPr="000409B4">
        <w:t>The goal for this indicator is a workplace free from sexual harassment. This means an experience rate of zero, together with reporting systems that employees trust</w:t>
      </w:r>
      <w:r w:rsidR="00A77261">
        <w:t xml:space="preserve"> and</w:t>
      </w:r>
      <w:r w:rsidRPr="000409B4">
        <w:t xml:space="preserve"> use</w:t>
      </w:r>
      <w:r w:rsidR="00A77261">
        <w:t>,</w:t>
      </w:r>
      <w:r w:rsidRPr="000409B4">
        <w:t xml:space="preserve"> and organisations consistently record</w:t>
      </w:r>
      <w:r w:rsidR="005C1185">
        <w:t>ing</w:t>
      </w:r>
      <w:r w:rsidRPr="000409B4">
        <w:t xml:space="preserve"> </w:t>
      </w:r>
      <w:r>
        <w:t>if</w:t>
      </w:r>
      <w:r w:rsidRPr="000409B4">
        <w:t xml:space="preserve"> incidents occur.</w:t>
      </w:r>
    </w:p>
    <w:p w14:paraId="4081AC94" w14:textId="412B6143" w:rsidR="000409B4" w:rsidRPr="000409B4" w:rsidRDefault="000409B4" w:rsidP="000409B4">
      <w:pPr>
        <w:pStyle w:val="BodyText"/>
      </w:pPr>
      <w:r w:rsidRPr="000409B4">
        <w:t xml:space="preserve">As organisations progress towards this goal, anonymous experience rates should decline. Organisations should also see the gap narrow between the proportion of employees who say they formally reported workplace sexual harassment </w:t>
      </w:r>
      <w:r>
        <w:t xml:space="preserve">in their employee experience data </w:t>
      </w:r>
      <w:r w:rsidRPr="000409B4">
        <w:t xml:space="preserve">and the number of formal reports recorded in workforce data. A large gap between these measures suggests that some employees who believe they have made a formal report are not being captured in organisational reporting systems. Organisations need to ensure </w:t>
      </w:r>
      <w:r w:rsidR="006E5A44">
        <w:t>that</w:t>
      </w:r>
      <w:r w:rsidRPr="000409B4">
        <w:t xml:space="preserve"> employees understand how to make a formal report</w:t>
      </w:r>
      <w:r w:rsidR="00DA709D">
        <w:t xml:space="preserve"> and</w:t>
      </w:r>
      <w:r w:rsidRPr="000409B4">
        <w:t xml:space="preserve"> feel safe doing so, and that managers consistently record and escalate reports in line with organisational processes</w:t>
      </w:r>
      <w:r w:rsidR="00A554EF" w:rsidRPr="000409B4">
        <w:t>,</w:t>
      </w:r>
      <w:r w:rsidRPr="000409B4">
        <w:t xml:space="preserve"> so they are reflected in workforce data (see </w:t>
      </w:r>
      <w:r w:rsidRPr="009C0D95">
        <w:t>Commissioner expectations</w:t>
      </w:r>
      <w:r w:rsidRPr="000409B4">
        <w:t xml:space="preserve"> </w:t>
      </w:r>
      <w:r w:rsidR="009C0D95">
        <w:t xml:space="preserve">below </w:t>
      </w:r>
      <w:r w:rsidRPr="000409B4">
        <w:t>for more detail).</w:t>
      </w:r>
    </w:p>
    <w:p w14:paraId="49C68AF3" w14:textId="4D89603F" w:rsidR="000409B4" w:rsidRPr="000409B4" w:rsidRDefault="000409B4" w:rsidP="000409B4">
      <w:pPr>
        <w:pStyle w:val="BodyText"/>
      </w:pPr>
      <w:r w:rsidRPr="000409B4">
        <w:t>Experience rates should generally decline over time. However, temporary increases do not necessarily indicate that workplace sexual harassment has become more common. They may, for example, reflect improved awareness</w:t>
      </w:r>
      <w:r w:rsidR="00EB5924">
        <w:t xml:space="preserve"> or</w:t>
      </w:r>
      <w:r w:rsidRPr="000409B4">
        <w:t xml:space="preserve"> greater confidence in recognising and naming sexual harassment</w:t>
      </w:r>
      <w:r w:rsidR="00EB5924">
        <w:t>.</w:t>
      </w:r>
      <w:r w:rsidRPr="000409B4">
        <w:t xml:space="preserve"> For this reason, workforce audit and employee experience data should always be interpreted together.</w:t>
      </w:r>
    </w:p>
    <w:p w14:paraId="60CD564E" w14:textId="1BAE7BA3" w:rsidR="000409B4" w:rsidRPr="000409B4" w:rsidRDefault="000409B4" w:rsidP="000409B4">
      <w:pPr>
        <w:pStyle w:val="BodyText"/>
      </w:pPr>
      <w:r w:rsidRPr="000409B4">
        <w:t>Workplace sexual harassment remains one of the Commissioner</w:t>
      </w:r>
      <w:r w:rsidR="00665C6E">
        <w:t>’</w:t>
      </w:r>
      <w:r w:rsidRPr="000409B4">
        <w:t xml:space="preserve">s regulatory priorities because of the serious harm it causes and the persistence of employee experience rates. In 2023, only 60% of duty holders demonstrated compliance with the requirement to make progress on this indicator (or adequately explain </w:t>
      </w:r>
      <w:r w:rsidR="00EA76B7">
        <w:t>their</w:t>
      </w:r>
      <w:r w:rsidRPr="000409B4">
        <w:t xml:space="preserve"> lack of progress). Strengthening the prevention of workplace sexual </w:t>
      </w:r>
      <w:r w:rsidRPr="000409B4">
        <w:lastRenderedPageBreak/>
        <w:t>harassment, improving employees</w:t>
      </w:r>
      <w:r w:rsidR="00A12113">
        <w:t>’</w:t>
      </w:r>
      <w:r w:rsidRPr="000409B4">
        <w:t xml:space="preserve"> confidence to report it, and ensuring reports are consistently recorded and acted on will remain key priorities of the Commission</w:t>
      </w:r>
      <w:r w:rsidR="00A12113">
        <w:t>’</w:t>
      </w:r>
      <w:r w:rsidRPr="000409B4">
        <w:t>s regulatory work.</w:t>
      </w:r>
    </w:p>
    <w:p w14:paraId="7AAE4D7E" w14:textId="6A3D9E5D" w:rsidR="0046279A" w:rsidRPr="00C27278" w:rsidRDefault="0046279A" w:rsidP="0046279A">
      <w:pPr>
        <w:pStyle w:val="Heading2"/>
      </w:pPr>
      <w:bookmarkStart w:id="42" w:name="_Toc237259535"/>
      <w:r w:rsidRPr="00C27278">
        <w:t xml:space="preserve">Progress </w:t>
      </w:r>
      <w:r>
        <w:t>between</w:t>
      </w:r>
      <w:r w:rsidRPr="00C27278">
        <w:t xml:space="preserve"> 2021</w:t>
      </w:r>
      <w:r>
        <w:t xml:space="preserve"> and 2025</w:t>
      </w:r>
      <w:bookmarkEnd w:id="42"/>
    </w:p>
    <w:p w14:paraId="30751348" w14:textId="321B5382" w:rsidR="00135CD7" w:rsidRDefault="00EC3399" w:rsidP="0078531C">
      <w:pPr>
        <w:pStyle w:val="BodyText"/>
      </w:pPr>
      <w:r>
        <w:t>Rates of</w:t>
      </w:r>
      <w:r w:rsidR="008B365F" w:rsidRPr="008B365F">
        <w:t xml:space="preserve"> sexual harassment </w:t>
      </w:r>
      <w:r>
        <w:t>have not decreased</w:t>
      </w:r>
      <w:r w:rsidR="008B365F" w:rsidRPr="008B365F">
        <w:t xml:space="preserve">. Across the sector, </w:t>
      </w:r>
      <w:r w:rsidR="00AD5A70">
        <w:t xml:space="preserve">employee </w:t>
      </w:r>
      <w:r w:rsidR="008B365F" w:rsidRPr="008B365F">
        <w:t xml:space="preserve">experience rates barely </w:t>
      </w:r>
      <w:r w:rsidR="00935A0B">
        <w:t>changed</w:t>
      </w:r>
      <w:r w:rsidR="00935A0B" w:rsidRPr="008B365F">
        <w:t xml:space="preserve"> </w:t>
      </w:r>
      <w:r w:rsidR="008B365F" w:rsidRPr="008B365F">
        <w:t xml:space="preserve">between 2021 and 2025, and for non-binary and gender-diverse employees they </w:t>
      </w:r>
      <w:r w:rsidR="00AD5A70">
        <w:t>increased substantially</w:t>
      </w:r>
      <w:r w:rsidR="008B365F" w:rsidRPr="008B365F">
        <w:t xml:space="preserve">. </w:t>
      </w:r>
      <w:r w:rsidR="00D53399">
        <w:t>T</w:t>
      </w:r>
      <w:r w:rsidR="008B365F" w:rsidRPr="008B365F">
        <w:t>he data also raises a serious question about how much harassment is visible to organisations</w:t>
      </w:r>
      <w:r w:rsidR="00AD5A70">
        <w:t>.</w:t>
      </w:r>
      <w:r w:rsidR="008B365F" w:rsidRPr="008B365F">
        <w:t xml:space="preserve"> </w:t>
      </w:r>
      <w:r w:rsidR="00281986">
        <w:t>In employee experience data</w:t>
      </w:r>
      <w:r w:rsidR="0000125F">
        <w:t>,</w:t>
      </w:r>
      <w:r w:rsidR="00281986">
        <w:t xml:space="preserve"> m</w:t>
      </w:r>
      <w:r w:rsidR="00CC4ABD" w:rsidRPr="00CC4ABD">
        <w:t xml:space="preserve">ore employees say they formally reported their experience of sexual harassment than </w:t>
      </w:r>
      <w:r w:rsidR="00FD2947">
        <w:t>the number</w:t>
      </w:r>
      <w:r w:rsidR="00CC4ABD" w:rsidRPr="00CC4ABD">
        <w:t xml:space="preserve"> reflected in organisations</w:t>
      </w:r>
      <w:r w:rsidR="00FD2947">
        <w:t>’</w:t>
      </w:r>
      <w:r w:rsidR="00CC4ABD" w:rsidRPr="00CC4ABD">
        <w:t xml:space="preserve"> workforce data. </w:t>
      </w:r>
      <w:r w:rsidR="00135CD7" w:rsidRPr="00135CD7">
        <w:t>This suggests that some reports are not being consistently recorded through formal organisational reporting systems. When this happens, victim-survivors may not receive appropriate support or a consistent organisational response. It also makes it harder for organisations to identify patterns of behaviour, detect repeat perpetrators, learn from incidents and prevent future harm.</w:t>
      </w:r>
      <w:r w:rsidR="00135CD7">
        <w:t xml:space="preserve"> </w:t>
      </w:r>
    </w:p>
    <w:p w14:paraId="21E55D80" w14:textId="2A776737" w:rsidR="008B365F" w:rsidRPr="008B365F" w:rsidRDefault="008B365F" w:rsidP="0078531C">
      <w:pPr>
        <w:pStyle w:val="BodyText"/>
      </w:pPr>
      <w:r w:rsidRPr="008B365F">
        <w:t xml:space="preserve">There </w:t>
      </w:r>
      <w:r w:rsidR="00305EF3">
        <w:t>is an</w:t>
      </w:r>
      <w:r w:rsidRPr="008B365F">
        <w:t xml:space="preserve"> encouraging sign within this picture</w:t>
      </w:r>
      <w:r w:rsidR="00BC22C0">
        <w:t>.</w:t>
      </w:r>
      <w:r w:rsidRPr="008B365F">
        <w:t xml:space="preserve"> </w:t>
      </w:r>
      <w:r w:rsidR="00135CD7">
        <w:t>In 2025 a larger</w:t>
      </w:r>
      <w:r w:rsidRPr="008B365F">
        <w:t xml:space="preserve"> proportion of people who </w:t>
      </w:r>
      <w:r w:rsidR="000A57FF">
        <w:t xml:space="preserve">said they </w:t>
      </w:r>
      <w:r w:rsidRPr="008B365F">
        <w:t>experience</w:t>
      </w:r>
      <w:r w:rsidR="00305EF3">
        <w:t>d</w:t>
      </w:r>
      <w:r w:rsidRPr="008B365F">
        <w:t xml:space="preserve"> harassment </w:t>
      </w:r>
      <w:r w:rsidR="000A57FF">
        <w:t>in employee experience data also</w:t>
      </w:r>
      <w:r w:rsidRPr="008B365F">
        <w:t xml:space="preserve"> sa</w:t>
      </w:r>
      <w:r w:rsidR="00305EF3">
        <w:t>id</w:t>
      </w:r>
      <w:r w:rsidRPr="008B365F">
        <w:t xml:space="preserve"> they </w:t>
      </w:r>
      <w:r w:rsidR="00305EF3">
        <w:t>reported</w:t>
      </w:r>
      <w:r w:rsidRPr="008B365F">
        <w:t xml:space="preserve"> it formally</w:t>
      </w:r>
      <w:r w:rsidR="00B372AE">
        <w:t>.</w:t>
      </w:r>
      <w:r w:rsidR="00305EF3">
        <w:t xml:space="preserve"> </w:t>
      </w:r>
      <w:r w:rsidR="00B372AE">
        <w:t>A</w:t>
      </w:r>
      <w:r w:rsidR="00305EF3">
        <w:t xml:space="preserve"> greater number of formal reports from women were </w:t>
      </w:r>
      <w:r w:rsidR="00B372AE">
        <w:t xml:space="preserve">also </w:t>
      </w:r>
      <w:r w:rsidR="00305EF3">
        <w:t>recorded in workforce data</w:t>
      </w:r>
      <w:r w:rsidR="00B508AD">
        <w:t xml:space="preserve">, </w:t>
      </w:r>
      <w:r w:rsidR="00E77347">
        <w:t xml:space="preserve">with the increase </w:t>
      </w:r>
      <w:r w:rsidR="00B508AD">
        <w:t xml:space="preserve">primarily </w:t>
      </w:r>
      <w:r w:rsidR="00E77347">
        <w:t>driven by</w:t>
      </w:r>
      <w:r w:rsidR="00A31477" w:rsidRPr="00A31477">
        <w:t xml:space="preserve"> the </w:t>
      </w:r>
      <w:r w:rsidR="00283852">
        <w:t>p</w:t>
      </w:r>
      <w:r w:rsidR="00A31477" w:rsidRPr="00A31477">
        <w:t>ublic health care sector. A small proportion of the increase came from organisations that did not have available data in previous reporting periods, or that were new duty holders in 2025</w:t>
      </w:r>
      <w:r w:rsidR="00B508AD">
        <w:t>.</w:t>
      </w:r>
      <w:r w:rsidRPr="008B365F">
        <w:t xml:space="preserve"> </w:t>
      </w:r>
      <w:r w:rsidR="00E6558A">
        <w:t>These</w:t>
      </w:r>
      <w:r w:rsidR="00A21E93">
        <w:t xml:space="preserve"> </w:t>
      </w:r>
      <w:r w:rsidR="00DD4186">
        <w:t xml:space="preserve">shifts </w:t>
      </w:r>
      <w:r w:rsidR="00305EF3">
        <w:t>sit</w:t>
      </w:r>
      <w:r w:rsidRPr="008B365F">
        <w:t xml:space="preserve"> firmly within an overall finding of insufficient progress. Sexual harassment is a serious work health and safety issue with lasting effects on individuals and organisations. It is always unacceptable, and organisations have a legal duty to prevent it and respond appropriately</w:t>
      </w:r>
      <w:r w:rsidR="003F5FD1">
        <w:t xml:space="preserve"> when incidents occur</w:t>
      </w:r>
      <w:r w:rsidR="00193BB2">
        <w:t>.</w:t>
      </w:r>
    </w:p>
    <w:p w14:paraId="5A7CA0CD" w14:textId="6F3500B6" w:rsidR="00564ED0" w:rsidRPr="00D106FB" w:rsidRDefault="00326B9B" w:rsidP="0078531C">
      <w:pPr>
        <w:pStyle w:val="BodyText"/>
      </w:pPr>
      <w:r w:rsidRPr="006A1DB5">
        <w:rPr>
          <w:lang w:eastAsia="en-AU"/>
        </w:rPr>
        <w:t xml:space="preserve">Key data measures are presented in Tables </w:t>
      </w:r>
      <w:r w:rsidRPr="00062527">
        <w:rPr>
          <w:lang w:eastAsia="en-AU"/>
        </w:rPr>
        <w:t>4.1 to 4.</w:t>
      </w:r>
      <w:r w:rsidR="00062527" w:rsidRPr="00062527">
        <w:rPr>
          <w:lang w:eastAsia="en-AU"/>
        </w:rPr>
        <w:t>3</w:t>
      </w:r>
      <w:r w:rsidRPr="006A1DB5">
        <w:rPr>
          <w:lang w:eastAsia="en-AU"/>
        </w:rPr>
        <w:t>. Findings are discussed in further detail after the tables</w:t>
      </w:r>
      <w:r>
        <w:rPr>
          <w:lang w:eastAsia="en-AU"/>
        </w:rPr>
        <w:t>.</w:t>
      </w:r>
    </w:p>
    <w:p w14:paraId="46C087B9" w14:textId="12ACED60" w:rsidR="00AE5A1E" w:rsidRPr="00AE5A1E" w:rsidRDefault="00AE5A1E" w:rsidP="00423D5D">
      <w:pPr>
        <w:pStyle w:val="Tablecaption"/>
        <w:rPr>
          <w:lang w:eastAsia="en-AU"/>
        </w:rPr>
      </w:pPr>
      <w:r w:rsidRPr="00AE5A1E">
        <w:rPr>
          <w:lang w:eastAsia="en-AU"/>
        </w:rPr>
        <w:t xml:space="preserve">Table 4.1: Sexual </w:t>
      </w:r>
      <w:r w:rsidR="005A3519">
        <w:rPr>
          <w:lang w:eastAsia="en-AU"/>
        </w:rPr>
        <w:t>h</w:t>
      </w:r>
      <w:r w:rsidRPr="00AE5A1E">
        <w:rPr>
          <w:lang w:eastAsia="en-AU"/>
        </w:rPr>
        <w:t xml:space="preserve">arassment </w:t>
      </w:r>
      <w:r w:rsidR="005A3519">
        <w:rPr>
          <w:lang w:eastAsia="en-AU"/>
        </w:rPr>
        <w:t>e</w:t>
      </w:r>
      <w:r w:rsidRPr="00AE5A1E">
        <w:rPr>
          <w:lang w:eastAsia="en-AU"/>
        </w:rPr>
        <w:t>xperience</w:t>
      </w:r>
    </w:p>
    <w:tbl>
      <w:tblPr>
        <w:tblStyle w:val="CGEPStable"/>
        <w:tblW w:w="0" w:type="auto"/>
        <w:tblLook w:val="04A0" w:firstRow="1" w:lastRow="0" w:firstColumn="1" w:lastColumn="0" w:noHBand="0" w:noVBand="1"/>
      </w:tblPr>
      <w:tblGrid>
        <w:gridCol w:w="2542"/>
        <w:gridCol w:w="1279"/>
        <w:gridCol w:w="1045"/>
        <w:gridCol w:w="812"/>
        <w:gridCol w:w="1144"/>
        <w:gridCol w:w="1349"/>
        <w:gridCol w:w="1127"/>
      </w:tblGrid>
      <w:tr w:rsidR="00B06D26" w:rsidRPr="003365E2" w14:paraId="09FB1EB5" w14:textId="77777777" w:rsidTr="009F54E2">
        <w:trPr>
          <w:cnfStyle w:val="100000000000" w:firstRow="1" w:lastRow="0" w:firstColumn="0" w:lastColumn="0" w:oddVBand="0" w:evenVBand="0" w:oddHBand="0" w:evenHBand="0" w:firstRowFirstColumn="0" w:firstRowLastColumn="0" w:lastRowFirstColumn="0" w:lastRowLastColumn="0"/>
        </w:trPr>
        <w:tc>
          <w:tcPr>
            <w:tcW w:w="2714" w:type="dxa"/>
            <w:hideMark/>
          </w:tcPr>
          <w:p w14:paraId="6323920E" w14:textId="77777777" w:rsidR="00AD6729" w:rsidRPr="00AE5A1E" w:rsidRDefault="00AD6729" w:rsidP="00423D5D">
            <w:pPr>
              <w:pStyle w:val="Tablecolhead"/>
              <w:rPr>
                <w:lang w:eastAsia="en-AU"/>
              </w:rPr>
            </w:pPr>
            <w:r w:rsidRPr="00327BF4">
              <w:rPr>
                <w:lang w:eastAsia="en-AU"/>
              </w:rPr>
              <w:t>Measure</w:t>
            </w:r>
          </w:p>
        </w:tc>
        <w:tc>
          <w:tcPr>
            <w:tcW w:w="1127" w:type="dxa"/>
          </w:tcPr>
          <w:p w14:paraId="34493CC1" w14:textId="59B210B0" w:rsidR="00AD6729" w:rsidRPr="00AE5A1E" w:rsidRDefault="00AD6729" w:rsidP="00423D5D">
            <w:pPr>
              <w:pStyle w:val="Tablecolhead"/>
              <w:rPr>
                <w:lang w:eastAsia="en-AU"/>
              </w:rPr>
            </w:pPr>
            <w:r>
              <w:rPr>
                <w:lang w:eastAsia="en-AU"/>
              </w:rPr>
              <w:t>Gender</w:t>
            </w:r>
          </w:p>
        </w:tc>
        <w:tc>
          <w:tcPr>
            <w:tcW w:w="972" w:type="dxa"/>
            <w:hideMark/>
          </w:tcPr>
          <w:p w14:paraId="66A718B9" w14:textId="77777777" w:rsidR="00AD6729" w:rsidRPr="00AE5A1E" w:rsidRDefault="00AD6729" w:rsidP="00423D5D">
            <w:pPr>
              <w:pStyle w:val="Tablecolhead"/>
              <w:rPr>
                <w:lang w:eastAsia="en-AU"/>
              </w:rPr>
            </w:pPr>
            <w:r w:rsidRPr="00AE5A1E">
              <w:rPr>
                <w:lang w:eastAsia="en-AU"/>
              </w:rPr>
              <w:t>2021</w:t>
            </w:r>
          </w:p>
        </w:tc>
        <w:tc>
          <w:tcPr>
            <w:tcW w:w="812" w:type="dxa"/>
            <w:hideMark/>
          </w:tcPr>
          <w:p w14:paraId="336C51CA" w14:textId="77777777" w:rsidR="00AD6729" w:rsidRPr="00AE5A1E" w:rsidRDefault="00AD6729" w:rsidP="00423D5D">
            <w:pPr>
              <w:pStyle w:val="Tablecolhead"/>
              <w:rPr>
                <w:lang w:eastAsia="en-AU"/>
              </w:rPr>
            </w:pPr>
            <w:r w:rsidRPr="00AE5A1E">
              <w:rPr>
                <w:lang w:eastAsia="en-AU"/>
              </w:rPr>
              <w:t>2023</w:t>
            </w:r>
          </w:p>
        </w:tc>
        <w:tc>
          <w:tcPr>
            <w:tcW w:w="1197" w:type="dxa"/>
            <w:hideMark/>
          </w:tcPr>
          <w:p w14:paraId="5D8A9164" w14:textId="77777777" w:rsidR="00AD6729" w:rsidRPr="00AE5A1E" w:rsidRDefault="00AD6729" w:rsidP="00423D5D">
            <w:pPr>
              <w:pStyle w:val="Tablecolhead"/>
              <w:rPr>
                <w:lang w:eastAsia="en-AU"/>
              </w:rPr>
            </w:pPr>
            <w:r w:rsidRPr="00AE5A1E">
              <w:rPr>
                <w:lang w:eastAsia="en-AU"/>
              </w:rPr>
              <w:t>2025</w:t>
            </w:r>
          </w:p>
        </w:tc>
        <w:tc>
          <w:tcPr>
            <w:tcW w:w="1349" w:type="dxa"/>
            <w:hideMark/>
          </w:tcPr>
          <w:p w14:paraId="27F88F75" w14:textId="4F2E2CE0" w:rsidR="00AD6729" w:rsidRPr="00AE5A1E" w:rsidRDefault="00F02C0C" w:rsidP="00423D5D">
            <w:pPr>
              <w:pStyle w:val="Tablecolhead"/>
              <w:rPr>
                <w:lang w:eastAsia="en-AU"/>
              </w:rPr>
            </w:pPr>
            <w:r>
              <w:rPr>
                <w:lang w:eastAsia="en-AU"/>
              </w:rPr>
              <w:t xml:space="preserve">Percentage </w:t>
            </w:r>
            <w:r w:rsidR="005A3519">
              <w:rPr>
                <w:bCs/>
                <w:lang w:eastAsia="en-AU"/>
              </w:rPr>
              <w:t>p</w:t>
            </w:r>
            <w:r>
              <w:rPr>
                <w:bCs/>
                <w:lang w:eastAsia="en-AU"/>
              </w:rPr>
              <w:t xml:space="preserve">oint </w:t>
            </w:r>
            <w:r w:rsidR="005A3519">
              <w:rPr>
                <w:bCs/>
                <w:lang w:eastAsia="en-AU"/>
              </w:rPr>
              <w:t>c</w:t>
            </w:r>
            <w:r w:rsidRPr="00AE5A1E">
              <w:rPr>
                <w:bCs/>
                <w:lang w:eastAsia="en-AU"/>
              </w:rPr>
              <w:t>hange</w:t>
            </w:r>
            <w:r>
              <w:rPr>
                <w:lang w:eastAsia="en-AU"/>
              </w:rPr>
              <w:t xml:space="preserve"> </w:t>
            </w:r>
            <w:r w:rsidR="00AD6729">
              <w:rPr>
                <w:lang w:eastAsia="en-AU"/>
              </w:rPr>
              <w:t>2021</w:t>
            </w:r>
            <w:r w:rsidR="00BE46C0">
              <w:rPr>
                <w:bCs/>
                <w:lang w:eastAsia="en-AU"/>
              </w:rPr>
              <w:t>-</w:t>
            </w:r>
            <w:r w:rsidR="00AD6729">
              <w:rPr>
                <w:lang w:eastAsia="en-AU"/>
              </w:rPr>
              <w:t xml:space="preserve">2025 </w:t>
            </w:r>
          </w:p>
        </w:tc>
        <w:tc>
          <w:tcPr>
            <w:tcW w:w="1127" w:type="dxa"/>
            <w:hideMark/>
          </w:tcPr>
          <w:p w14:paraId="05A44516" w14:textId="5F83C148" w:rsidR="00AD6729" w:rsidRPr="00AE5A1E" w:rsidRDefault="00AD6729" w:rsidP="00423D5D">
            <w:pPr>
              <w:pStyle w:val="Tablecolhead"/>
              <w:rPr>
                <w:lang w:eastAsia="en-AU"/>
              </w:rPr>
            </w:pPr>
            <w:r>
              <w:rPr>
                <w:lang w:eastAsia="en-AU"/>
              </w:rPr>
              <w:t>Progress</w:t>
            </w:r>
          </w:p>
        </w:tc>
      </w:tr>
      <w:tr w:rsidR="00D36EEC" w:rsidRPr="003365E2" w14:paraId="52781FF9" w14:textId="77777777" w:rsidTr="009F54E2">
        <w:tc>
          <w:tcPr>
            <w:tcW w:w="2714" w:type="dxa"/>
            <w:vMerge w:val="restart"/>
            <w:hideMark/>
          </w:tcPr>
          <w:p w14:paraId="01D5C4B3" w14:textId="61A4F2CD" w:rsidR="00D36EEC" w:rsidRPr="003365E2" w:rsidRDefault="005416F4" w:rsidP="00423D5D">
            <w:pPr>
              <w:pStyle w:val="Tabletext"/>
              <w:rPr>
                <w:lang w:eastAsia="en-AU"/>
              </w:rPr>
            </w:pPr>
            <w:r w:rsidRPr="00B952CD">
              <w:t>Survey respondents</w:t>
            </w:r>
            <w:r>
              <w:t xml:space="preserve"> </w:t>
            </w:r>
            <w:r w:rsidRPr="00D22434">
              <w:t>who said they</w:t>
            </w:r>
            <w:r>
              <w:t xml:space="preserve"> </w:t>
            </w:r>
            <w:r w:rsidRPr="00D22434">
              <w:t>experienced sexual</w:t>
            </w:r>
            <w:r>
              <w:t xml:space="preserve"> </w:t>
            </w:r>
            <w:r w:rsidRPr="00D22434">
              <w:t xml:space="preserve">harassment at </w:t>
            </w:r>
            <w:r w:rsidR="005365A1" w:rsidRPr="00D22434">
              <w:t>work</w:t>
            </w:r>
          </w:p>
        </w:tc>
        <w:tc>
          <w:tcPr>
            <w:tcW w:w="1127" w:type="dxa"/>
          </w:tcPr>
          <w:p w14:paraId="6E318987" w14:textId="5E3E1A59" w:rsidR="00D36EEC" w:rsidRDefault="00D36EEC" w:rsidP="00423D5D">
            <w:pPr>
              <w:pStyle w:val="Tabletext"/>
              <w:rPr>
                <w:lang w:eastAsia="en-AU"/>
              </w:rPr>
            </w:pPr>
            <w:r>
              <w:rPr>
                <w:lang w:eastAsia="en-AU"/>
              </w:rPr>
              <w:t>Women</w:t>
            </w:r>
          </w:p>
        </w:tc>
        <w:tc>
          <w:tcPr>
            <w:tcW w:w="972" w:type="dxa"/>
            <w:hideMark/>
          </w:tcPr>
          <w:p w14:paraId="404CF7C6" w14:textId="5CED1EB6" w:rsidR="00D36EEC" w:rsidRPr="003365E2" w:rsidRDefault="00F15DF7" w:rsidP="00657F8F">
            <w:pPr>
              <w:pStyle w:val="Tabletext"/>
              <w:rPr>
                <w:lang w:eastAsia="en-AU"/>
              </w:rPr>
            </w:pPr>
            <w:r>
              <w:rPr>
                <w:lang w:eastAsia="en-AU"/>
              </w:rPr>
              <w:t>6.5%</w:t>
            </w:r>
          </w:p>
        </w:tc>
        <w:tc>
          <w:tcPr>
            <w:tcW w:w="812" w:type="dxa"/>
            <w:hideMark/>
          </w:tcPr>
          <w:p w14:paraId="5ECCD2C0" w14:textId="38408D37" w:rsidR="00D36EEC" w:rsidRPr="003365E2" w:rsidRDefault="00F15DF7" w:rsidP="00657F8F">
            <w:pPr>
              <w:pStyle w:val="Tabletext"/>
              <w:rPr>
                <w:lang w:eastAsia="en-AU"/>
              </w:rPr>
            </w:pPr>
            <w:r>
              <w:rPr>
                <w:lang w:eastAsia="en-AU"/>
              </w:rPr>
              <w:t>6.</w:t>
            </w:r>
            <w:r w:rsidR="00CB6D28">
              <w:rPr>
                <w:lang w:eastAsia="en-AU"/>
              </w:rPr>
              <w:t>6</w:t>
            </w:r>
            <w:r>
              <w:rPr>
                <w:lang w:eastAsia="en-AU"/>
              </w:rPr>
              <w:t>%</w:t>
            </w:r>
          </w:p>
        </w:tc>
        <w:tc>
          <w:tcPr>
            <w:tcW w:w="1197" w:type="dxa"/>
            <w:hideMark/>
          </w:tcPr>
          <w:p w14:paraId="72BDE83D" w14:textId="76BF153B" w:rsidR="00D36EEC" w:rsidRPr="003365E2" w:rsidRDefault="00F15DF7" w:rsidP="00657F8F">
            <w:pPr>
              <w:pStyle w:val="Tabletext"/>
              <w:rPr>
                <w:lang w:eastAsia="en-AU"/>
              </w:rPr>
            </w:pPr>
            <w:r>
              <w:rPr>
                <w:lang w:eastAsia="en-AU"/>
              </w:rPr>
              <w:t>6</w:t>
            </w:r>
            <w:r w:rsidR="00CB6D28">
              <w:rPr>
                <w:lang w:eastAsia="en-AU"/>
              </w:rPr>
              <w:t>.4%</w:t>
            </w:r>
          </w:p>
        </w:tc>
        <w:tc>
          <w:tcPr>
            <w:tcW w:w="1349" w:type="dxa"/>
            <w:hideMark/>
          </w:tcPr>
          <w:p w14:paraId="7A8359DA" w14:textId="3BF1FB6D" w:rsidR="00D36EEC" w:rsidRPr="003365E2" w:rsidRDefault="00CB6D28" w:rsidP="00423D5D">
            <w:pPr>
              <w:pStyle w:val="Tabletext"/>
              <w:rPr>
                <w:lang w:eastAsia="en-AU"/>
              </w:rPr>
            </w:pPr>
            <w:r>
              <w:rPr>
                <w:lang w:eastAsia="en-AU"/>
              </w:rPr>
              <w:t>-0.04pp</w:t>
            </w:r>
          </w:p>
        </w:tc>
        <w:tc>
          <w:tcPr>
            <w:tcW w:w="1127" w:type="dxa"/>
            <w:hideMark/>
          </w:tcPr>
          <w:p w14:paraId="1C1AFD67" w14:textId="3AB38810" w:rsidR="00D36EEC" w:rsidRPr="003365E2" w:rsidRDefault="00FF2895" w:rsidP="00423D5D">
            <w:pPr>
              <w:pStyle w:val="Tabletext"/>
              <w:rPr>
                <w:lang w:eastAsia="en-AU"/>
              </w:rPr>
            </w:pPr>
            <w:r>
              <w:rPr>
                <w:lang w:eastAsia="en-AU"/>
              </w:rPr>
              <w:t>Poor (8</w:t>
            </w:r>
            <w:r w:rsidR="00BB009E">
              <w:rPr>
                <w:rFonts w:cs="Arial"/>
                <w:szCs w:val="21"/>
                <w:lang w:eastAsia="en-AU"/>
              </w:rPr>
              <w:t xml:space="preserve"> – Matrix</w:t>
            </w:r>
            <w:r>
              <w:rPr>
                <w:lang w:eastAsia="en-AU"/>
              </w:rPr>
              <w:t>)</w:t>
            </w:r>
          </w:p>
        </w:tc>
      </w:tr>
      <w:tr w:rsidR="00D36EEC" w:rsidRPr="003365E2" w14:paraId="55667F28" w14:textId="77777777" w:rsidTr="009F54E2">
        <w:tc>
          <w:tcPr>
            <w:tcW w:w="2714" w:type="dxa"/>
            <w:vMerge/>
          </w:tcPr>
          <w:p w14:paraId="50C9C7CE" w14:textId="77777777" w:rsidR="00D36EEC" w:rsidRDefault="00D36EEC" w:rsidP="00423D5D">
            <w:pPr>
              <w:pStyle w:val="Tabletext"/>
              <w:rPr>
                <w:lang w:eastAsia="en-AU"/>
              </w:rPr>
            </w:pPr>
          </w:p>
        </w:tc>
        <w:tc>
          <w:tcPr>
            <w:tcW w:w="1127" w:type="dxa"/>
          </w:tcPr>
          <w:p w14:paraId="54851AF1" w14:textId="694F6AE6" w:rsidR="00D36EEC" w:rsidRDefault="00D36EEC" w:rsidP="00423D5D">
            <w:pPr>
              <w:pStyle w:val="Tabletext"/>
              <w:rPr>
                <w:lang w:eastAsia="en-AU"/>
              </w:rPr>
            </w:pPr>
            <w:r>
              <w:rPr>
                <w:lang w:eastAsia="en-AU"/>
              </w:rPr>
              <w:t>Men</w:t>
            </w:r>
          </w:p>
        </w:tc>
        <w:tc>
          <w:tcPr>
            <w:tcW w:w="972" w:type="dxa"/>
          </w:tcPr>
          <w:p w14:paraId="68030A0B" w14:textId="0ECDD785" w:rsidR="00D36EEC" w:rsidRDefault="00365231" w:rsidP="00657F8F">
            <w:pPr>
              <w:pStyle w:val="Tabletext"/>
              <w:rPr>
                <w:lang w:eastAsia="en-AU"/>
              </w:rPr>
            </w:pPr>
            <w:r>
              <w:rPr>
                <w:lang w:eastAsia="en-AU"/>
              </w:rPr>
              <w:t>3.6%</w:t>
            </w:r>
          </w:p>
        </w:tc>
        <w:tc>
          <w:tcPr>
            <w:tcW w:w="812" w:type="dxa"/>
          </w:tcPr>
          <w:p w14:paraId="57A52A87" w14:textId="08A85816" w:rsidR="00D36EEC" w:rsidRPr="003365E2" w:rsidRDefault="00365231" w:rsidP="00657F8F">
            <w:pPr>
              <w:pStyle w:val="Tabletext"/>
              <w:rPr>
                <w:lang w:eastAsia="en-AU"/>
              </w:rPr>
            </w:pPr>
            <w:r>
              <w:rPr>
                <w:lang w:eastAsia="en-AU"/>
              </w:rPr>
              <w:t>3.5%</w:t>
            </w:r>
          </w:p>
        </w:tc>
        <w:tc>
          <w:tcPr>
            <w:tcW w:w="1197" w:type="dxa"/>
          </w:tcPr>
          <w:p w14:paraId="765D5169" w14:textId="4CD6391A" w:rsidR="00D36EEC" w:rsidRPr="003365E2" w:rsidRDefault="00365231" w:rsidP="00657F8F">
            <w:pPr>
              <w:pStyle w:val="Tabletext"/>
              <w:rPr>
                <w:lang w:eastAsia="en-AU"/>
              </w:rPr>
            </w:pPr>
            <w:r>
              <w:rPr>
                <w:lang w:eastAsia="en-AU"/>
              </w:rPr>
              <w:t>3.5%</w:t>
            </w:r>
          </w:p>
        </w:tc>
        <w:tc>
          <w:tcPr>
            <w:tcW w:w="1349" w:type="dxa"/>
          </w:tcPr>
          <w:p w14:paraId="75091736" w14:textId="1798DA2C" w:rsidR="00D36EEC" w:rsidRPr="003365E2" w:rsidRDefault="00365231" w:rsidP="00423D5D">
            <w:pPr>
              <w:pStyle w:val="Tabletext"/>
              <w:rPr>
                <w:lang w:eastAsia="en-AU"/>
              </w:rPr>
            </w:pPr>
            <w:r>
              <w:rPr>
                <w:lang w:eastAsia="en-AU"/>
              </w:rPr>
              <w:t>-0.05pp</w:t>
            </w:r>
          </w:p>
        </w:tc>
        <w:tc>
          <w:tcPr>
            <w:tcW w:w="1127" w:type="dxa"/>
          </w:tcPr>
          <w:p w14:paraId="78CC6C5F" w14:textId="7305E8E1" w:rsidR="00D36EEC" w:rsidRDefault="00F4108F" w:rsidP="00423D5D">
            <w:pPr>
              <w:pStyle w:val="Tabletext"/>
              <w:rPr>
                <w:lang w:eastAsia="en-AU"/>
              </w:rPr>
            </w:pPr>
            <w:r>
              <w:rPr>
                <w:lang w:eastAsia="en-AU"/>
              </w:rPr>
              <w:t>Moderate</w:t>
            </w:r>
            <w:r w:rsidR="00FF2895">
              <w:rPr>
                <w:lang w:eastAsia="en-AU"/>
              </w:rPr>
              <w:t xml:space="preserve"> (9</w:t>
            </w:r>
            <w:r w:rsidR="00BB009E">
              <w:rPr>
                <w:rFonts w:cs="Arial"/>
                <w:szCs w:val="21"/>
                <w:lang w:eastAsia="en-AU"/>
              </w:rPr>
              <w:t xml:space="preserve"> – Matrix</w:t>
            </w:r>
            <w:r w:rsidR="00FF2895">
              <w:rPr>
                <w:lang w:eastAsia="en-AU"/>
              </w:rPr>
              <w:t>)</w:t>
            </w:r>
          </w:p>
        </w:tc>
      </w:tr>
      <w:tr w:rsidR="009F54E2" w:rsidRPr="003365E2" w14:paraId="61D9DF1C" w14:textId="77777777" w:rsidTr="009A6C95">
        <w:tc>
          <w:tcPr>
            <w:tcW w:w="2714" w:type="dxa"/>
            <w:vMerge/>
          </w:tcPr>
          <w:p w14:paraId="5C443AB5" w14:textId="77777777" w:rsidR="00D36EEC" w:rsidRDefault="00D36EEC" w:rsidP="00423D5D">
            <w:pPr>
              <w:pStyle w:val="Tabletext"/>
              <w:rPr>
                <w:lang w:eastAsia="en-AU"/>
              </w:rPr>
            </w:pPr>
          </w:p>
        </w:tc>
        <w:tc>
          <w:tcPr>
            <w:tcW w:w="1127" w:type="dxa"/>
          </w:tcPr>
          <w:p w14:paraId="408D1B1A" w14:textId="3BFFF959" w:rsidR="00D36EEC" w:rsidRDefault="00D36EEC" w:rsidP="00423D5D">
            <w:pPr>
              <w:pStyle w:val="Tabletext"/>
              <w:rPr>
                <w:lang w:eastAsia="en-AU"/>
              </w:rPr>
            </w:pPr>
            <w:r>
              <w:rPr>
                <w:lang w:eastAsia="en-AU"/>
              </w:rPr>
              <w:t xml:space="preserve">Self-described </w:t>
            </w:r>
          </w:p>
        </w:tc>
        <w:tc>
          <w:tcPr>
            <w:tcW w:w="972" w:type="dxa"/>
          </w:tcPr>
          <w:p w14:paraId="00559D20" w14:textId="588160A1" w:rsidR="00D36EEC" w:rsidRDefault="00FF2895" w:rsidP="00423D5D">
            <w:pPr>
              <w:pStyle w:val="Tabletext"/>
              <w:rPr>
                <w:lang w:eastAsia="en-AU"/>
              </w:rPr>
            </w:pPr>
            <w:r>
              <w:rPr>
                <w:lang w:eastAsia="en-AU"/>
              </w:rPr>
              <w:t>12.7%</w:t>
            </w:r>
          </w:p>
        </w:tc>
        <w:tc>
          <w:tcPr>
            <w:tcW w:w="812" w:type="dxa"/>
          </w:tcPr>
          <w:p w14:paraId="6F797E95" w14:textId="4F66CB58" w:rsidR="00D36EEC" w:rsidRDefault="00FF2895" w:rsidP="00423D5D">
            <w:pPr>
              <w:pStyle w:val="Tabletext"/>
              <w:rPr>
                <w:lang w:eastAsia="en-AU"/>
              </w:rPr>
            </w:pPr>
            <w:r>
              <w:rPr>
                <w:lang w:eastAsia="en-AU"/>
              </w:rPr>
              <w:t>13.7%</w:t>
            </w:r>
          </w:p>
        </w:tc>
        <w:tc>
          <w:tcPr>
            <w:tcW w:w="1197" w:type="dxa"/>
          </w:tcPr>
          <w:p w14:paraId="22FA0F8C" w14:textId="1083D2B9" w:rsidR="00D36EEC" w:rsidRDefault="00FF2895" w:rsidP="00423D5D">
            <w:pPr>
              <w:pStyle w:val="Tabletext"/>
              <w:rPr>
                <w:lang w:eastAsia="en-AU"/>
              </w:rPr>
            </w:pPr>
            <w:r>
              <w:rPr>
                <w:lang w:eastAsia="en-AU"/>
              </w:rPr>
              <w:t>16.9%</w:t>
            </w:r>
          </w:p>
        </w:tc>
        <w:tc>
          <w:tcPr>
            <w:tcW w:w="1349" w:type="dxa"/>
          </w:tcPr>
          <w:p w14:paraId="6E3321A2" w14:textId="35284EEF" w:rsidR="00D36EEC" w:rsidRPr="003365E2" w:rsidRDefault="00FF2895" w:rsidP="00423D5D">
            <w:pPr>
              <w:pStyle w:val="Tabletext"/>
              <w:rPr>
                <w:lang w:eastAsia="en-AU"/>
              </w:rPr>
            </w:pPr>
            <w:r>
              <w:rPr>
                <w:lang w:eastAsia="en-AU"/>
              </w:rPr>
              <w:t>+4.18pp</w:t>
            </w:r>
          </w:p>
        </w:tc>
        <w:tc>
          <w:tcPr>
            <w:tcW w:w="1127" w:type="dxa"/>
          </w:tcPr>
          <w:p w14:paraId="3A9E3166" w14:textId="250B42B6" w:rsidR="00D36EEC" w:rsidRDefault="00E35591" w:rsidP="00423D5D">
            <w:pPr>
              <w:pStyle w:val="Tabletext"/>
              <w:rPr>
                <w:lang w:eastAsia="en-AU"/>
              </w:rPr>
            </w:pPr>
            <w:r>
              <w:rPr>
                <w:rFonts w:cs="Arial"/>
                <w:szCs w:val="21"/>
                <w:lang w:eastAsia="en-AU"/>
              </w:rPr>
              <w:t>n/a</w:t>
            </w:r>
          </w:p>
        </w:tc>
      </w:tr>
      <w:tr w:rsidR="009F54E2" w:rsidRPr="003365E2" w14:paraId="457322DB" w14:textId="77777777" w:rsidTr="009F54E2">
        <w:tc>
          <w:tcPr>
            <w:tcW w:w="2714" w:type="dxa"/>
            <w:vMerge w:val="restart"/>
            <w:hideMark/>
          </w:tcPr>
          <w:p w14:paraId="656F7F34" w14:textId="7D12D94C" w:rsidR="009F54E2" w:rsidRPr="003365E2" w:rsidRDefault="00640C63" w:rsidP="00423D5D">
            <w:pPr>
              <w:pStyle w:val="Tabletext"/>
              <w:rPr>
                <w:lang w:eastAsia="en-AU"/>
              </w:rPr>
            </w:pPr>
            <w:r>
              <w:rPr>
                <w:lang w:eastAsia="en-AU"/>
              </w:rPr>
              <w:t>Proportion of respondents who said they experienced sexual harassment, who also said they reported it</w:t>
            </w:r>
          </w:p>
        </w:tc>
        <w:tc>
          <w:tcPr>
            <w:tcW w:w="1127" w:type="dxa"/>
          </w:tcPr>
          <w:p w14:paraId="41927E05" w14:textId="619AA4B0" w:rsidR="009F54E2" w:rsidRDefault="009F54E2" w:rsidP="00423D5D">
            <w:pPr>
              <w:pStyle w:val="Tabletext"/>
              <w:rPr>
                <w:lang w:eastAsia="en-AU"/>
              </w:rPr>
            </w:pPr>
            <w:r>
              <w:rPr>
                <w:lang w:eastAsia="en-AU"/>
              </w:rPr>
              <w:t>Women</w:t>
            </w:r>
          </w:p>
        </w:tc>
        <w:tc>
          <w:tcPr>
            <w:tcW w:w="972" w:type="dxa"/>
            <w:hideMark/>
          </w:tcPr>
          <w:p w14:paraId="016FCF60" w14:textId="392E1E56" w:rsidR="009F54E2" w:rsidRPr="003365E2" w:rsidRDefault="009F54E2" w:rsidP="00657F8F">
            <w:pPr>
              <w:pStyle w:val="Tabletext"/>
              <w:rPr>
                <w:lang w:eastAsia="en-AU"/>
              </w:rPr>
            </w:pPr>
            <w:r>
              <w:rPr>
                <w:lang w:eastAsia="en-AU"/>
              </w:rPr>
              <w:t>4.6%</w:t>
            </w:r>
          </w:p>
        </w:tc>
        <w:tc>
          <w:tcPr>
            <w:tcW w:w="812" w:type="dxa"/>
            <w:hideMark/>
          </w:tcPr>
          <w:p w14:paraId="3973556A" w14:textId="2FF5F9F8" w:rsidR="009F54E2" w:rsidRPr="003365E2" w:rsidRDefault="009F54E2" w:rsidP="00657F8F">
            <w:pPr>
              <w:pStyle w:val="Tabletext"/>
              <w:rPr>
                <w:lang w:eastAsia="en-AU"/>
              </w:rPr>
            </w:pPr>
            <w:r>
              <w:rPr>
                <w:lang w:eastAsia="en-AU"/>
              </w:rPr>
              <w:t>6.9%</w:t>
            </w:r>
          </w:p>
        </w:tc>
        <w:tc>
          <w:tcPr>
            <w:tcW w:w="1197" w:type="dxa"/>
            <w:hideMark/>
          </w:tcPr>
          <w:p w14:paraId="18A09E8D" w14:textId="69730185" w:rsidR="009F54E2" w:rsidRPr="003365E2" w:rsidRDefault="009F54E2" w:rsidP="00657F8F">
            <w:pPr>
              <w:pStyle w:val="Tabletext"/>
              <w:rPr>
                <w:lang w:eastAsia="en-AU"/>
              </w:rPr>
            </w:pPr>
            <w:r>
              <w:rPr>
                <w:lang w:eastAsia="en-AU"/>
              </w:rPr>
              <w:t>7.3%</w:t>
            </w:r>
          </w:p>
        </w:tc>
        <w:tc>
          <w:tcPr>
            <w:tcW w:w="1349" w:type="dxa"/>
            <w:hideMark/>
          </w:tcPr>
          <w:p w14:paraId="64EF3A66" w14:textId="684AD302" w:rsidR="009F54E2" w:rsidRPr="003365E2" w:rsidRDefault="009F54E2" w:rsidP="00423D5D">
            <w:pPr>
              <w:pStyle w:val="Tabletext"/>
              <w:rPr>
                <w:lang w:eastAsia="en-AU"/>
              </w:rPr>
            </w:pPr>
            <w:r>
              <w:rPr>
                <w:lang w:eastAsia="en-AU"/>
              </w:rPr>
              <w:t>+2.75pp</w:t>
            </w:r>
          </w:p>
        </w:tc>
        <w:tc>
          <w:tcPr>
            <w:tcW w:w="1127" w:type="dxa"/>
            <w:hideMark/>
          </w:tcPr>
          <w:p w14:paraId="48A03737" w14:textId="348FCCEB" w:rsidR="009F54E2" w:rsidRPr="003365E2" w:rsidRDefault="009F54E2" w:rsidP="00423D5D">
            <w:pPr>
              <w:pStyle w:val="Tabletext"/>
              <w:rPr>
                <w:lang w:eastAsia="en-AU"/>
              </w:rPr>
            </w:pPr>
            <w:r>
              <w:rPr>
                <w:lang w:eastAsia="en-AU"/>
              </w:rPr>
              <w:t>Poor (7</w:t>
            </w:r>
            <w:r w:rsidR="00BB009E">
              <w:rPr>
                <w:rFonts w:cs="Arial"/>
                <w:szCs w:val="21"/>
                <w:lang w:eastAsia="en-AU"/>
              </w:rPr>
              <w:t xml:space="preserve"> – Matrix</w:t>
            </w:r>
            <w:r>
              <w:rPr>
                <w:lang w:eastAsia="en-AU"/>
              </w:rPr>
              <w:t>)</w:t>
            </w:r>
          </w:p>
        </w:tc>
      </w:tr>
      <w:tr w:rsidR="009F54E2" w:rsidRPr="003365E2" w14:paraId="56DBF27F" w14:textId="77777777" w:rsidTr="009F54E2">
        <w:tc>
          <w:tcPr>
            <w:tcW w:w="2714" w:type="dxa"/>
            <w:vMerge/>
          </w:tcPr>
          <w:p w14:paraId="596D5914" w14:textId="77777777" w:rsidR="009F54E2" w:rsidRDefault="009F54E2" w:rsidP="00423D5D">
            <w:pPr>
              <w:pStyle w:val="Tabletext"/>
              <w:rPr>
                <w:lang w:eastAsia="en-AU"/>
              </w:rPr>
            </w:pPr>
          </w:p>
        </w:tc>
        <w:tc>
          <w:tcPr>
            <w:tcW w:w="1127" w:type="dxa"/>
          </w:tcPr>
          <w:p w14:paraId="0CD2873B" w14:textId="7A972C6E" w:rsidR="009F54E2" w:rsidRDefault="009F54E2" w:rsidP="00423D5D">
            <w:pPr>
              <w:pStyle w:val="Tabletext"/>
              <w:rPr>
                <w:lang w:eastAsia="en-AU"/>
              </w:rPr>
            </w:pPr>
            <w:r>
              <w:rPr>
                <w:lang w:eastAsia="en-AU"/>
              </w:rPr>
              <w:t>Men</w:t>
            </w:r>
          </w:p>
        </w:tc>
        <w:tc>
          <w:tcPr>
            <w:tcW w:w="972" w:type="dxa"/>
          </w:tcPr>
          <w:p w14:paraId="52FF275C" w14:textId="6C948A06" w:rsidR="009F54E2" w:rsidRPr="003365E2" w:rsidRDefault="009F54E2" w:rsidP="00657F8F">
            <w:pPr>
              <w:pStyle w:val="Tabletext"/>
              <w:rPr>
                <w:lang w:eastAsia="en-AU"/>
              </w:rPr>
            </w:pPr>
            <w:r>
              <w:rPr>
                <w:lang w:eastAsia="en-AU"/>
              </w:rPr>
              <w:t>3.4%</w:t>
            </w:r>
          </w:p>
        </w:tc>
        <w:tc>
          <w:tcPr>
            <w:tcW w:w="812" w:type="dxa"/>
          </w:tcPr>
          <w:p w14:paraId="2195DF1F" w14:textId="59C3D4BF" w:rsidR="009F54E2" w:rsidRPr="003365E2" w:rsidRDefault="009F54E2" w:rsidP="00657F8F">
            <w:pPr>
              <w:pStyle w:val="Tabletext"/>
              <w:rPr>
                <w:lang w:eastAsia="en-AU"/>
              </w:rPr>
            </w:pPr>
            <w:r>
              <w:rPr>
                <w:lang w:eastAsia="en-AU"/>
              </w:rPr>
              <w:t>4.0%</w:t>
            </w:r>
          </w:p>
        </w:tc>
        <w:tc>
          <w:tcPr>
            <w:tcW w:w="1197" w:type="dxa"/>
          </w:tcPr>
          <w:p w14:paraId="0D9D74EB" w14:textId="7BF7C1B1" w:rsidR="009F54E2" w:rsidRPr="003365E2" w:rsidRDefault="009F54E2" w:rsidP="00657F8F">
            <w:pPr>
              <w:pStyle w:val="Tabletext"/>
              <w:rPr>
                <w:lang w:eastAsia="en-AU"/>
              </w:rPr>
            </w:pPr>
            <w:r>
              <w:rPr>
                <w:lang w:eastAsia="en-AU"/>
              </w:rPr>
              <w:t>4.2%</w:t>
            </w:r>
          </w:p>
        </w:tc>
        <w:tc>
          <w:tcPr>
            <w:tcW w:w="1349" w:type="dxa"/>
          </w:tcPr>
          <w:p w14:paraId="6C9B07E0" w14:textId="09290FD8" w:rsidR="009F54E2" w:rsidRPr="003365E2" w:rsidRDefault="009F54E2" w:rsidP="00423D5D">
            <w:pPr>
              <w:pStyle w:val="Tabletext"/>
              <w:rPr>
                <w:lang w:eastAsia="en-AU"/>
              </w:rPr>
            </w:pPr>
            <w:r>
              <w:rPr>
                <w:lang w:eastAsia="en-AU"/>
              </w:rPr>
              <w:t>+0</w:t>
            </w:r>
            <w:r w:rsidR="00A961B0">
              <w:rPr>
                <w:lang w:eastAsia="en-AU"/>
              </w:rPr>
              <w:t>.</w:t>
            </w:r>
            <w:r>
              <w:rPr>
                <w:lang w:eastAsia="en-AU"/>
              </w:rPr>
              <w:t>79pp</w:t>
            </w:r>
          </w:p>
        </w:tc>
        <w:tc>
          <w:tcPr>
            <w:tcW w:w="1127" w:type="dxa"/>
          </w:tcPr>
          <w:p w14:paraId="128A1889" w14:textId="63D14A4F" w:rsidR="009F54E2" w:rsidRPr="003365E2" w:rsidRDefault="009F54E2" w:rsidP="00423D5D">
            <w:pPr>
              <w:pStyle w:val="Tabletext"/>
              <w:rPr>
                <w:lang w:eastAsia="en-AU"/>
              </w:rPr>
            </w:pPr>
            <w:r>
              <w:rPr>
                <w:lang w:eastAsia="en-AU"/>
              </w:rPr>
              <w:t>Poor (7</w:t>
            </w:r>
            <w:r w:rsidR="00BB009E">
              <w:rPr>
                <w:rFonts w:cs="Arial"/>
                <w:szCs w:val="21"/>
                <w:lang w:eastAsia="en-AU"/>
              </w:rPr>
              <w:t xml:space="preserve"> – Matrix</w:t>
            </w:r>
            <w:r>
              <w:rPr>
                <w:lang w:eastAsia="en-AU"/>
              </w:rPr>
              <w:t>)</w:t>
            </w:r>
          </w:p>
        </w:tc>
      </w:tr>
      <w:tr w:rsidR="009F54E2" w:rsidRPr="003365E2" w14:paraId="5F7F0209" w14:textId="77777777" w:rsidTr="009F54E2">
        <w:tc>
          <w:tcPr>
            <w:tcW w:w="2714" w:type="dxa"/>
            <w:vMerge/>
          </w:tcPr>
          <w:p w14:paraId="127257B3" w14:textId="77777777" w:rsidR="009F54E2" w:rsidRDefault="009F54E2" w:rsidP="00423D5D">
            <w:pPr>
              <w:pStyle w:val="Tabletext"/>
              <w:rPr>
                <w:lang w:eastAsia="en-AU"/>
              </w:rPr>
            </w:pPr>
          </w:p>
        </w:tc>
        <w:tc>
          <w:tcPr>
            <w:tcW w:w="1127" w:type="dxa"/>
          </w:tcPr>
          <w:p w14:paraId="479B239A" w14:textId="2AD20364" w:rsidR="009F54E2" w:rsidRDefault="009F54E2" w:rsidP="00423D5D">
            <w:pPr>
              <w:pStyle w:val="Tabletext"/>
              <w:rPr>
                <w:lang w:eastAsia="en-AU"/>
              </w:rPr>
            </w:pPr>
            <w:r>
              <w:rPr>
                <w:lang w:eastAsia="en-AU"/>
              </w:rPr>
              <w:t>Self-described</w:t>
            </w:r>
          </w:p>
        </w:tc>
        <w:tc>
          <w:tcPr>
            <w:tcW w:w="972" w:type="dxa"/>
          </w:tcPr>
          <w:p w14:paraId="25B19FEA" w14:textId="1DAB5ED2" w:rsidR="009F54E2" w:rsidRDefault="009F54E2" w:rsidP="00423D5D">
            <w:pPr>
              <w:pStyle w:val="Tabletext"/>
              <w:rPr>
                <w:lang w:eastAsia="en-AU"/>
              </w:rPr>
            </w:pPr>
            <w:r>
              <w:rPr>
                <w:lang w:eastAsia="en-AU"/>
              </w:rPr>
              <w:t>4.2%</w:t>
            </w:r>
          </w:p>
        </w:tc>
        <w:tc>
          <w:tcPr>
            <w:tcW w:w="812" w:type="dxa"/>
          </w:tcPr>
          <w:p w14:paraId="2A50AD19" w14:textId="33901150" w:rsidR="009F54E2" w:rsidRDefault="002724C9" w:rsidP="00423D5D">
            <w:pPr>
              <w:pStyle w:val="Tabletext"/>
              <w:rPr>
                <w:lang w:eastAsia="en-AU"/>
              </w:rPr>
            </w:pPr>
            <w:r>
              <w:rPr>
                <w:lang w:eastAsia="en-AU"/>
              </w:rPr>
              <w:t>4.9%</w:t>
            </w:r>
          </w:p>
        </w:tc>
        <w:tc>
          <w:tcPr>
            <w:tcW w:w="1197" w:type="dxa"/>
          </w:tcPr>
          <w:p w14:paraId="740D70CB" w14:textId="6EBFF7B3" w:rsidR="009F54E2" w:rsidRDefault="002724C9" w:rsidP="00423D5D">
            <w:pPr>
              <w:pStyle w:val="Tabletext"/>
              <w:rPr>
                <w:lang w:eastAsia="en-AU"/>
              </w:rPr>
            </w:pPr>
            <w:r>
              <w:rPr>
                <w:lang w:eastAsia="en-AU"/>
              </w:rPr>
              <w:t>8.3%</w:t>
            </w:r>
          </w:p>
        </w:tc>
        <w:tc>
          <w:tcPr>
            <w:tcW w:w="1349" w:type="dxa"/>
          </w:tcPr>
          <w:p w14:paraId="42AD1E59" w14:textId="63260005" w:rsidR="009F54E2" w:rsidRDefault="002724C9" w:rsidP="00423D5D">
            <w:pPr>
              <w:pStyle w:val="Tabletext"/>
              <w:rPr>
                <w:lang w:eastAsia="en-AU"/>
              </w:rPr>
            </w:pPr>
            <w:r>
              <w:rPr>
                <w:lang w:eastAsia="en-AU"/>
              </w:rPr>
              <w:t>+4.06pp</w:t>
            </w:r>
          </w:p>
        </w:tc>
        <w:tc>
          <w:tcPr>
            <w:tcW w:w="1127" w:type="dxa"/>
            <w:shd w:val="clear" w:color="auto" w:fill="BFBFBF" w:themeFill="background1" w:themeFillShade="BF"/>
          </w:tcPr>
          <w:p w14:paraId="067206E4" w14:textId="5BA77A7E" w:rsidR="009F54E2" w:rsidRDefault="009F54E2" w:rsidP="00423D5D">
            <w:pPr>
              <w:pStyle w:val="Tabletext"/>
              <w:rPr>
                <w:lang w:eastAsia="en-AU"/>
              </w:rPr>
            </w:pPr>
            <w:r>
              <w:rPr>
                <w:lang w:eastAsia="en-AU"/>
              </w:rPr>
              <w:t>n/a</w:t>
            </w:r>
          </w:p>
        </w:tc>
      </w:tr>
      <w:tr w:rsidR="00B06D26" w:rsidRPr="003365E2" w14:paraId="6139B199" w14:textId="77777777" w:rsidTr="009A6C95">
        <w:tc>
          <w:tcPr>
            <w:tcW w:w="2714" w:type="dxa"/>
            <w:vMerge w:val="restart"/>
          </w:tcPr>
          <w:p w14:paraId="6D0CF848" w14:textId="383F26CD" w:rsidR="00AD6729" w:rsidRPr="003365E2" w:rsidRDefault="00AD6729" w:rsidP="00423D5D">
            <w:pPr>
              <w:pStyle w:val="Tabletext"/>
              <w:rPr>
                <w:lang w:eastAsia="en-AU"/>
              </w:rPr>
            </w:pPr>
            <w:r>
              <w:rPr>
                <w:lang w:eastAsia="en-AU"/>
              </w:rPr>
              <w:t xml:space="preserve">Number of </w:t>
            </w:r>
            <w:r w:rsidR="00E36B99">
              <w:rPr>
                <w:lang w:eastAsia="en-AU"/>
              </w:rPr>
              <w:t xml:space="preserve">complainants formally reporting sexual </w:t>
            </w:r>
            <w:r w:rsidR="00E36B99">
              <w:rPr>
                <w:lang w:eastAsia="en-AU"/>
              </w:rPr>
              <w:lastRenderedPageBreak/>
              <w:t>harassment</w:t>
            </w:r>
            <w:r>
              <w:rPr>
                <w:lang w:eastAsia="en-AU"/>
              </w:rPr>
              <w:t xml:space="preserve"> according to workforce data </w:t>
            </w:r>
          </w:p>
        </w:tc>
        <w:tc>
          <w:tcPr>
            <w:tcW w:w="1127" w:type="dxa"/>
          </w:tcPr>
          <w:p w14:paraId="2C47B943" w14:textId="759E0115" w:rsidR="00AD6729" w:rsidRDefault="000A14C3" w:rsidP="00423D5D">
            <w:pPr>
              <w:pStyle w:val="Tabletext"/>
              <w:rPr>
                <w:lang w:eastAsia="en-AU"/>
              </w:rPr>
            </w:pPr>
            <w:r>
              <w:rPr>
                <w:lang w:eastAsia="en-AU"/>
              </w:rPr>
              <w:lastRenderedPageBreak/>
              <w:t>Wom</w:t>
            </w:r>
            <w:r w:rsidR="00424A4F">
              <w:rPr>
                <w:lang w:eastAsia="en-AU"/>
              </w:rPr>
              <w:t>a</w:t>
            </w:r>
            <w:r>
              <w:rPr>
                <w:lang w:eastAsia="en-AU"/>
              </w:rPr>
              <w:t>n</w:t>
            </w:r>
            <w:r w:rsidR="00424A4F">
              <w:rPr>
                <w:lang w:eastAsia="en-AU"/>
              </w:rPr>
              <w:t xml:space="preserve"> or group of women</w:t>
            </w:r>
          </w:p>
        </w:tc>
        <w:tc>
          <w:tcPr>
            <w:tcW w:w="972" w:type="dxa"/>
          </w:tcPr>
          <w:p w14:paraId="1D9012FB" w14:textId="0D33CDAD" w:rsidR="00AD6729" w:rsidRPr="003365E2" w:rsidRDefault="00413EE6" w:rsidP="00423D5D">
            <w:pPr>
              <w:pStyle w:val="Tabletext"/>
              <w:rPr>
                <w:lang w:eastAsia="en-AU"/>
              </w:rPr>
            </w:pPr>
            <w:r>
              <w:rPr>
                <w:lang w:eastAsia="en-AU"/>
              </w:rPr>
              <w:t>844</w:t>
            </w:r>
          </w:p>
        </w:tc>
        <w:tc>
          <w:tcPr>
            <w:tcW w:w="812" w:type="dxa"/>
          </w:tcPr>
          <w:p w14:paraId="5FEAEB8B" w14:textId="3F57356A" w:rsidR="00AD6729" w:rsidRPr="003365E2" w:rsidRDefault="00B55781" w:rsidP="00657F8F">
            <w:pPr>
              <w:pStyle w:val="Tabletext"/>
              <w:rPr>
                <w:lang w:eastAsia="en-AU"/>
              </w:rPr>
            </w:pPr>
            <w:r>
              <w:rPr>
                <w:lang w:eastAsia="en-AU"/>
              </w:rPr>
              <w:t>61</w:t>
            </w:r>
            <w:r w:rsidR="00AA6CDB">
              <w:rPr>
                <w:lang w:eastAsia="en-AU"/>
              </w:rPr>
              <w:t>5</w:t>
            </w:r>
          </w:p>
        </w:tc>
        <w:tc>
          <w:tcPr>
            <w:tcW w:w="1197" w:type="dxa"/>
          </w:tcPr>
          <w:p w14:paraId="525B2636" w14:textId="6725A1BD" w:rsidR="00AD6729" w:rsidRPr="003365E2" w:rsidRDefault="00B55781" w:rsidP="00423D5D">
            <w:pPr>
              <w:pStyle w:val="Tabletext"/>
              <w:rPr>
                <w:lang w:eastAsia="en-AU"/>
              </w:rPr>
            </w:pPr>
            <w:r>
              <w:rPr>
                <w:lang w:eastAsia="en-AU"/>
              </w:rPr>
              <w:t>11</w:t>
            </w:r>
            <w:r w:rsidR="00AA6CDB">
              <w:rPr>
                <w:lang w:eastAsia="en-AU"/>
              </w:rPr>
              <w:t>65</w:t>
            </w:r>
          </w:p>
        </w:tc>
        <w:tc>
          <w:tcPr>
            <w:tcW w:w="1349" w:type="dxa"/>
          </w:tcPr>
          <w:p w14:paraId="0DD5C2FB" w14:textId="3EB8E44D" w:rsidR="00AD6729" w:rsidRPr="003365E2" w:rsidRDefault="00D57F49" w:rsidP="00423D5D">
            <w:pPr>
              <w:pStyle w:val="Tabletext"/>
              <w:rPr>
                <w:lang w:eastAsia="en-AU"/>
              </w:rPr>
            </w:pPr>
            <w:r>
              <w:t>+</w:t>
            </w:r>
            <w:r w:rsidR="000A14C3">
              <w:rPr>
                <w:lang w:eastAsia="en-AU"/>
              </w:rPr>
              <w:t>3</w:t>
            </w:r>
            <w:r w:rsidR="007566FF">
              <w:rPr>
                <w:lang w:eastAsia="en-AU"/>
              </w:rPr>
              <w:t>21</w:t>
            </w:r>
          </w:p>
        </w:tc>
        <w:tc>
          <w:tcPr>
            <w:tcW w:w="1127" w:type="dxa"/>
            <w:shd w:val="clear" w:color="auto" w:fill="BFBFBF" w:themeFill="background1" w:themeFillShade="BF"/>
          </w:tcPr>
          <w:p w14:paraId="5CA5D719" w14:textId="39BEEB89" w:rsidR="00AD6729" w:rsidRPr="003365E2" w:rsidRDefault="00AD6729" w:rsidP="00423D5D">
            <w:pPr>
              <w:pStyle w:val="Tabletext"/>
              <w:rPr>
                <w:lang w:eastAsia="en-AU"/>
              </w:rPr>
            </w:pPr>
            <w:r>
              <w:rPr>
                <w:lang w:eastAsia="en-AU"/>
              </w:rPr>
              <w:t>n/a</w:t>
            </w:r>
          </w:p>
        </w:tc>
      </w:tr>
      <w:tr w:rsidR="00B06D26" w:rsidRPr="003365E2" w14:paraId="032238F8" w14:textId="77777777" w:rsidTr="009A6C95">
        <w:tc>
          <w:tcPr>
            <w:tcW w:w="2714" w:type="dxa"/>
            <w:vMerge/>
          </w:tcPr>
          <w:p w14:paraId="1BAEA4DA" w14:textId="77777777" w:rsidR="00AD6729" w:rsidRDefault="00AD6729" w:rsidP="00423D5D">
            <w:pPr>
              <w:pStyle w:val="Tabletext"/>
              <w:rPr>
                <w:lang w:eastAsia="en-AU"/>
              </w:rPr>
            </w:pPr>
          </w:p>
        </w:tc>
        <w:tc>
          <w:tcPr>
            <w:tcW w:w="1127" w:type="dxa"/>
          </w:tcPr>
          <w:p w14:paraId="59D46571" w14:textId="70A2BADD" w:rsidR="00AD6729" w:rsidRDefault="000A14C3" w:rsidP="00423D5D">
            <w:pPr>
              <w:pStyle w:val="Tabletext"/>
              <w:rPr>
                <w:lang w:eastAsia="en-AU"/>
              </w:rPr>
            </w:pPr>
            <w:r>
              <w:rPr>
                <w:lang w:eastAsia="en-AU"/>
              </w:rPr>
              <w:t>M</w:t>
            </w:r>
            <w:r w:rsidR="00424A4F">
              <w:rPr>
                <w:lang w:eastAsia="en-AU"/>
              </w:rPr>
              <w:t>a</w:t>
            </w:r>
            <w:r>
              <w:rPr>
                <w:lang w:eastAsia="en-AU"/>
              </w:rPr>
              <w:t>n</w:t>
            </w:r>
            <w:r w:rsidR="00424A4F">
              <w:rPr>
                <w:lang w:eastAsia="en-AU"/>
              </w:rPr>
              <w:t xml:space="preserve"> or group of men</w:t>
            </w:r>
          </w:p>
        </w:tc>
        <w:tc>
          <w:tcPr>
            <w:tcW w:w="972" w:type="dxa"/>
          </w:tcPr>
          <w:p w14:paraId="15F70AE0" w14:textId="1985EC8B" w:rsidR="00AD6729" w:rsidRPr="003365E2" w:rsidRDefault="00021171" w:rsidP="00423D5D">
            <w:pPr>
              <w:pStyle w:val="Tabletext"/>
              <w:rPr>
                <w:lang w:eastAsia="en-AU"/>
              </w:rPr>
            </w:pPr>
            <w:r>
              <w:rPr>
                <w:lang w:eastAsia="en-AU"/>
              </w:rPr>
              <w:t>3</w:t>
            </w:r>
            <w:r w:rsidR="00B55781">
              <w:rPr>
                <w:lang w:eastAsia="en-AU"/>
              </w:rPr>
              <w:t>76</w:t>
            </w:r>
          </w:p>
        </w:tc>
        <w:tc>
          <w:tcPr>
            <w:tcW w:w="812" w:type="dxa"/>
          </w:tcPr>
          <w:p w14:paraId="4168F862" w14:textId="7AA3468A" w:rsidR="00AD6729" w:rsidRPr="003365E2" w:rsidRDefault="00B55781" w:rsidP="00423D5D">
            <w:pPr>
              <w:pStyle w:val="Tabletext"/>
              <w:rPr>
                <w:lang w:eastAsia="en-AU"/>
              </w:rPr>
            </w:pPr>
            <w:r>
              <w:rPr>
                <w:lang w:eastAsia="en-AU"/>
              </w:rPr>
              <w:t>139</w:t>
            </w:r>
          </w:p>
        </w:tc>
        <w:tc>
          <w:tcPr>
            <w:tcW w:w="1197" w:type="dxa"/>
          </w:tcPr>
          <w:p w14:paraId="730DAC9A" w14:textId="0AE53DF7" w:rsidR="00AD6729" w:rsidRPr="003365E2" w:rsidRDefault="000A14C3" w:rsidP="00423D5D">
            <w:pPr>
              <w:pStyle w:val="Tabletext"/>
              <w:rPr>
                <w:lang w:eastAsia="en-AU"/>
              </w:rPr>
            </w:pPr>
            <w:r>
              <w:rPr>
                <w:lang w:eastAsia="en-AU"/>
              </w:rPr>
              <w:t>16</w:t>
            </w:r>
            <w:r w:rsidR="007566FF">
              <w:rPr>
                <w:lang w:eastAsia="en-AU"/>
              </w:rPr>
              <w:t>4</w:t>
            </w:r>
          </w:p>
        </w:tc>
        <w:tc>
          <w:tcPr>
            <w:tcW w:w="1349" w:type="dxa"/>
          </w:tcPr>
          <w:p w14:paraId="6EA38A73" w14:textId="50F5F024" w:rsidR="00AD6729" w:rsidRPr="003365E2" w:rsidRDefault="000A14C3" w:rsidP="00423D5D">
            <w:pPr>
              <w:pStyle w:val="Tabletext"/>
              <w:rPr>
                <w:lang w:eastAsia="en-AU"/>
              </w:rPr>
            </w:pPr>
            <w:r>
              <w:rPr>
                <w:lang w:eastAsia="en-AU"/>
              </w:rPr>
              <w:t>-21</w:t>
            </w:r>
            <w:r w:rsidR="007566FF">
              <w:rPr>
                <w:lang w:eastAsia="en-AU"/>
              </w:rPr>
              <w:t>2</w:t>
            </w:r>
          </w:p>
        </w:tc>
        <w:tc>
          <w:tcPr>
            <w:tcW w:w="1127" w:type="dxa"/>
            <w:shd w:val="clear" w:color="auto" w:fill="BFBFBF" w:themeFill="background1" w:themeFillShade="BF"/>
          </w:tcPr>
          <w:p w14:paraId="13035D62" w14:textId="3C98CD5D" w:rsidR="00AD6729" w:rsidRDefault="00F74B70" w:rsidP="00423D5D">
            <w:pPr>
              <w:pStyle w:val="Tabletext"/>
              <w:rPr>
                <w:lang w:eastAsia="en-AU"/>
              </w:rPr>
            </w:pPr>
            <w:r>
              <w:rPr>
                <w:lang w:eastAsia="en-AU"/>
              </w:rPr>
              <w:t>n/a</w:t>
            </w:r>
          </w:p>
        </w:tc>
      </w:tr>
      <w:tr w:rsidR="00B06D26" w:rsidRPr="003365E2" w14:paraId="6ADE7090" w14:textId="77777777" w:rsidTr="009A6C95">
        <w:tc>
          <w:tcPr>
            <w:tcW w:w="2714" w:type="dxa"/>
            <w:vMerge/>
          </w:tcPr>
          <w:p w14:paraId="46C26C1A" w14:textId="77777777" w:rsidR="00AD6729" w:rsidRDefault="00AD6729" w:rsidP="00423D5D">
            <w:pPr>
              <w:pStyle w:val="Tabletext"/>
              <w:rPr>
                <w:lang w:eastAsia="en-AU"/>
              </w:rPr>
            </w:pPr>
          </w:p>
        </w:tc>
        <w:tc>
          <w:tcPr>
            <w:tcW w:w="1127" w:type="dxa"/>
          </w:tcPr>
          <w:p w14:paraId="6934EDB7" w14:textId="2D38D504" w:rsidR="00AD6729" w:rsidRDefault="00424A4F" w:rsidP="00423D5D">
            <w:pPr>
              <w:pStyle w:val="Tabletext"/>
              <w:rPr>
                <w:lang w:eastAsia="en-AU"/>
              </w:rPr>
            </w:pPr>
            <w:r>
              <w:rPr>
                <w:lang w:eastAsia="en-AU"/>
              </w:rPr>
              <w:t>Person or people of s</w:t>
            </w:r>
            <w:r w:rsidR="000A14C3">
              <w:rPr>
                <w:lang w:eastAsia="en-AU"/>
              </w:rPr>
              <w:t>elf-described</w:t>
            </w:r>
            <w:r>
              <w:rPr>
                <w:lang w:eastAsia="en-AU"/>
              </w:rPr>
              <w:t xml:space="preserve"> gender</w:t>
            </w:r>
          </w:p>
        </w:tc>
        <w:tc>
          <w:tcPr>
            <w:tcW w:w="972" w:type="dxa"/>
          </w:tcPr>
          <w:p w14:paraId="2BB9FE82" w14:textId="0C9CA6F5" w:rsidR="00AD6729" w:rsidRPr="003365E2" w:rsidRDefault="009717F3" w:rsidP="00423D5D">
            <w:pPr>
              <w:pStyle w:val="Tabletext"/>
              <w:rPr>
                <w:lang w:eastAsia="en-AU"/>
              </w:rPr>
            </w:pPr>
            <w:r>
              <w:rPr>
                <w:lang w:eastAsia="en-AU"/>
              </w:rPr>
              <w:t>4</w:t>
            </w:r>
          </w:p>
        </w:tc>
        <w:tc>
          <w:tcPr>
            <w:tcW w:w="812" w:type="dxa"/>
          </w:tcPr>
          <w:p w14:paraId="19658BA2" w14:textId="70BDBABA" w:rsidR="00AD6729" w:rsidRPr="003365E2" w:rsidRDefault="009717F3" w:rsidP="00423D5D">
            <w:pPr>
              <w:pStyle w:val="Tabletext"/>
              <w:rPr>
                <w:lang w:eastAsia="en-AU"/>
              </w:rPr>
            </w:pPr>
            <w:r>
              <w:rPr>
                <w:lang w:eastAsia="en-AU"/>
              </w:rPr>
              <w:t>3</w:t>
            </w:r>
          </w:p>
        </w:tc>
        <w:tc>
          <w:tcPr>
            <w:tcW w:w="1197" w:type="dxa"/>
          </w:tcPr>
          <w:p w14:paraId="67AA877D" w14:textId="49CE6C30" w:rsidR="00AD6729" w:rsidRPr="003365E2" w:rsidRDefault="00075CC7" w:rsidP="00423D5D">
            <w:pPr>
              <w:pStyle w:val="Tabletext"/>
              <w:rPr>
                <w:lang w:eastAsia="en-AU"/>
              </w:rPr>
            </w:pPr>
            <w:r>
              <w:rPr>
                <w:lang w:eastAsia="en-AU"/>
              </w:rPr>
              <w:t>6</w:t>
            </w:r>
          </w:p>
        </w:tc>
        <w:tc>
          <w:tcPr>
            <w:tcW w:w="1349" w:type="dxa"/>
          </w:tcPr>
          <w:p w14:paraId="141CA4BF" w14:textId="09417906" w:rsidR="00AD6729" w:rsidRPr="003365E2" w:rsidRDefault="00D57F49" w:rsidP="00423D5D">
            <w:pPr>
              <w:pStyle w:val="Tabletext"/>
              <w:rPr>
                <w:lang w:eastAsia="en-AU"/>
              </w:rPr>
            </w:pPr>
            <w:r>
              <w:t>+</w:t>
            </w:r>
            <w:r w:rsidR="001B40F8">
              <w:rPr>
                <w:lang w:eastAsia="en-AU"/>
              </w:rPr>
              <w:t>2</w:t>
            </w:r>
          </w:p>
        </w:tc>
        <w:tc>
          <w:tcPr>
            <w:tcW w:w="1127" w:type="dxa"/>
            <w:shd w:val="clear" w:color="auto" w:fill="BFBFBF" w:themeFill="background1" w:themeFillShade="BF"/>
          </w:tcPr>
          <w:p w14:paraId="29E9012A" w14:textId="1F319E51" w:rsidR="00AD6729" w:rsidRDefault="00F74B70" w:rsidP="00423D5D">
            <w:pPr>
              <w:pStyle w:val="Tabletext"/>
              <w:rPr>
                <w:lang w:eastAsia="en-AU"/>
              </w:rPr>
            </w:pPr>
            <w:r>
              <w:rPr>
                <w:lang w:eastAsia="en-AU"/>
              </w:rPr>
              <w:t>n/a</w:t>
            </w:r>
          </w:p>
        </w:tc>
      </w:tr>
      <w:tr w:rsidR="000A14C3" w:rsidRPr="003365E2" w14:paraId="56B763E5" w14:textId="77777777" w:rsidTr="009A6C95">
        <w:tc>
          <w:tcPr>
            <w:tcW w:w="2714" w:type="dxa"/>
            <w:vMerge/>
          </w:tcPr>
          <w:p w14:paraId="31AA02DE" w14:textId="77777777" w:rsidR="000A14C3" w:rsidRDefault="000A14C3" w:rsidP="00423D5D">
            <w:pPr>
              <w:pStyle w:val="Tabletext"/>
              <w:rPr>
                <w:lang w:eastAsia="en-AU"/>
              </w:rPr>
            </w:pPr>
          </w:p>
        </w:tc>
        <w:tc>
          <w:tcPr>
            <w:tcW w:w="1127" w:type="dxa"/>
          </w:tcPr>
          <w:p w14:paraId="623CCC92" w14:textId="5B0C8F95" w:rsidR="000A14C3" w:rsidRDefault="00424A4F" w:rsidP="00423D5D">
            <w:pPr>
              <w:pStyle w:val="Tabletext"/>
              <w:rPr>
                <w:lang w:eastAsia="en-AU"/>
              </w:rPr>
            </w:pPr>
            <w:r>
              <w:rPr>
                <w:lang w:eastAsia="en-AU"/>
              </w:rPr>
              <w:t>Group of mixed genders, or prefer not to say</w:t>
            </w:r>
          </w:p>
        </w:tc>
        <w:tc>
          <w:tcPr>
            <w:tcW w:w="972" w:type="dxa"/>
          </w:tcPr>
          <w:p w14:paraId="5180F9A5" w14:textId="4B7D4766" w:rsidR="000A14C3" w:rsidRDefault="000B78BA" w:rsidP="00423D5D">
            <w:pPr>
              <w:pStyle w:val="Tabletext"/>
              <w:rPr>
                <w:lang w:eastAsia="en-AU"/>
              </w:rPr>
            </w:pPr>
            <w:r>
              <w:rPr>
                <w:lang w:eastAsia="en-AU"/>
              </w:rPr>
              <w:t>Not available</w:t>
            </w:r>
          </w:p>
        </w:tc>
        <w:tc>
          <w:tcPr>
            <w:tcW w:w="812" w:type="dxa"/>
          </w:tcPr>
          <w:p w14:paraId="5BF60B67" w14:textId="769FAD72" w:rsidR="000A14C3" w:rsidRDefault="00B81A69" w:rsidP="00423D5D">
            <w:pPr>
              <w:pStyle w:val="Tabletext"/>
              <w:rPr>
                <w:lang w:eastAsia="en-AU"/>
              </w:rPr>
            </w:pPr>
            <w:r>
              <w:rPr>
                <w:lang w:eastAsia="en-AU"/>
              </w:rPr>
              <w:t>105</w:t>
            </w:r>
          </w:p>
        </w:tc>
        <w:tc>
          <w:tcPr>
            <w:tcW w:w="1197" w:type="dxa"/>
          </w:tcPr>
          <w:p w14:paraId="09204DCE" w14:textId="62B55032" w:rsidR="000A14C3" w:rsidRDefault="00AB66A5" w:rsidP="00423D5D">
            <w:pPr>
              <w:pStyle w:val="Tabletext"/>
              <w:rPr>
                <w:lang w:eastAsia="en-AU"/>
              </w:rPr>
            </w:pPr>
            <w:r>
              <w:rPr>
                <w:lang w:eastAsia="en-AU"/>
              </w:rPr>
              <w:t>80</w:t>
            </w:r>
          </w:p>
        </w:tc>
        <w:tc>
          <w:tcPr>
            <w:tcW w:w="1349" w:type="dxa"/>
          </w:tcPr>
          <w:p w14:paraId="37559414" w14:textId="006BBD8F" w:rsidR="000A14C3" w:rsidRDefault="00D57F49" w:rsidP="00423D5D">
            <w:pPr>
              <w:pStyle w:val="Tabletext"/>
              <w:rPr>
                <w:lang w:eastAsia="en-AU"/>
              </w:rPr>
            </w:pPr>
            <w:r>
              <w:t>+</w:t>
            </w:r>
            <w:r w:rsidR="00081E1A">
              <w:rPr>
                <w:lang w:eastAsia="en-AU"/>
              </w:rPr>
              <w:t>80</w:t>
            </w:r>
          </w:p>
        </w:tc>
        <w:tc>
          <w:tcPr>
            <w:tcW w:w="1127" w:type="dxa"/>
            <w:shd w:val="clear" w:color="auto" w:fill="BFBFBF" w:themeFill="background1" w:themeFillShade="BF"/>
          </w:tcPr>
          <w:p w14:paraId="691E9E9A" w14:textId="03EFE6CD" w:rsidR="000A14C3" w:rsidRDefault="007130AE" w:rsidP="00423D5D">
            <w:pPr>
              <w:pStyle w:val="Tabletext"/>
              <w:rPr>
                <w:lang w:eastAsia="en-AU"/>
              </w:rPr>
            </w:pPr>
            <w:r>
              <w:rPr>
                <w:lang w:eastAsia="en-AU"/>
              </w:rPr>
              <w:t>n/a</w:t>
            </w:r>
          </w:p>
        </w:tc>
      </w:tr>
      <w:tr w:rsidR="000A14C3" w:rsidRPr="003365E2" w14:paraId="2E8EA920" w14:textId="77777777" w:rsidTr="009A6C95">
        <w:tc>
          <w:tcPr>
            <w:tcW w:w="2714" w:type="dxa"/>
            <w:vMerge/>
          </w:tcPr>
          <w:p w14:paraId="0967A7E2" w14:textId="77777777" w:rsidR="000A14C3" w:rsidRDefault="000A14C3" w:rsidP="00423D5D">
            <w:pPr>
              <w:pStyle w:val="Tabletext"/>
              <w:rPr>
                <w:lang w:eastAsia="en-AU"/>
              </w:rPr>
            </w:pPr>
          </w:p>
        </w:tc>
        <w:tc>
          <w:tcPr>
            <w:tcW w:w="1127" w:type="dxa"/>
          </w:tcPr>
          <w:p w14:paraId="68A037EE" w14:textId="4CD4467C" w:rsidR="000A14C3" w:rsidRDefault="00424A4F" w:rsidP="00423D5D">
            <w:pPr>
              <w:pStyle w:val="Tabletext"/>
              <w:rPr>
                <w:lang w:eastAsia="en-AU"/>
              </w:rPr>
            </w:pPr>
            <w:r>
              <w:rPr>
                <w:lang w:eastAsia="en-AU"/>
              </w:rPr>
              <w:t>Gender data unavailable</w:t>
            </w:r>
          </w:p>
        </w:tc>
        <w:tc>
          <w:tcPr>
            <w:tcW w:w="972" w:type="dxa"/>
          </w:tcPr>
          <w:p w14:paraId="658E9374" w14:textId="6E883281" w:rsidR="000A14C3" w:rsidRDefault="000B78BA" w:rsidP="00423D5D">
            <w:pPr>
              <w:pStyle w:val="Tabletext"/>
              <w:rPr>
                <w:lang w:eastAsia="en-AU"/>
              </w:rPr>
            </w:pPr>
            <w:r>
              <w:rPr>
                <w:lang w:eastAsia="en-AU"/>
              </w:rPr>
              <w:t>Not available</w:t>
            </w:r>
          </w:p>
        </w:tc>
        <w:tc>
          <w:tcPr>
            <w:tcW w:w="812" w:type="dxa"/>
          </w:tcPr>
          <w:p w14:paraId="29BBBBDC" w14:textId="34E4CE16" w:rsidR="000A14C3" w:rsidRDefault="004C63EE" w:rsidP="00423D5D">
            <w:pPr>
              <w:pStyle w:val="Tabletext"/>
              <w:rPr>
                <w:lang w:eastAsia="en-AU"/>
              </w:rPr>
            </w:pPr>
            <w:r>
              <w:rPr>
                <w:lang w:eastAsia="en-AU"/>
              </w:rPr>
              <w:t>118</w:t>
            </w:r>
          </w:p>
        </w:tc>
        <w:tc>
          <w:tcPr>
            <w:tcW w:w="1197" w:type="dxa"/>
          </w:tcPr>
          <w:p w14:paraId="22229DEC" w14:textId="1B232D2E" w:rsidR="000A14C3" w:rsidRDefault="004C63EE" w:rsidP="00423D5D">
            <w:pPr>
              <w:pStyle w:val="Tabletext"/>
              <w:rPr>
                <w:lang w:eastAsia="en-AU"/>
              </w:rPr>
            </w:pPr>
            <w:r>
              <w:rPr>
                <w:lang w:eastAsia="en-AU"/>
              </w:rPr>
              <w:t>782</w:t>
            </w:r>
          </w:p>
        </w:tc>
        <w:tc>
          <w:tcPr>
            <w:tcW w:w="1349" w:type="dxa"/>
          </w:tcPr>
          <w:p w14:paraId="251126A6" w14:textId="5F5BEF2D" w:rsidR="000A14C3" w:rsidRDefault="00D57F49" w:rsidP="00423D5D">
            <w:pPr>
              <w:pStyle w:val="Tabletext"/>
              <w:rPr>
                <w:lang w:eastAsia="en-AU"/>
              </w:rPr>
            </w:pPr>
            <w:r>
              <w:t>+</w:t>
            </w:r>
            <w:r w:rsidR="00081E1A">
              <w:rPr>
                <w:lang w:eastAsia="en-AU"/>
              </w:rPr>
              <w:t>782</w:t>
            </w:r>
          </w:p>
        </w:tc>
        <w:tc>
          <w:tcPr>
            <w:tcW w:w="1127" w:type="dxa"/>
            <w:shd w:val="clear" w:color="auto" w:fill="BFBFBF" w:themeFill="background1" w:themeFillShade="BF"/>
          </w:tcPr>
          <w:p w14:paraId="1E0485D3" w14:textId="77F84F5C" w:rsidR="000A14C3" w:rsidRDefault="007130AE" w:rsidP="00423D5D">
            <w:pPr>
              <w:pStyle w:val="Tabletext"/>
              <w:rPr>
                <w:lang w:eastAsia="en-AU"/>
              </w:rPr>
            </w:pPr>
            <w:r>
              <w:rPr>
                <w:lang w:eastAsia="en-AU"/>
              </w:rPr>
              <w:t>n/a</w:t>
            </w:r>
          </w:p>
        </w:tc>
      </w:tr>
    </w:tbl>
    <w:p w14:paraId="2E9A790B" w14:textId="2B2F4A4B" w:rsidR="00DA36C4" w:rsidRDefault="00DA36C4" w:rsidP="000408BD">
      <w:pPr>
        <w:pStyle w:val="Tablefigurenote"/>
      </w:pPr>
      <w:r w:rsidRPr="0045737D">
        <w:t>Source: Workplace gender audit workforce data, 2021, 2023 and 2025</w:t>
      </w:r>
      <w:r>
        <w:t>.</w:t>
      </w:r>
      <w:r w:rsidR="0045737D" w:rsidRPr="0045737D">
        <w:t xml:space="preserve"> People matter survey data, 2021, 2023 and 2025.</w:t>
      </w:r>
    </w:p>
    <w:p w14:paraId="3DCDA0EF" w14:textId="3E952B85" w:rsidR="000408BD" w:rsidRPr="00C27278" w:rsidRDefault="000408BD" w:rsidP="000408BD">
      <w:pPr>
        <w:pStyle w:val="Tablefigurenote"/>
      </w:pPr>
      <w:r w:rsidRPr="00C27278">
        <w:t xml:space="preserve">Notes: To understand how to interpret the different types of progress ratings, see </w:t>
      </w:r>
      <w:hyperlink w:anchor="_Data_measures" w:history="1">
        <w:r w:rsidR="00FA2346">
          <w:rPr>
            <w:rStyle w:val="Hyperlink"/>
            <w:rFonts w:cs="Times New Roman"/>
          </w:rPr>
          <w:t>Data measures</w:t>
        </w:r>
      </w:hyperlink>
      <w:r w:rsidR="00FA2346">
        <w:t xml:space="preserve"> in </w:t>
      </w:r>
      <w:r w:rsidR="00FA2346" w:rsidRPr="00A2089E">
        <w:t>Appendix 1</w:t>
      </w:r>
      <w:r w:rsidR="00FA2346">
        <w:t>.</w:t>
      </w:r>
      <w:r w:rsidR="00E55896">
        <w:t xml:space="preserve"> </w:t>
      </w:r>
      <w:r w:rsidR="00DE26C6" w:rsidRPr="00DE26C6">
        <w:t xml:space="preserve">Public health participation in the survey was lower in 2025 than in 2023. We tested whether this affected these results and it did not. See </w:t>
      </w:r>
      <w:hyperlink w:anchor="_Data_caveats" w:history="1">
        <w:r w:rsidR="002853E1" w:rsidRPr="002853E1">
          <w:rPr>
            <w:rStyle w:val="Hyperlink"/>
            <w:rFonts w:cs="Times New Roman"/>
          </w:rPr>
          <w:t>D</w:t>
        </w:r>
        <w:r w:rsidR="00DE26C6" w:rsidRPr="002853E1">
          <w:rPr>
            <w:rStyle w:val="Hyperlink"/>
            <w:rFonts w:cs="Times New Roman"/>
          </w:rPr>
          <w:t xml:space="preserve">ata </w:t>
        </w:r>
        <w:r w:rsidR="002853E1" w:rsidRPr="002853E1">
          <w:rPr>
            <w:rStyle w:val="Hyperlink"/>
            <w:rFonts w:cs="Times New Roman"/>
          </w:rPr>
          <w:t>caveats</w:t>
        </w:r>
      </w:hyperlink>
      <w:r w:rsidR="002853E1">
        <w:t xml:space="preserve"> in Appendix 1 for more details</w:t>
      </w:r>
      <w:r w:rsidR="0012388E">
        <w:t>.</w:t>
      </w:r>
      <w:r w:rsidR="00DE26C6" w:rsidRPr="00DE26C6">
        <w:t xml:space="preserve"> </w:t>
      </w:r>
      <w:r w:rsidR="00E55896">
        <w:t xml:space="preserve">The number of complainants is </w:t>
      </w:r>
      <w:r w:rsidR="00832D11">
        <w:t>an underrepresentation</w:t>
      </w:r>
      <w:r w:rsidR="00E55896">
        <w:t xml:space="preserve">. Duty holders under the Act are required to </w:t>
      </w:r>
      <w:r w:rsidR="00290EEA">
        <w:t>report on each formal complaint receive</w:t>
      </w:r>
      <w:r w:rsidR="00390A58">
        <w:t>d by the organisation, and whether the complaint was made by an individual or group</w:t>
      </w:r>
      <w:r w:rsidR="00DC4DE5">
        <w:t>,</w:t>
      </w:r>
      <w:r w:rsidR="00390A58">
        <w:t xml:space="preserve"> of what gender(s). </w:t>
      </w:r>
      <w:r w:rsidR="00832D11">
        <w:t xml:space="preserve">Duty holders optionally provide the </w:t>
      </w:r>
      <w:r w:rsidR="00832D11" w:rsidRPr="00CD36A8">
        <w:rPr>
          <w:i/>
          <w:iCs/>
        </w:rPr>
        <w:t>number</w:t>
      </w:r>
      <w:r w:rsidR="00832D11">
        <w:t xml:space="preserve"> of complainants.</w:t>
      </w:r>
      <w:r w:rsidR="00382CD8">
        <w:t xml:space="preserve"> Th</w:t>
      </w:r>
      <w:r w:rsidR="00CD36A8">
        <w:t>e</w:t>
      </w:r>
      <w:r w:rsidR="00382CD8">
        <w:t xml:space="preserve"> figure</w:t>
      </w:r>
      <w:r w:rsidR="00CD36A8">
        <w:t xml:space="preserve"> in table 4.1</w:t>
      </w:r>
      <w:r w:rsidR="00382CD8">
        <w:t xml:space="preserve"> includes the total number of complainants reported to the Commission. But the optional nature of this data </w:t>
      </w:r>
      <w:r w:rsidR="00582194">
        <w:t>in 2021 and 2023</w:t>
      </w:r>
      <w:r w:rsidR="00382CD8">
        <w:t xml:space="preserve"> means that </w:t>
      </w:r>
      <w:r w:rsidR="00AC5A6B">
        <w:t>not all duty holder</w:t>
      </w:r>
      <w:r w:rsidR="00CD36A8">
        <w:t>s provide</w:t>
      </w:r>
      <w:r w:rsidR="00E100E2">
        <w:t>d</w:t>
      </w:r>
      <w:r w:rsidR="00CD36A8">
        <w:t xml:space="preserve"> </w:t>
      </w:r>
      <w:r w:rsidR="00E100E2">
        <w:t>data</w:t>
      </w:r>
      <w:r w:rsidR="005F73D4">
        <w:t>.</w:t>
      </w:r>
      <w:r w:rsidR="006210C1">
        <w:t xml:space="preserve"> </w:t>
      </w:r>
      <w:r w:rsidR="006210C1" w:rsidRPr="00AE1037">
        <w:t xml:space="preserve">The </w:t>
      </w:r>
      <w:r w:rsidR="006210C1">
        <w:t xml:space="preserve">percentage point </w:t>
      </w:r>
      <w:r w:rsidR="006210C1" w:rsidRPr="00AE1037">
        <w:t>change column may not always reflect the exact difference between years due to rounding</w:t>
      </w:r>
      <w:r w:rsidR="006210C1">
        <w:t>.</w:t>
      </w:r>
      <w:r w:rsidR="00D95856">
        <w:t xml:space="preserve"> </w:t>
      </w:r>
    </w:p>
    <w:p w14:paraId="522C17FA" w14:textId="73CE07D4" w:rsidR="007C50BF" w:rsidRPr="005829FF" w:rsidRDefault="00BD4830" w:rsidP="000A5EA0">
      <w:pPr>
        <w:pStyle w:val="Tablecaption"/>
        <w:rPr>
          <w:rStyle w:val="BodyChar"/>
          <w:b w:val="0"/>
        </w:rPr>
      </w:pPr>
      <w:r w:rsidRPr="005A3519">
        <w:rPr>
          <w:rStyle w:val="BodyChar"/>
        </w:rPr>
        <w:t>T</w:t>
      </w:r>
      <w:r w:rsidRPr="00325903">
        <w:rPr>
          <w:rStyle w:val="BodyChar"/>
        </w:rPr>
        <w:t>able 4.2</w:t>
      </w:r>
      <w:r w:rsidR="00EE0CBB">
        <w:rPr>
          <w:rStyle w:val="BodyChar"/>
        </w:rPr>
        <w:t>:</w:t>
      </w:r>
      <w:r w:rsidR="00863A6D" w:rsidRPr="00325903">
        <w:rPr>
          <w:rStyle w:val="BodyChar"/>
        </w:rPr>
        <w:t xml:space="preserve"> Sexual </w:t>
      </w:r>
      <w:r w:rsidR="003015D0" w:rsidRPr="000A5EA0">
        <w:rPr>
          <w:rStyle w:val="BodyChar"/>
        </w:rPr>
        <w:t>h</w:t>
      </w:r>
      <w:r w:rsidR="00863A6D" w:rsidRPr="000A5EA0">
        <w:rPr>
          <w:rStyle w:val="BodyChar"/>
        </w:rPr>
        <w:t>arassment</w:t>
      </w:r>
      <w:r w:rsidR="00863A6D" w:rsidRPr="00325903">
        <w:rPr>
          <w:rStyle w:val="BodyChar"/>
        </w:rPr>
        <w:t xml:space="preserve"> </w:t>
      </w:r>
      <w:r w:rsidR="003015D0">
        <w:rPr>
          <w:rStyle w:val="BodyChar"/>
        </w:rPr>
        <w:t>r</w:t>
      </w:r>
      <w:r w:rsidR="00863A6D" w:rsidRPr="00325903">
        <w:rPr>
          <w:rStyle w:val="BodyChar"/>
        </w:rPr>
        <w:t>esponse</w:t>
      </w:r>
    </w:p>
    <w:tbl>
      <w:tblPr>
        <w:tblStyle w:val="CGEPStable"/>
        <w:tblW w:w="0" w:type="auto"/>
        <w:tblLook w:val="04A0" w:firstRow="1" w:lastRow="0" w:firstColumn="1" w:lastColumn="0" w:noHBand="0" w:noVBand="1"/>
      </w:tblPr>
      <w:tblGrid>
        <w:gridCol w:w="2522"/>
        <w:gridCol w:w="1205"/>
        <w:gridCol w:w="812"/>
        <w:gridCol w:w="812"/>
        <w:gridCol w:w="812"/>
        <w:gridCol w:w="1788"/>
        <w:gridCol w:w="1347"/>
      </w:tblGrid>
      <w:tr w:rsidR="00AD6729" w:rsidRPr="003365E2" w14:paraId="182FD9C6" w14:textId="15DF5ECA" w:rsidTr="006A1968">
        <w:trPr>
          <w:cnfStyle w:val="100000000000" w:firstRow="1" w:lastRow="0" w:firstColumn="0" w:lastColumn="0" w:oddVBand="0" w:evenVBand="0" w:oddHBand="0" w:evenHBand="0" w:firstRowFirstColumn="0" w:firstRowLastColumn="0" w:lastRowFirstColumn="0" w:lastRowLastColumn="0"/>
        </w:trPr>
        <w:tc>
          <w:tcPr>
            <w:tcW w:w="0" w:type="auto"/>
          </w:tcPr>
          <w:p w14:paraId="4AB33651" w14:textId="4BDA5C9D" w:rsidR="00AD6729" w:rsidRDefault="00AD6729" w:rsidP="005A3519">
            <w:pPr>
              <w:pStyle w:val="Tablecolhead"/>
              <w:rPr>
                <w:lang w:eastAsia="en-AU"/>
              </w:rPr>
            </w:pPr>
            <w:r w:rsidRPr="00327BF4">
              <w:rPr>
                <w:lang w:eastAsia="en-AU"/>
              </w:rPr>
              <w:t>Measure</w:t>
            </w:r>
          </w:p>
        </w:tc>
        <w:tc>
          <w:tcPr>
            <w:tcW w:w="0" w:type="auto"/>
          </w:tcPr>
          <w:p w14:paraId="4306B2E5" w14:textId="01EE0D4A" w:rsidR="00AD6729" w:rsidRPr="00AE5A1E" w:rsidRDefault="00AD6729" w:rsidP="005A3519">
            <w:pPr>
              <w:pStyle w:val="Tablecolhead"/>
              <w:rPr>
                <w:lang w:eastAsia="en-AU"/>
              </w:rPr>
            </w:pPr>
            <w:r>
              <w:rPr>
                <w:lang w:eastAsia="en-AU"/>
              </w:rPr>
              <w:t>Gender</w:t>
            </w:r>
          </w:p>
        </w:tc>
        <w:tc>
          <w:tcPr>
            <w:tcW w:w="0" w:type="auto"/>
          </w:tcPr>
          <w:p w14:paraId="5837A83A" w14:textId="131FCDA0" w:rsidR="00AD6729" w:rsidRDefault="00AD6729" w:rsidP="005A3519">
            <w:pPr>
              <w:pStyle w:val="Tablecolhead"/>
              <w:rPr>
                <w:lang w:eastAsia="en-AU"/>
              </w:rPr>
            </w:pPr>
            <w:r w:rsidRPr="00AE5A1E">
              <w:rPr>
                <w:lang w:eastAsia="en-AU"/>
              </w:rPr>
              <w:t>2021</w:t>
            </w:r>
          </w:p>
        </w:tc>
        <w:tc>
          <w:tcPr>
            <w:tcW w:w="0" w:type="auto"/>
          </w:tcPr>
          <w:p w14:paraId="6A3D9B00" w14:textId="46203DC1" w:rsidR="00AD6729" w:rsidRDefault="00AD6729" w:rsidP="005A3519">
            <w:pPr>
              <w:pStyle w:val="Tablecolhead"/>
              <w:rPr>
                <w:lang w:eastAsia="en-AU"/>
              </w:rPr>
            </w:pPr>
            <w:r w:rsidRPr="00AE5A1E">
              <w:rPr>
                <w:lang w:eastAsia="en-AU"/>
              </w:rPr>
              <w:t>2023</w:t>
            </w:r>
          </w:p>
        </w:tc>
        <w:tc>
          <w:tcPr>
            <w:tcW w:w="0" w:type="auto"/>
          </w:tcPr>
          <w:p w14:paraId="58703859" w14:textId="5DEDEBA7" w:rsidR="00AD6729" w:rsidRPr="003365E2" w:rsidRDefault="00AD6729" w:rsidP="005A3519">
            <w:pPr>
              <w:pStyle w:val="Tablecolhead"/>
              <w:rPr>
                <w:lang w:eastAsia="en-AU"/>
              </w:rPr>
            </w:pPr>
            <w:r w:rsidRPr="00AE5A1E">
              <w:rPr>
                <w:lang w:eastAsia="en-AU"/>
              </w:rPr>
              <w:t>2025</w:t>
            </w:r>
          </w:p>
        </w:tc>
        <w:tc>
          <w:tcPr>
            <w:tcW w:w="0" w:type="auto"/>
          </w:tcPr>
          <w:p w14:paraId="642E9701" w14:textId="735728BF" w:rsidR="00AD6729" w:rsidRPr="003365E2" w:rsidRDefault="00F02C0C" w:rsidP="005A3519">
            <w:pPr>
              <w:pStyle w:val="Tablecolhead"/>
              <w:rPr>
                <w:lang w:eastAsia="en-AU"/>
              </w:rPr>
            </w:pPr>
            <w:r>
              <w:rPr>
                <w:lang w:eastAsia="en-AU"/>
              </w:rPr>
              <w:t xml:space="preserve">Percentage </w:t>
            </w:r>
            <w:r w:rsidR="00CE70A6">
              <w:rPr>
                <w:bCs/>
                <w:lang w:eastAsia="en-AU"/>
              </w:rPr>
              <w:t>p</w:t>
            </w:r>
            <w:r>
              <w:rPr>
                <w:bCs/>
                <w:lang w:eastAsia="en-AU"/>
              </w:rPr>
              <w:t xml:space="preserve">oint </w:t>
            </w:r>
            <w:r w:rsidR="00CE70A6">
              <w:rPr>
                <w:bCs/>
                <w:lang w:eastAsia="en-AU"/>
              </w:rPr>
              <w:t>c</w:t>
            </w:r>
            <w:r w:rsidRPr="00AE5A1E">
              <w:rPr>
                <w:bCs/>
                <w:lang w:eastAsia="en-AU"/>
              </w:rPr>
              <w:t>hange</w:t>
            </w:r>
            <w:r>
              <w:rPr>
                <w:lang w:eastAsia="en-AU"/>
              </w:rPr>
              <w:t xml:space="preserve"> 2021</w:t>
            </w:r>
            <w:r w:rsidR="00BE46C0">
              <w:rPr>
                <w:bCs/>
                <w:lang w:eastAsia="en-AU"/>
              </w:rPr>
              <w:t>-</w:t>
            </w:r>
            <w:r>
              <w:rPr>
                <w:lang w:eastAsia="en-AU"/>
              </w:rPr>
              <w:t>2025</w:t>
            </w:r>
          </w:p>
        </w:tc>
        <w:tc>
          <w:tcPr>
            <w:tcW w:w="0" w:type="auto"/>
          </w:tcPr>
          <w:p w14:paraId="354415F1" w14:textId="58CCD129" w:rsidR="00AD6729" w:rsidRPr="00AE5A1E" w:rsidRDefault="00AD6729" w:rsidP="005A3519">
            <w:pPr>
              <w:pStyle w:val="Tablecolhead"/>
              <w:rPr>
                <w:lang w:eastAsia="en-AU"/>
              </w:rPr>
            </w:pPr>
            <w:r>
              <w:rPr>
                <w:lang w:eastAsia="en-AU"/>
              </w:rPr>
              <w:t>Progress</w:t>
            </w:r>
          </w:p>
        </w:tc>
      </w:tr>
      <w:tr w:rsidR="00AD6729" w:rsidRPr="003365E2" w14:paraId="17BB55CE" w14:textId="4F786DC4" w:rsidTr="00F15C7C">
        <w:tc>
          <w:tcPr>
            <w:tcW w:w="0" w:type="auto"/>
            <w:vMerge w:val="restart"/>
          </w:tcPr>
          <w:p w14:paraId="22AFA94F" w14:textId="57180168" w:rsidR="00AD6729" w:rsidRPr="003365E2" w:rsidRDefault="00AD6729" w:rsidP="005A3519">
            <w:pPr>
              <w:pStyle w:val="Tabletext"/>
              <w:rPr>
                <w:lang w:eastAsia="en-AU"/>
              </w:rPr>
            </w:pPr>
            <w:r>
              <w:rPr>
                <w:lang w:eastAsia="en-AU"/>
              </w:rPr>
              <w:t xml:space="preserve">Survey respondents who did not report due to a lack of trust </w:t>
            </w:r>
            <w:r w:rsidR="00B26123">
              <w:rPr>
                <w:lang w:eastAsia="en-AU"/>
              </w:rPr>
              <w:t>and</w:t>
            </w:r>
            <w:r>
              <w:rPr>
                <w:lang w:eastAsia="en-AU"/>
              </w:rPr>
              <w:t xml:space="preserve"> confidence</w:t>
            </w:r>
          </w:p>
        </w:tc>
        <w:tc>
          <w:tcPr>
            <w:tcW w:w="0" w:type="auto"/>
          </w:tcPr>
          <w:p w14:paraId="41E0CCC2" w14:textId="020ADF08" w:rsidR="00AD6729" w:rsidRDefault="00AD6729" w:rsidP="005A3519">
            <w:pPr>
              <w:pStyle w:val="Tabletext"/>
              <w:rPr>
                <w:lang w:eastAsia="en-AU"/>
              </w:rPr>
            </w:pPr>
            <w:r>
              <w:rPr>
                <w:lang w:eastAsia="en-AU"/>
              </w:rPr>
              <w:t>Women</w:t>
            </w:r>
          </w:p>
        </w:tc>
        <w:tc>
          <w:tcPr>
            <w:tcW w:w="0" w:type="auto"/>
          </w:tcPr>
          <w:p w14:paraId="53374D3A" w14:textId="5E4D11EE" w:rsidR="00AD6729" w:rsidRPr="003365E2" w:rsidRDefault="00387030" w:rsidP="005A3519">
            <w:pPr>
              <w:pStyle w:val="Tabletext"/>
              <w:rPr>
                <w:lang w:eastAsia="en-AU"/>
              </w:rPr>
            </w:pPr>
            <w:r>
              <w:rPr>
                <w:lang w:eastAsia="en-AU"/>
              </w:rPr>
              <w:t>60.0%</w:t>
            </w:r>
          </w:p>
        </w:tc>
        <w:tc>
          <w:tcPr>
            <w:tcW w:w="0" w:type="auto"/>
          </w:tcPr>
          <w:p w14:paraId="2C1991F8" w14:textId="3391700F" w:rsidR="00AD6729" w:rsidRDefault="00387030" w:rsidP="005A3519">
            <w:pPr>
              <w:pStyle w:val="Tabletext"/>
              <w:rPr>
                <w:lang w:eastAsia="en-AU"/>
              </w:rPr>
            </w:pPr>
            <w:r>
              <w:rPr>
                <w:lang w:eastAsia="en-AU"/>
              </w:rPr>
              <w:t>56.5%</w:t>
            </w:r>
          </w:p>
          <w:p w14:paraId="06E29823" w14:textId="437C715C" w:rsidR="00AD6729" w:rsidRPr="003365E2" w:rsidRDefault="00AD6729" w:rsidP="005A3519">
            <w:pPr>
              <w:pStyle w:val="Tabletext"/>
              <w:rPr>
                <w:lang w:eastAsia="en-AU"/>
              </w:rPr>
            </w:pPr>
          </w:p>
        </w:tc>
        <w:tc>
          <w:tcPr>
            <w:tcW w:w="0" w:type="auto"/>
          </w:tcPr>
          <w:p w14:paraId="3DF33BA6" w14:textId="10AC5EA0" w:rsidR="00AD6729" w:rsidRPr="003365E2" w:rsidRDefault="00387030" w:rsidP="005A3519">
            <w:pPr>
              <w:pStyle w:val="Tabletext"/>
              <w:rPr>
                <w:lang w:eastAsia="en-AU"/>
              </w:rPr>
            </w:pPr>
            <w:r>
              <w:rPr>
                <w:lang w:eastAsia="en-AU"/>
              </w:rPr>
              <w:t>59</w:t>
            </w:r>
            <w:r w:rsidR="001C7A28">
              <w:rPr>
                <w:lang w:eastAsia="en-AU"/>
              </w:rPr>
              <w:t>.5%</w:t>
            </w:r>
          </w:p>
        </w:tc>
        <w:tc>
          <w:tcPr>
            <w:tcW w:w="0" w:type="auto"/>
          </w:tcPr>
          <w:p w14:paraId="37442D57" w14:textId="07140675" w:rsidR="00AD6729" w:rsidRPr="003365E2" w:rsidRDefault="001C7A28" w:rsidP="005A3519">
            <w:pPr>
              <w:pStyle w:val="Tabletext"/>
              <w:rPr>
                <w:lang w:eastAsia="en-AU"/>
              </w:rPr>
            </w:pPr>
            <w:r>
              <w:rPr>
                <w:lang w:eastAsia="en-AU"/>
              </w:rPr>
              <w:t>-0.</w:t>
            </w:r>
            <w:r w:rsidR="006A1968">
              <w:rPr>
                <w:lang w:eastAsia="en-AU"/>
              </w:rPr>
              <w:t>50pp</w:t>
            </w:r>
          </w:p>
        </w:tc>
        <w:tc>
          <w:tcPr>
            <w:tcW w:w="0" w:type="auto"/>
            <w:shd w:val="clear" w:color="auto" w:fill="BFBFBF" w:themeFill="background1" w:themeFillShade="BF"/>
          </w:tcPr>
          <w:p w14:paraId="5A17E766" w14:textId="645EA194" w:rsidR="00AD6729" w:rsidRPr="00F15C7C" w:rsidRDefault="00AD6729" w:rsidP="005A3519">
            <w:pPr>
              <w:pStyle w:val="Tabletext"/>
              <w:rPr>
                <w:lang w:eastAsia="en-AU"/>
              </w:rPr>
            </w:pPr>
            <w:r w:rsidRPr="00F15C7C">
              <w:rPr>
                <w:lang w:eastAsia="en-AU"/>
              </w:rPr>
              <w:t>n/a</w:t>
            </w:r>
          </w:p>
        </w:tc>
      </w:tr>
      <w:tr w:rsidR="00AD6729" w:rsidRPr="003365E2" w14:paraId="4A06BBE3" w14:textId="77777777" w:rsidTr="00F15C7C">
        <w:tc>
          <w:tcPr>
            <w:tcW w:w="0" w:type="auto"/>
            <w:vMerge/>
          </w:tcPr>
          <w:p w14:paraId="027B2422" w14:textId="77777777" w:rsidR="00AD6729" w:rsidRDefault="00AD6729" w:rsidP="005A3519">
            <w:pPr>
              <w:pStyle w:val="Tabletext"/>
              <w:rPr>
                <w:lang w:eastAsia="en-AU"/>
              </w:rPr>
            </w:pPr>
          </w:p>
        </w:tc>
        <w:tc>
          <w:tcPr>
            <w:tcW w:w="0" w:type="auto"/>
          </w:tcPr>
          <w:p w14:paraId="4B2BC3D1" w14:textId="63F8FAC4" w:rsidR="00AD6729" w:rsidRDefault="00AD6729" w:rsidP="005A3519">
            <w:pPr>
              <w:pStyle w:val="Tabletext"/>
              <w:rPr>
                <w:lang w:eastAsia="en-AU"/>
              </w:rPr>
            </w:pPr>
            <w:r>
              <w:rPr>
                <w:lang w:eastAsia="en-AU"/>
              </w:rPr>
              <w:t>Men</w:t>
            </w:r>
          </w:p>
        </w:tc>
        <w:tc>
          <w:tcPr>
            <w:tcW w:w="0" w:type="auto"/>
          </w:tcPr>
          <w:p w14:paraId="4925DEA1" w14:textId="3B870414" w:rsidR="00AD6729" w:rsidRDefault="00421C28" w:rsidP="005A3519">
            <w:pPr>
              <w:pStyle w:val="Tabletext"/>
              <w:rPr>
                <w:lang w:eastAsia="en-AU"/>
              </w:rPr>
            </w:pPr>
            <w:r>
              <w:rPr>
                <w:lang w:eastAsia="en-AU"/>
              </w:rPr>
              <w:t>64.1%</w:t>
            </w:r>
          </w:p>
        </w:tc>
        <w:tc>
          <w:tcPr>
            <w:tcW w:w="0" w:type="auto"/>
          </w:tcPr>
          <w:p w14:paraId="4CDA9BC2" w14:textId="0D696023" w:rsidR="00AD6729" w:rsidRPr="003365E2" w:rsidRDefault="00421C28" w:rsidP="005A3519">
            <w:pPr>
              <w:pStyle w:val="Tabletext"/>
              <w:rPr>
                <w:lang w:eastAsia="en-AU"/>
              </w:rPr>
            </w:pPr>
            <w:r>
              <w:rPr>
                <w:lang w:eastAsia="en-AU"/>
              </w:rPr>
              <w:t>63.7%</w:t>
            </w:r>
          </w:p>
        </w:tc>
        <w:tc>
          <w:tcPr>
            <w:tcW w:w="0" w:type="auto"/>
          </w:tcPr>
          <w:p w14:paraId="79964713" w14:textId="160A995F" w:rsidR="00AD6729" w:rsidRPr="003365E2" w:rsidRDefault="00D20FCD" w:rsidP="005A3519">
            <w:pPr>
              <w:pStyle w:val="Tabletext"/>
              <w:rPr>
                <w:lang w:eastAsia="en-AU"/>
              </w:rPr>
            </w:pPr>
            <w:r>
              <w:rPr>
                <w:lang w:eastAsia="en-AU"/>
              </w:rPr>
              <w:t>63.0%</w:t>
            </w:r>
          </w:p>
        </w:tc>
        <w:tc>
          <w:tcPr>
            <w:tcW w:w="0" w:type="auto"/>
          </w:tcPr>
          <w:p w14:paraId="1531AFCC" w14:textId="476CC6B3" w:rsidR="00AD6729" w:rsidRPr="003365E2" w:rsidRDefault="00D20FCD" w:rsidP="005A3519">
            <w:pPr>
              <w:pStyle w:val="Tabletext"/>
              <w:rPr>
                <w:lang w:eastAsia="en-AU"/>
              </w:rPr>
            </w:pPr>
            <w:r>
              <w:rPr>
                <w:lang w:eastAsia="en-AU"/>
              </w:rPr>
              <w:t>-1.12pp</w:t>
            </w:r>
          </w:p>
        </w:tc>
        <w:tc>
          <w:tcPr>
            <w:tcW w:w="0" w:type="auto"/>
            <w:shd w:val="clear" w:color="auto" w:fill="BFBFBF" w:themeFill="background1" w:themeFillShade="BF"/>
          </w:tcPr>
          <w:p w14:paraId="2E31DD62" w14:textId="74617C5B" w:rsidR="00AD6729" w:rsidRPr="00F15C7C" w:rsidRDefault="00AD6729" w:rsidP="005A3519">
            <w:pPr>
              <w:pStyle w:val="Tabletext"/>
              <w:rPr>
                <w:lang w:eastAsia="en-AU"/>
              </w:rPr>
            </w:pPr>
            <w:r w:rsidRPr="00F15C7C">
              <w:rPr>
                <w:lang w:eastAsia="en-AU"/>
              </w:rPr>
              <w:t>n/a</w:t>
            </w:r>
          </w:p>
        </w:tc>
      </w:tr>
      <w:tr w:rsidR="00AD6729" w:rsidRPr="003365E2" w14:paraId="6FF3A29C" w14:textId="77777777" w:rsidTr="00F15C7C">
        <w:tc>
          <w:tcPr>
            <w:tcW w:w="0" w:type="auto"/>
            <w:vMerge/>
          </w:tcPr>
          <w:p w14:paraId="1FB917CB" w14:textId="77777777" w:rsidR="00AD6729" w:rsidRDefault="00AD6729" w:rsidP="005A3519">
            <w:pPr>
              <w:pStyle w:val="Tabletext"/>
              <w:rPr>
                <w:lang w:eastAsia="en-AU"/>
              </w:rPr>
            </w:pPr>
          </w:p>
        </w:tc>
        <w:tc>
          <w:tcPr>
            <w:tcW w:w="0" w:type="auto"/>
          </w:tcPr>
          <w:p w14:paraId="5BD00EBC" w14:textId="1ED64923" w:rsidR="00AD6729" w:rsidRDefault="00AD6729" w:rsidP="005A3519">
            <w:pPr>
              <w:pStyle w:val="Tabletext"/>
              <w:rPr>
                <w:lang w:eastAsia="en-AU"/>
              </w:rPr>
            </w:pPr>
            <w:r>
              <w:rPr>
                <w:lang w:eastAsia="en-AU"/>
              </w:rPr>
              <w:t>Self-described</w:t>
            </w:r>
          </w:p>
        </w:tc>
        <w:tc>
          <w:tcPr>
            <w:tcW w:w="0" w:type="auto"/>
          </w:tcPr>
          <w:p w14:paraId="1AD290C7" w14:textId="0257C607" w:rsidR="00AD6729" w:rsidRDefault="00946BCD" w:rsidP="005A3519">
            <w:pPr>
              <w:pStyle w:val="Tabletext"/>
              <w:rPr>
                <w:lang w:eastAsia="en-AU"/>
              </w:rPr>
            </w:pPr>
            <w:r>
              <w:rPr>
                <w:lang w:eastAsia="en-AU"/>
              </w:rPr>
              <w:t>78.8%</w:t>
            </w:r>
          </w:p>
        </w:tc>
        <w:tc>
          <w:tcPr>
            <w:tcW w:w="0" w:type="auto"/>
          </w:tcPr>
          <w:p w14:paraId="1B08E774" w14:textId="0E05D3FF" w:rsidR="00AD6729" w:rsidRPr="003365E2" w:rsidRDefault="00946BCD" w:rsidP="005A3519">
            <w:pPr>
              <w:pStyle w:val="Tabletext"/>
              <w:rPr>
                <w:lang w:eastAsia="en-AU"/>
              </w:rPr>
            </w:pPr>
            <w:r>
              <w:rPr>
                <w:lang w:eastAsia="en-AU"/>
              </w:rPr>
              <w:t>73.5</w:t>
            </w:r>
            <w:r w:rsidR="001A2DBA">
              <w:rPr>
                <w:lang w:eastAsia="en-AU"/>
              </w:rPr>
              <w:t>%</w:t>
            </w:r>
          </w:p>
        </w:tc>
        <w:tc>
          <w:tcPr>
            <w:tcW w:w="0" w:type="auto"/>
          </w:tcPr>
          <w:p w14:paraId="3FA419B8" w14:textId="5F0A1624" w:rsidR="00AD6729" w:rsidRPr="003365E2" w:rsidRDefault="001A2DBA" w:rsidP="005A3519">
            <w:pPr>
              <w:pStyle w:val="Tabletext"/>
              <w:rPr>
                <w:lang w:eastAsia="en-AU"/>
              </w:rPr>
            </w:pPr>
            <w:r>
              <w:rPr>
                <w:lang w:eastAsia="en-AU"/>
              </w:rPr>
              <w:t>72.9%</w:t>
            </w:r>
          </w:p>
        </w:tc>
        <w:tc>
          <w:tcPr>
            <w:tcW w:w="0" w:type="auto"/>
          </w:tcPr>
          <w:p w14:paraId="157B73C0" w14:textId="5A05BA44" w:rsidR="00AD6729" w:rsidRPr="003365E2" w:rsidRDefault="00CA4B83" w:rsidP="005A3519">
            <w:pPr>
              <w:pStyle w:val="Tabletext"/>
              <w:rPr>
                <w:lang w:eastAsia="en-AU"/>
              </w:rPr>
            </w:pPr>
            <w:r>
              <w:rPr>
                <w:lang w:eastAsia="en-AU"/>
              </w:rPr>
              <w:t>-5.89pp</w:t>
            </w:r>
          </w:p>
        </w:tc>
        <w:tc>
          <w:tcPr>
            <w:tcW w:w="0" w:type="auto"/>
            <w:shd w:val="clear" w:color="auto" w:fill="BFBFBF" w:themeFill="background1" w:themeFillShade="BF"/>
          </w:tcPr>
          <w:p w14:paraId="3C14404D" w14:textId="06A952B0" w:rsidR="00AD6729" w:rsidRPr="00F15C7C" w:rsidRDefault="00CA4B83" w:rsidP="005A3519">
            <w:pPr>
              <w:pStyle w:val="Tabletext"/>
              <w:rPr>
                <w:lang w:eastAsia="en-AU"/>
              </w:rPr>
            </w:pPr>
            <w:r>
              <w:rPr>
                <w:lang w:eastAsia="en-AU"/>
              </w:rPr>
              <w:t>n/a</w:t>
            </w:r>
          </w:p>
        </w:tc>
      </w:tr>
      <w:tr w:rsidR="00AD6729" w:rsidRPr="003365E2" w14:paraId="4B08FC7E" w14:textId="4234340A" w:rsidTr="00F15C7C">
        <w:tc>
          <w:tcPr>
            <w:tcW w:w="0" w:type="auto"/>
            <w:vMerge w:val="restart"/>
          </w:tcPr>
          <w:p w14:paraId="08D77CAE" w14:textId="4EFADB4E" w:rsidR="00AD6729" w:rsidRPr="003365E2" w:rsidRDefault="00AD6729" w:rsidP="005A3519">
            <w:pPr>
              <w:pStyle w:val="Tabletext"/>
              <w:rPr>
                <w:lang w:eastAsia="en-AU"/>
              </w:rPr>
            </w:pPr>
            <w:r>
              <w:rPr>
                <w:lang w:eastAsia="en-AU"/>
              </w:rPr>
              <w:t xml:space="preserve">Survey respondents who did not </w:t>
            </w:r>
            <w:r w:rsidR="00051418">
              <w:rPr>
                <w:lang w:eastAsia="en-AU"/>
              </w:rPr>
              <w:t>report</w:t>
            </w:r>
            <w:r w:rsidRPr="00C27278">
              <w:rPr>
                <w:lang w:eastAsia="en-AU"/>
              </w:rPr>
              <w:t xml:space="preserve"> </w:t>
            </w:r>
            <w:r>
              <w:rPr>
                <w:lang w:eastAsia="en-AU"/>
              </w:rPr>
              <w:t xml:space="preserve">due to a lack of information </w:t>
            </w:r>
            <w:r w:rsidR="00B26123">
              <w:rPr>
                <w:lang w:eastAsia="en-AU"/>
              </w:rPr>
              <w:t>and</w:t>
            </w:r>
            <w:r>
              <w:rPr>
                <w:lang w:eastAsia="en-AU"/>
              </w:rPr>
              <w:t xml:space="preserve"> guidance</w:t>
            </w:r>
          </w:p>
        </w:tc>
        <w:tc>
          <w:tcPr>
            <w:tcW w:w="0" w:type="auto"/>
          </w:tcPr>
          <w:p w14:paraId="6D632D55" w14:textId="3F1937F3" w:rsidR="00AD6729" w:rsidRDefault="00AD6729" w:rsidP="005A3519">
            <w:pPr>
              <w:pStyle w:val="Tabletext"/>
              <w:rPr>
                <w:lang w:eastAsia="en-AU"/>
              </w:rPr>
            </w:pPr>
            <w:r>
              <w:rPr>
                <w:lang w:eastAsia="en-AU"/>
              </w:rPr>
              <w:t>Women</w:t>
            </w:r>
          </w:p>
        </w:tc>
        <w:tc>
          <w:tcPr>
            <w:tcW w:w="0" w:type="auto"/>
          </w:tcPr>
          <w:p w14:paraId="3BAC2582" w14:textId="53A7D104" w:rsidR="00AD6729" w:rsidRPr="003365E2" w:rsidRDefault="001C6D91" w:rsidP="005A3519">
            <w:pPr>
              <w:pStyle w:val="Tabletext"/>
              <w:rPr>
                <w:lang w:eastAsia="en-AU"/>
              </w:rPr>
            </w:pPr>
            <w:r>
              <w:rPr>
                <w:lang w:eastAsia="en-AU"/>
              </w:rPr>
              <w:t>53.7%</w:t>
            </w:r>
          </w:p>
        </w:tc>
        <w:tc>
          <w:tcPr>
            <w:tcW w:w="0" w:type="auto"/>
          </w:tcPr>
          <w:p w14:paraId="58401E5D" w14:textId="2AC50C09" w:rsidR="00AD6729" w:rsidRPr="003365E2" w:rsidRDefault="0042122C" w:rsidP="005A3519">
            <w:pPr>
              <w:pStyle w:val="Tabletext"/>
              <w:rPr>
                <w:lang w:eastAsia="en-AU"/>
              </w:rPr>
            </w:pPr>
            <w:r>
              <w:rPr>
                <w:lang w:eastAsia="en-AU"/>
              </w:rPr>
              <w:t>54.6%</w:t>
            </w:r>
          </w:p>
        </w:tc>
        <w:tc>
          <w:tcPr>
            <w:tcW w:w="0" w:type="auto"/>
          </w:tcPr>
          <w:p w14:paraId="2ED9C25C" w14:textId="4739A968" w:rsidR="00AD6729" w:rsidRPr="003365E2" w:rsidRDefault="00A242B4" w:rsidP="005A3519">
            <w:pPr>
              <w:pStyle w:val="Tabletext"/>
              <w:rPr>
                <w:lang w:eastAsia="en-AU"/>
              </w:rPr>
            </w:pPr>
            <w:r>
              <w:rPr>
                <w:lang w:eastAsia="en-AU"/>
              </w:rPr>
              <w:t>50.3%</w:t>
            </w:r>
          </w:p>
        </w:tc>
        <w:tc>
          <w:tcPr>
            <w:tcW w:w="0" w:type="auto"/>
          </w:tcPr>
          <w:p w14:paraId="7301FE76" w14:textId="7F942DDA" w:rsidR="00AD6729" w:rsidRPr="003365E2" w:rsidRDefault="00A242B4" w:rsidP="005A3519">
            <w:pPr>
              <w:pStyle w:val="Tabletext"/>
              <w:rPr>
                <w:lang w:eastAsia="en-AU"/>
              </w:rPr>
            </w:pPr>
            <w:r>
              <w:rPr>
                <w:lang w:eastAsia="en-AU"/>
              </w:rPr>
              <w:t>-3.43pp</w:t>
            </w:r>
          </w:p>
        </w:tc>
        <w:tc>
          <w:tcPr>
            <w:tcW w:w="0" w:type="auto"/>
            <w:shd w:val="clear" w:color="auto" w:fill="BFBFBF" w:themeFill="background1" w:themeFillShade="BF"/>
          </w:tcPr>
          <w:p w14:paraId="67BD2917" w14:textId="44EFB061" w:rsidR="00AD6729" w:rsidRPr="00F15C7C" w:rsidRDefault="00AD6729" w:rsidP="005A3519">
            <w:pPr>
              <w:pStyle w:val="Tabletext"/>
              <w:rPr>
                <w:lang w:eastAsia="en-AU"/>
              </w:rPr>
            </w:pPr>
            <w:r w:rsidRPr="00F15C7C">
              <w:rPr>
                <w:lang w:eastAsia="en-AU"/>
              </w:rPr>
              <w:t>n/a</w:t>
            </w:r>
          </w:p>
        </w:tc>
      </w:tr>
      <w:tr w:rsidR="00AD6729" w:rsidRPr="003365E2" w14:paraId="0AFD42DC" w14:textId="77777777" w:rsidTr="00F15C7C">
        <w:tc>
          <w:tcPr>
            <w:tcW w:w="0" w:type="auto"/>
            <w:vMerge/>
          </w:tcPr>
          <w:p w14:paraId="4A1A887E" w14:textId="77777777" w:rsidR="00AD6729" w:rsidRDefault="00AD6729" w:rsidP="005A3519">
            <w:pPr>
              <w:pStyle w:val="Tabletext"/>
              <w:rPr>
                <w:lang w:eastAsia="en-AU"/>
              </w:rPr>
            </w:pPr>
          </w:p>
        </w:tc>
        <w:tc>
          <w:tcPr>
            <w:tcW w:w="0" w:type="auto"/>
          </w:tcPr>
          <w:p w14:paraId="6AE66218" w14:textId="3AE37BA5" w:rsidR="00AD6729" w:rsidRDefault="00AD6729" w:rsidP="005A3519">
            <w:pPr>
              <w:pStyle w:val="Tabletext"/>
              <w:rPr>
                <w:lang w:eastAsia="en-AU"/>
              </w:rPr>
            </w:pPr>
            <w:r>
              <w:rPr>
                <w:lang w:eastAsia="en-AU"/>
              </w:rPr>
              <w:t>Men</w:t>
            </w:r>
          </w:p>
        </w:tc>
        <w:tc>
          <w:tcPr>
            <w:tcW w:w="0" w:type="auto"/>
          </w:tcPr>
          <w:p w14:paraId="76F3191F" w14:textId="548F66AA" w:rsidR="00AD6729" w:rsidRDefault="00752F18" w:rsidP="005A3519">
            <w:pPr>
              <w:pStyle w:val="Tabletext"/>
              <w:rPr>
                <w:lang w:eastAsia="en-AU"/>
              </w:rPr>
            </w:pPr>
            <w:r>
              <w:rPr>
                <w:lang w:eastAsia="en-AU"/>
              </w:rPr>
              <w:t>46.6%</w:t>
            </w:r>
          </w:p>
        </w:tc>
        <w:tc>
          <w:tcPr>
            <w:tcW w:w="0" w:type="auto"/>
          </w:tcPr>
          <w:p w14:paraId="6717A1D0" w14:textId="0A567774" w:rsidR="00AD6729" w:rsidRPr="003365E2" w:rsidRDefault="00752F18" w:rsidP="005A3519">
            <w:pPr>
              <w:pStyle w:val="Tabletext"/>
              <w:rPr>
                <w:lang w:eastAsia="en-AU"/>
              </w:rPr>
            </w:pPr>
            <w:r>
              <w:rPr>
                <w:lang w:eastAsia="en-AU"/>
              </w:rPr>
              <w:t>49.2%</w:t>
            </w:r>
          </w:p>
        </w:tc>
        <w:tc>
          <w:tcPr>
            <w:tcW w:w="0" w:type="auto"/>
          </w:tcPr>
          <w:p w14:paraId="10A7839B" w14:textId="159087CC" w:rsidR="00AD6729" w:rsidRPr="003365E2" w:rsidRDefault="00752F18" w:rsidP="005A3519">
            <w:pPr>
              <w:pStyle w:val="Tabletext"/>
              <w:rPr>
                <w:lang w:eastAsia="en-AU"/>
              </w:rPr>
            </w:pPr>
            <w:r>
              <w:rPr>
                <w:lang w:eastAsia="en-AU"/>
              </w:rPr>
              <w:t>49.6%</w:t>
            </w:r>
          </w:p>
        </w:tc>
        <w:tc>
          <w:tcPr>
            <w:tcW w:w="0" w:type="auto"/>
          </w:tcPr>
          <w:p w14:paraId="05707906" w14:textId="40674B58" w:rsidR="00AD6729" w:rsidRPr="003365E2" w:rsidRDefault="009174CB" w:rsidP="005A3519">
            <w:pPr>
              <w:pStyle w:val="Tabletext"/>
              <w:rPr>
                <w:lang w:eastAsia="en-AU"/>
              </w:rPr>
            </w:pPr>
            <w:r>
              <w:rPr>
                <w:lang w:eastAsia="en-AU"/>
              </w:rPr>
              <w:t>+3.00pp</w:t>
            </w:r>
          </w:p>
        </w:tc>
        <w:tc>
          <w:tcPr>
            <w:tcW w:w="0" w:type="auto"/>
            <w:shd w:val="clear" w:color="auto" w:fill="BFBFBF" w:themeFill="background1" w:themeFillShade="BF"/>
          </w:tcPr>
          <w:p w14:paraId="46DF98FF" w14:textId="3A4E5C72" w:rsidR="00AD6729" w:rsidRPr="00F15C7C" w:rsidRDefault="00AD6729" w:rsidP="005A3519">
            <w:pPr>
              <w:pStyle w:val="Tabletext"/>
              <w:rPr>
                <w:lang w:eastAsia="en-AU"/>
              </w:rPr>
            </w:pPr>
            <w:r w:rsidRPr="00F15C7C">
              <w:rPr>
                <w:lang w:eastAsia="en-AU"/>
              </w:rPr>
              <w:t>n/a</w:t>
            </w:r>
          </w:p>
        </w:tc>
      </w:tr>
      <w:tr w:rsidR="00AD6729" w:rsidRPr="003365E2" w14:paraId="1919312E" w14:textId="77777777" w:rsidTr="00F15C7C">
        <w:tc>
          <w:tcPr>
            <w:tcW w:w="0" w:type="auto"/>
            <w:vMerge/>
          </w:tcPr>
          <w:p w14:paraId="487F15F9" w14:textId="77777777" w:rsidR="00AD6729" w:rsidRDefault="00AD6729" w:rsidP="005A3519">
            <w:pPr>
              <w:pStyle w:val="Tabletext"/>
              <w:rPr>
                <w:lang w:eastAsia="en-AU"/>
              </w:rPr>
            </w:pPr>
          </w:p>
        </w:tc>
        <w:tc>
          <w:tcPr>
            <w:tcW w:w="0" w:type="auto"/>
          </w:tcPr>
          <w:p w14:paraId="674A44A5" w14:textId="72DFDF53" w:rsidR="00AD6729" w:rsidRDefault="00AD6729" w:rsidP="005A3519">
            <w:pPr>
              <w:pStyle w:val="Tabletext"/>
              <w:rPr>
                <w:lang w:eastAsia="en-AU"/>
              </w:rPr>
            </w:pPr>
            <w:r>
              <w:rPr>
                <w:lang w:eastAsia="en-AU"/>
              </w:rPr>
              <w:t>Self-described</w:t>
            </w:r>
          </w:p>
        </w:tc>
        <w:tc>
          <w:tcPr>
            <w:tcW w:w="0" w:type="auto"/>
          </w:tcPr>
          <w:p w14:paraId="4E7AD842" w14:textId="2578245F" w:rsidR="00AD6729" w:rsidRDefault="009174CB" w:rsidP="005A3519">
            <w:pPr>
              <w:pStyle w:val="Tabletext"/>
              <w:rPr>
                <w:lang w:eastAsia="en-AU"/>
              </w:rPr>
            </w:pPr>
            <w:r>
              <w:rPr>
                <w:lang w:eastAsia="en-AU"/>
              </w:rPr>
              <w:t>48.7%</w:t>
            </w:r>
          </w:p>
        </w:tc>
        <w:tc>
          <w:tcPr>
            <w:tcW w:w="0" w:type="auto"/>
          </w:tcPr>
          <w:p w14:paraId="59C73DE8" w14:textId="4EB6F3CF" w:rsidR="00AD6729" w:rsidRPr="003365E2" w:rsidRDefault="009174CB" w:rsidP="005A3519">
            <w:pPr>
              <w:pStyle w:val="Tabletext"/>
              <w:rPr>
                <w:lang w:eastAsia="en-AU"/>
              </w:rPr>
            </w:pPr>
            <w:r>
              <w:rPr>
                <w:lang w:eastAsia="en-AU"/>
              </w:rPr>
              <w:t>51.6%</w:t>
            </w:r>
          </w:p>
        </w:tc>
        <w:tc>
          <w:tcPr>
            <w:tcW w:w="0" w:type="auto"/>
          </w:tcPr>
          <w:p w14:paraId="4B9ED6A1" w14:textId="5CBC0DDB" w:rsidR="00AD6729" w:rsidRPr="003365E2" w:rsidRDefault="009174CB" w:rsidP="005A3519">
            <w:pPr>
              <w:pStyle w:val="Tabletext"/>
              <w:rPr>
                <w:lang w:eastAsia="en-AU"/>
              </w:rPr>
            </w:pPr>
            <w:r>
              <w:rPr>
                <w:lang w:eastAsia="en-AU"/>
              </w:rPr>
              <w:t>45.2%</w:t>
            </w:r>
          </w:p>
        </w:tc>
        <w:tc>
          <w:tcPr>
            <w:tcW w:w="0" w:type="auto"/>
          </w:tcPr>
          <w:p w14:paraId="279CC72A" w14:textId="5FFA660C" w:rsidR="00AD6729" w:rsidRPr="003365E2" w:rsidRDefault="00783563" w:rsidP="005A3519">
            <w:pPr>
              <w:pStyle w:val="Tabletext"/>
              <w:rPr>
                <w:lang w:eastAsia="en-AU"/>
              </w:rPr>
            </w:pPr>
            <w:r>
              <w:rPr>
                <w:lang w:eastAsia="en-AU"/>
              </w:rPr>
              <w:t>-3.46pp</w:t>
            </w:r>
          </w:p>
        </w:tc>
        <w:tc>
          <w:tcPr>
            <w:tcW w:w="0" w:type="auto"/>
            <w:shd w:val="clear" w:color="auto" w:fill="BFBFBF" w:themeFill="background1" w:themeFillShade="BF"/>
          </w:tcPr>
          <w:p w14:paraId="44916695" w14:textId="6598C3A8" w:rsidR="00AD6729" w:rsidRPr="00F15C7C" w:rsidRDefault="00783563" w:rsidP="005A3519">
            <w:pPr>
              <w:pStyle w:val="Tabletext"/>
              <w:rPr>
                <w:lang w:eastAsia="en-AU"/>
              </w:rPr>
            </w:pPr>
            <w:r>
              <w:rPr>
                <w:lang w:eastAsia="en-AU"/>
              </w:rPr>
              <w:t>n/a</w:t>
            </w:r>
          </w:p>
        </w:tc>
      </w:tr>
      <w:tr w:rsidR="00AD6729" w:rsidRPr="003365E2" w14:paraId="44A7FD92" w14:textId="0A8BBFD1" w:rsidTr="006A1968">
        <w:tc>
          <w:tcPr>
            <w:tcW w:w="0" w:type="auto"/>
            <w:vMerge w:val="restart"/>
            <w:hideMark/>
          </w:tcPr>
          <w:p w14:paraId="32CB4272" w14:textId="4471304A" w:rsidR="00AD6729" w:rsidRPr="003365E2" w:rsidRDefault="00AD6729" w:rsidP="005A3519">
            <w:pPr>
              <w:pStyle w:val="Tabletext"/>
              <w:rPr>
                <w:lang w:eastAsia="en-AU"/>
              </w:rPr>
            </w:pPr>
            <w:r>
              <w:rPr>
                <w:lang w:eastAsia="en-AU"/>
              </w:rPr>
              <w:t xml:space="preserve">Survey respondents who were satisfied with how their report was handled </w:t>
            </w:r>
          </w:p>
        </w:tc>
        <w:tc>
          <w:tcPr>
            <w:tcW w:w="0" w:type="auto"/>
          </w:tcPr>
          <w:p w14:paraId="72933FAF" w14:textId="245A3E85" w:rsidR="00AD6729" w:rsidRDefault="00AD6729" w:rsidP="005A3519">
            <w:pPr>
              <w:pStyle w:val="Tabletext"/>
              <w:rPr>
                <w:lang w:eastAsia="en-AU"/>
              </w:rPr>
            </w:pPr>
            <w:r>
              <w:rPr>
                <w:lang w:eastAsia="en-AU"/>
              </w:rPr>
              <w:t>Women</w:t>
            </w:r>
          </w:p>
        </w:tc>
        <w:tc>
          <w:tcPr>
            <w:tcW w:w="0" w:type="auto"/>
          </w:tcPr>
          <w:p w14:paraId="22EDABAE" w14:textId="6BB180BF" w:rsidR="00AD6729" w:rsidRPr="003365E2" w:rsidRDefault="00783563" w:rsidP="005A3519">
            <w:pPr>
              <w:pStyle w:val="Tabletext"/>
              <w:rPr>
                <w:lang w:eastAsia="en-AU"/>
              </w:rPr>
            </w:pPr>
            <w:r>
              <w:rPr>
                <w:lang w:eastAsia="en-AU"/>
              </w:rPr>
              <w:t>53.8%</w:t>
            </w:r>
          </w:p>
        </w:tc>
        <w:tc>
          <w:tcPr>
            <w:tcW w:w="0" w:type="auto"/>
            <w:hideMark/>
          </w:tcPr>
          <w:p w14:paraId="6FD5CBEB" w14:textId="4F94205C" w:rsidR="00AD6729" w:rsidRPr="003365E2" w:rsidRDefault="00C96347" w:rsidP="005A3519">
            <w:pPr>
              <w:pStyle w:val="Tabletext"/>
              <w:rPr>
                <w:lang w:eastAsia="en-AU"/>
              </w:rPr>
            </w:pPr>
            <w:r>
              <w:rPr>
                <w:lang w:eastAsia="en-AU"/>
              </w:rPr>
              <w:t>60.8%</w:t>
            </w:r>
            <w:r w:rsidR="00AD6729" w:rsidRPr="003365E2">
              <w:rPr>
                <w:lang w:eastAsia="en-AU"/>
              </w:rPr>
              <w:t xml:space="preserve"> </w:t>
            </w:r>
          </w:p>
        </w:tc>
        <w:tc>
          <w:tcPr>
            <w:tcW w:w="0" w:type="auto"/>
            <w:hideMark/>
          </w:tcPr>
          <w:p w14:paraId="77FCE496" w14:textId="486FED31" w:rsidR="00AD6729" w:rsidRPr="003365E2" w:rsidRDefault="00C96347" w:rsidP="005A3519">
            <w:pPr>
              <w:pStyle w:val="Tabletext"/>
              <w:rPr>
                <w:lang w:eastAsia="en-AU"/>
              </w:rPr>
            </w:pPr>
            <w:r>
              <w:rPr>
                <w:lang w:eastAsia="en-AU"/>
              </w:rPr>
              <w:t>57.7%</w:t>
            </w:r>
          </w:p>
        </w:tc>
        <w:tc>
          <w:tcPr>
            <w:tcW w:w="0" w:type="auto"/>
            <w:hideMark/>
          </w:tcPr>
          <w:p w14:paraId="3BDA5630" w14:textId="7782F124" w:rsidR="00AD6729" w:rsidRPr="003365E2" w:rsidRDefault="00C96347" w:rsidP="005A3519">
            <w:pPr>
              <w:pStyle w:val="Tabletext"/>
              <w:rPr>
                <w:lang w:eastAsia="en-AU"/>
              </w:rPr>
            </w:pPr>
            <w:r>
              <w:rPr>
                <w:lang w:eastAsia="en-AU"/>
              </w:rPr>
              <w:t>+3.85pp</w:t>
            </w:r>
          </w:p>
        </w:tc>
        <w:tc>
          <w:tcPr>
            <w:tcW w:w="0" w:type="auto"/>
          </w:tcPr>
          <w:p w14:paraId="2E4A591E" w14:textId="418C0F34" w:rsidR="00AD6729" w:rsidRPr="003365E2" w:rsidRDefault="006F6394" w:rsidP="005A3519">
            <w:pPr>
              <w:pStyle w:val="Tabletext"/>
              <w:rPr>
                <w:lang w:eastAsia="en-AU"/>
              </w:rPr>
            </w:pPr>
            <w:r>
              <w:rPr>
                <w:lang w:eastAsia="en-AU"/>
              </w:rPr>
              <w:t>Poor (7</w:t>
            </w:r>
            <w:r w:rsidR="00D25757">
              <w:rPr>
                <w:rFonts w:cs="Arial"/>
                <w:szCs w:val="21"/>
                <w:lang w:eastAsia="en-AU"/>
              </w:rPr>
              <w:t xml:space="preserve"> – Matrix</w:t>
            </w:r>
            <w:r>
              <w:rPr>
                <w:lang w:eastAsia="en-AU"/>
              </w:rPr>
              <w:t>)</w:t>
            </w:r>
          </w:p>
        </w:tc>
      </w:tr>
      <w:tr w:rsidR="00AD6729" w:rsidRPr="003365E2" w14:paraId="2B1DD1BC" w14:textId="77777777" w:rsidTr="006A1968">
        <w:tc>
          <w:tcPr>
            <w:tcW w:w="0" w:type="auto"/>
            <w:vMerge/>
          </w:tcPr>
          <w:p w14:paraId="65B90DDB" w14:textId="77777777" w:rsidR="00AD6729" w:rsidRDefault="00AD6729" w:rsidP="005A3519">
            <w:pPr>
              <w:pStyle w:val="Tabletext"/>
              <w:rPr>
                <w:lang w:eastAsia="en-AU"/>
              </w:rPr>
            </w:pPr>
          </w:p>
        </w:tc>
        <w:tc>
          <w:tcPr>
            <w:tcW w:w="0" w:type="auto"/>
          </w:tcPr>
          <w:p w14:paraId="6AAFB0F6" w14:textId="4B100754" w:rsidR="00AD6729" w:rsidRDefault="00AD6729" w:rsidP="005A3519">
            <w:pPr>
              <w:pStyle w:val="Tabletext"/>
              <w:rPr>
                <w:lang w:eastAsia="en-AU"/>
              </w:rPr>
            </w:pPr>
            <w:r>
              <w:rPr>
                <w:lang w:eastAsia="en-AU"/>
              </w:rPr>
              <w:t>Men</w:t>
            </w:r>
          </w:p>
        </w:tc>
        <w:tc>
          <w:tcPr>
            <w:tcW w:w="0" w:type="auto"/>
          </w:tcPr>
          <w:p w14:paraId="075579E8" w14:textId="4916A300" w:rsidR="00AD6729" w:rsidRDefault="00AF4349" w:rsidP="005A3519">
            <w:pPr>
              <w:pStyle w:val="Tabletext"/>
              <w:rPr>
                <w:lang w:eastAsia="en-AU"/>
              </w:rPr>
            </w:pPr>
            <w:r>
              <w:rPr>
                <w:lang w:eastAsia="en-AU"/>
              </w:rPr>
              <w:t>25.7%</w:t>
            </w:r>
          </w:p>
        </w:tc>
        <w:tc>
          <w:tcPr>
            <w:tcW w:w="0" w:type="auto"/>
          </w:tcPr>
          <w:p w14:paraId="7532699B" w14:textId="20EAFF1B" w:rsidR="00AD6729" w:rsidRPr="003365E2" w:rsidRDefault="00AF4349" w:rsidP="005A3519">
            <w:pPr>
              <w:pStyle w:val="Tabletext"/>
              <w:rPr>
                <w:lang w:eastAsia="en-AU"/>
              </w:rPr>
            </w:pPr>
            <w:r>
              <w:rPr>
                <w:lang w:eastAsia="en-AU"/>
              </w:rPr>
              <w:t>55.1%</w:t>
            </w:r>
          </w:p>
        </w:tc>
        <w:tc>
          <w:tcPr>
            <w:tcW w:w="0" w:type="auto"/>
          </w:tcPr>
          <w:p w14:paraId="2A0A6595" w14:textId="36C5D1ED" w:rsidR="00AD6729" w:rsidRPr="003365E2" w:rsidRDefault="00AF4349" w:rsidP="005A3519">
            <w:pPr>
              <w:pStyle w:val="Tabletext"/>
              <w:rPr>
                <w:lang w:eastAsia="en-AU"/>
              </w:rPr>
            </w:pPr>
            <w:r>
              <w:rPr>
                <w:lang w:eastAsia="en-AU"/>
              </w:rPr>
              <w:t>38.</w:t>
            </w:r>
            <w:r w:rsidR="007F3592">
              <w:rPr>
                <w:lang w:eastAsia="en-AU"/>
              </w:rPr>
              <w:t>3%</w:t>
            </w:r>
          </w:p>
        </w:tc>
        <w:tc>
          <w:tcPr>
            <w:tcW w:w="0" w:type="auto"/>
          </w:tcPr>
          <w:p w14:paraId="6BE7CBC9" w14:textId="6D520E4B" w:rsidR="00AD6729" w:rsidRPr="003365E2" w:rsidRDefault="007F3592" w:rsidP="005A3519">
            <w:pPr>
              <w:pStyle w:val="Tabletext"/>
              <w:rPr>
                <w:lang w:eastAsia="en-AU"/>
              </w:rPr>
            </w:pPr>
            <w:r>
              <w:rPr>
                <w:lang w:eastAsia="en-AU"/>
              </w:rPr>
              <w:t>+12.58pp</w:t>
            </w:r>
          </w:p>
        </w:tc>
        <w:tc>
          <w:tcPr>
            <w:tcW w:w="0" w:type="auto"/>
          </w:tcPr>
          <w:p w14:paraId="3681C2E0" w14:textId="6618BF74" w:rsidR="00AD6729" w:rsidRDefault="006D16CA" w:rsidP="005A3519">
            <w:pPr>
              <w:pStyle w:val="Tabletext"/>
              <w:rPr>
                <w:lang w:eastAsia="en-AU"/>
              </w:rPr>
            </w:pPr>
            <w:r>
              <w:rPr>
                <w:lang w:eastAsia="en-AU"/>
              </w:rPr>
              <w:t>Moderate (13</w:t>
            </w:r>
            <w:r w:rsidR="00D25757">
              <w:rPr>
                <w:rFonts w:cs="Arial"/>
                <w:szCs w:val="21"/>
                <w:lang w:eastAsia="en-AU"/>
              </w:rPr>
              <w:t xml:space="preserve"> – Matrix</w:t>
            </w:r>
            <w:r>
              <w:rPr>
                <w:lang w:eastAsia="en-AU"/>
              </w:rPr>
              <w:t>)</w:t>
            </w:r>
          </w:p>
        </w:tc>
      </w:tr>
      <w:tr w:rsidR="00AD6729" w:rsidRPr="003365E2" w14:paraId="55C637BE" w14:textId="77777777" w:rsidTr="00B332E5">
        <w:tc>
          <w:tcPr>
            <w:tcW w:w="0" w:type="auto"/>
            <w:vMerge/>
          </w:tcPr>
          <w:p w14:paraId="34533331" w14:textId="77777777" w:rsidR="00AD6729" w:rsidRDefault="00AD6729" w:rsidP="005A3519">
            <w:pPr>
              <w:pStyle w:val="Tabletext"/>
              <w:rPr>
                <w:lang w:eastAsia="en-AU"/>
              </w:rPr>
            </w:pPr>
          </w:p>
        </w:tc>
        <w:tc>
          <w:tcPr>
            <w:tcW w:w="0" w:type="auto"/>
          </w:tcPr>
          <w:p w14:paraId="0E0AFF7E" w14:textId="01D06281" w:rsidR="00AD6729" w:rsidRDefault="00AD6729" w:rsidP="005A3519">
            <w:pPr>
              <w:pStyle w:val="Tabletext"/>
              <w:rPr>
                <w:lang w:eastAsia="en-AU"/>
              </w:rPr>
            </w:pPr>
            <w:r>
              <w:rPr>
                <w:lang w:eastAsia="en-AU"/>
              </w:rPr>
              <w:t xml:space="preserve">Self-described </w:t>
            </w:r>
          </w:p>
        </w:tc>
        <w:tc>
          <w:tcPr>
            <w:tcW w:w="0" w:type="auto"/>
          </w:tcPr>
          <w:p w14:paraId="76DFBB69" w14:textId="530B6D32" w:rsidR="00AD6729" w:rsidRDefault="007F3592" w:rsidP="005A3519">
            <w:pPr>
              <w:pStyle w:val="Tabletext"/>
              <w:rPr>
                <w:lang w:eastAsia="en-AU"/>
              </w:rPr>
            </w:pPr>
            <w:r>
              <w:rPr>
                <w:lang w:eastAsia="en-AU"/>
              </w:rPr>
              <w:t>50.0%</w:t>
            </w:r>
          </w:p>
        </w:tc>
        <w:tc>
          <w:tcPr>
            <w:tcW w:w="0" w:type="auto"/>
          </w:tcPr>
          <w:p w14:paraId="00259878" w14:textId="0BBD4CAF" w:rsidR="00AD6729" w:rsidRPr="003365E2" w:rsidRDefault="007F3592" w:rsidP="005A3519">
            <w:pPr>
              <w:pStyle w:val="Tabletext"/>
              <w:rPr>
                <w:lang w:eastAsia="en-AU"/>
              </w:rPr>
            </w:pPr>
            <w:r>
              <w:rPr>
                <w:lang w:eastAsia="en-AU"/>
              </w:rPr>
              <w:t>14.3%</w:t>
            </w:r>
          </w:p>
        </w:tc>
        <w:tc>
          <w:tcPr>
            <w:tcW w:w="0" w:type="auto"/>
          </w:tcPr>
          <w:p w14:paraId="3D56E7AB" w14:textId="7BCB660E" w:rsidR="00AD6729" w:rsidRPr="003365E2" w:rsidRDefault="007F3592" w:rsidP="005A3519">
            <w:pPr>
              <w:pStyle w:val="Tabletext"/>
              <w:rPr>
                <w:lang w:eastAsia="en-AU"/>
              </w:rPr>
            </w:pPr>
            <w:r>
              <w:rPr>
                <w:lang w:eastAsia="en-AU"/>
              </w:rPr>
              <w:t>28.6%</w:t>
            </w:r>
          </w:p>
        </w:tc>
        <w:tc>
          <w:tcPr>
            <w:tcW w:w="0" w:type="auto"/>
          </w:tcPr>
          <w:p w14:paraId="4A026E2D" w14:textId="6E6B851C" w:rsidR="00AD6729" w:rsidRPr="003365E2" w:rsidRDefault="007F3592" w:rsidP="005A3519">
            <w:pPr>
              <w:pStyle w:val="Tabletext"/>
              <w:rPr>
                <w:lang w:eastAsia="en-AU"/>
              </w:rPr>
            </w:pPr>
            <w:r>
              <w:rPr>
                <w:lang w:eastAsia="en-AU"/>
              </w:rPr>
              <w:t>-21.43pp</w:t>
            </w:r>
          </w:p>
        </w:tc>
        <w:tc>
          <w:tcPr>
            <w:tcW w:w="0" w:type="auto"/>
            <w:shd w:val="clear" w:color="auto" w:fill="BFBFBF" w:themeFill="background1" w:themeFillShade="BF"/>
          </w:tcPr>
          <w:p w14:paraId="5A49A184" w14:textId="3CA36BFF" w:rsidR="00AD6729" w:rsidRDefault="00B332E5" w:rsidP="005A3519">
            <w:pPr>
              <w:pStyle w:val="Tabletext"/>
              <w:rPr>
                <w:lang w:eastAsia="en-AU"/>
              </w:rPr>
            </w:pPr>
            <w:r>
              <w:rPr>
                <w:lang w:eastAsia="en-AU"/>
              </w:rPr>
              <w:t>n/a</w:t>
            </w:r>
          </w:p>
        </w:tc>
      </w:tr>
    </w:tbl>
    <w:p w14:paraId="669E1683" w14:textId="77777777" w:rsidR="0045737D" w:rsidRDefault="0045737D" w:rsidP="00F0524B">
      <w:pPr>
        <w:pStyle w:val="Tablefigurenote"/>
      </w:pPr>
      <w:r w:rsidRPr="006C41AA">
        <w:lastRenderedPageBreak/>
        <w:t>Source: People matter survey data, 2021, 2023 and 2025.</w:t>
      </w:r>
    </w:p>
    <w:p w14:paraId="6C2F8E7B" w14:textId="175ABA2C" w:rsidR="00602D8F" w:rsidRDefault="00F0524B" w:rsidP="00602D8F">
      <w:pPr>
        <w:pStyle w:val="Tablefigurenote"/>
        <w:rPr>
          <w:b/>
        </w:rPr>
      </w:pPr>
      <w:r w:rsidRPr="00C27278">
        <w:t xml:space="preserve">Notes: To understand how to interpret the different types of progress ratings, see </w:t>
      </w:r>
      <w:hyperlink w:anchor="_Data_measures" w:history="1">
        <w:r w:rsidR="00FA2346">
          <w:rPr>
            <w:rStyle w:val="Hyperlink"/>
            <w:rFonts w:cs="Times New Roman"/>
          </w:rPr>
          <w:t>Data measures</w:t>
        </w:r>
      </w:hyperlink>
      <w:r w:rsidR="00FA2346">
        <w:t xml:space="preserve"> in </w:t>
      </w:r>
      <w:r w:rsidR="00FA2346" w:rsidRPr="00A2089E">
        <w:t>Appendix 1</w:t>
      </w:r>
      <w:r w:rsidR="00FA2346">
        <w:t>.</w:t>
      </w:r>
      <w:r w:rsidR="006210C1">
        <w:t xml:space="preserve"> </w:t>
      </w:r>
      <w:r w:rsidR="006210C1" w:rsidRPr="00AE1037">
        <w:t xml:space="preserve">The </w:t>
      </w:r>
      <w:r w:rsidR="006210C1">
        <w:t xml:space="preserve">percentage point </w:t>
      </w:r>
      <w:r w:rsidR="006210C1" w:rsidRPr="00AE1037">
        <w:t>change column may not always reflect the exact difference between years due to rounding</w:t>
      </w:r>
      <w:r w:rsidRPr="00C27278">
        <w:t>.</w:t>
      </w:r>
    </w:p>
    <w:p w14:paraId="0D8BB7A7" w14:textId="69490134" w:rsidR="00602D8F" w:rsidRPr="009B13A7" w:rsidRDefault="00602D8F" w:rsidP="00CE0CB7">
      <w:pPr>
        <w:pStyle w:val="Tablecaption"/>
      </w:pPr>
      <w:r w:rsidRPr="009B13A7">
        <w:rPr>
          <w:rFonts w:eastAsia="Times"/>
        </w:rPr>
        <w:t>Table 4.</w:t>
      </w:r>
      <w:r w:rsidRPr="00DE554A">
        <w:rPr>
          <w:rFonts w:eastAsia="Times"/>
        </w:rPr>
        <w:t>3</w:t>
      </w:r>
      <w:r w:rsidR="00EE0CBB">
        <w:rPr>
          <w:rFonts w:eastAsia="Times"/>
        </w:rPr>
        <w:t>:</w:t>
      </w:r>
      <w:r w:rsidRPr="009B13A7">
        <w:t xml:space="preserve"> Total </w:t>
      </w:r>
      <w:r w:rsidRPr="009B13A7">
        <w:rPr>
          <w:lang w:eastAsia="en-AU"/>
        </w:rPr>
        <w:t xml:space="preserve">number of complainants who formally reported sexual harassment according to workforce data by industry </w:t>
      </w:r>
    </w:p>
    <w:tbl>
      <w:tblPr>
        <w:tblStyle w:val="CGEPStable"/>
        <w:tblW w:w="0" w:type="auto"/>
        <w:tblLook w:val="04A0" w:firstRow="1" w:lastRow="0" w:firstColumn="1" w:lastColumn="0" w:noHBand="0" w:noVBand="1"/>
      </w:tblPr>
      <w:tblGrid>
        <w:gridCol w:w="1733"/>
        <w:gridCol w:w="1733"/>
        <w:gridCol w:w="1733"/>
        <w:gridCol w:w="1733"/>
        <w:gridCol w:w="1733"/>
      </w:tblGrid>
      <w:tr w:rsidR="00602D8F" w14:paraId="10C76833" w14:textId="77777777" w:rsidTr="00FB1ADD">
        <w:trPr>
          <w:cnfStyle w:val="100000000000" w:firstRow="1" w:lastRow="0" w:firstColumn="0" w:lastColumn="0" w:oddVBand="0" w:evenVBand="0" w:oddHBand="0" w:evenHBand="0" w:firstRowFirstColumn="0" w:firstRowLastColumn="0" w:lastRowFirstColumn="0" w:lastRowLastColumn="0"/>
          <w:trHeight w:val="863"/>
        </w:trPr>
        <w:tc>
          <w:tcPr>
            <w:tcW w:w="1733" w:type="dxa"/>
          </w:tcPr>
          <w:p w14:paraId="44114135" w14:textId="77777777" w:rsidR="00602D8F" w:rsidRPr="00687235" w:rsidRDefault="00602D8F" w:rsidP="00FB1ADD">
            <w:pPr>
              <w:pStyle w:val="Tablefigurenote"/>
              <w:rPr>
                <w:b/>
                <w:color w:val="7030A0"/>
              </w:rPr>
            </w:pPr>
            <w:r w:rsidRPr="00687235">
              <w:rPr>
                <w:b/>
                <w:color w:val="7030A0"/>
                <w:lang w:eastAsia="en-AU"/>
              </w:rPr>
              <w:t>Industry</w:t>
            </w:r>
          </w:p>
        </w:tc>
        <w:tc>
          <w:tcPr>
            <w:tcW w:w="1733" w:type="dxa"/>
          </w:tcPr>
          <w:p w14:paraId="64FF694A" w14:textId="77777777" w:rsidR="00602D8F" w:rsidRPr="00687235" w:rsidRDefault="00602D8F" w:rsidP="00FB1ADD">
            <w:pPr>
              <w:pStyle w:val="Tablefigurenote"/>
              <w:rPr>
                <w:b/>
                <w:color w:val="7030A0"/>
              </w:rPr>
            </w:pPr>
            <w:r w:rsidRPr="00687235">
              <w:rPr>
                <w:b/>
                <w:color w:val="7030A0"/>
                <w:lang w:eastAsia="en-AU"/>
              </w:rPr>
              <w:t xml:space="preserve">2021 </w:t>
            </w:r>
          </w:p>
        </w:tc>
        <w:tc>
          <w:tcPr>
            <w:tcW w:w="1733" w:type="dxa"/>
          </w:tcPr>
          <w:p w14:paraId="35773053" w14:textId="77777777" w:rsidR="00602D8F" w:rsidRPr="00687235" w:rsidRDefault="00602D8F" w:rsidP="00FB1ADD">
            <w:pPr>
              <w:pStyle w:val="Tablefigurenote"/>
              <w:rPr>
                <w:b/>
                <w:color w:val="7030A0"/>
              </w:rPr>
            </w:pPr>
            <w:r w:rsidRPr="00687235">
              <w:rPr>
                <w:b/>
                <w:color w:val="7030A0"/>
                <w:lang w:eastAsia="en-AU"/>
              </w:rPr>
              <w:t xml:space="preserve">2023 </w:t>
            </w:r>
          </w:p>
        </w:tc>
        <w:tc>
          <w:tcPr>
            <w:tcW w:w="1733" w:type="dxa"/>
          </w:tcPr>
          <w:p w14:paraId="38859DF8" w14:textId="77777777" w:rsidR="00602D8F" w:rsidRPr="00687235" w:rsidRDefault="00602D8F" w:rsidP="00FB1ADD">
            <w:pPr>
              <w:pStyle w:val="Tablefigurenote"/>
              <w:rPr>
                <w:b/>
                <w:color w:val="7030A0"/>
              </w:rPr>
            </w:pPr>
            <w:r w:rsidRPr="00687235">
              <w:rPr>
                <w:b/>
                <w:color w:val="7030A0"/>
                <w:lang w:eastAsia="en-AU"/>
              </w:rPr>
              <w:t xml:space="preserve">2025 </w:t>
            </w:r>
          </w:p>
        </w:tc>
        <w:tc>
          <w:tcPr>
            <w:tcW w:w="1733" w:type="dxa"/>
          </w:tcPr>
          <w:p w14:paraId="790A074F" w14:textId="77777777" w:rsidR="00602D8F" w:rsidRPr="00687235" w:rsidRDefault="00602D8F" w:rsidP="00FB1ADD">
            <w:pPr>
              <w:pStyle w:val="Tablefigurenote"/>
              <w:rPr>
                <w:b/>
                <w:color w:val="7030A0"/>
              </w:rPr>
            </w:pPr>
            <w:r>
              <w:rPr>
                <w:b/>
                <w:bCs/>
                <w:color w:val="7030A0"/>
                <w:lang w:eastAsia="en-AU"/>
              </w:rPr>
              <w:t>Change</w:t>
            </w:r>
            <w:r w:rsidRPr="00687235">
              <w:rPr>
                <w:b/>
                <w:bCs/>
                <w:color w:val="7030A0"/>
                <w:lang w:eastAsia="en-AU"/>
              </w:rPr>
              <w:t xml:space="preserve"> 2021-2025 </w:t>
            </w:r>
          </w:p>
        </w:tc>
      </w:tr>
      <w:tr w:rsidR="00602D8F" w14:paraId="5958E172" w14:textId="77777777" w:rsidTr="00FB1ADD">
        <w:trPr>
          <w:trHeight w:val="369"/>
        </w:trPr>
        <w:tc>
          <w:tcPr>
            <w:tcW w:w="1733" w:type="dxa"/>
          </w:tcPr>
          <w:p w14:paraId="4CF521CD" w14:textId="77777777" w:rsidR="00602D8F" w:rsidRDefault="00602D8F" w:rsidP="00FB1ADD">
            <w:pPr>
              <w:pStyle w:val="Tablefigurenote"/>
            </w:pPr>
            <w:r>
              <w:rPr>
                <w:lang w:eastAsia="en-AU"/>
              </w:rPr>
              <w:t>Community and cultural services</w:t>
            </w:r>
          </w:p>
        </w:tc>
        <w:tc>
          <w:tcPr>
            <w:tcW w:w="1733" w:type="dxa"/>
          </w:tcPr>
          <w:p w14:paraId="731E94EE" w14:textId="77777777" w:rsidR="00602D8F" w:rsidRDefault="00602D8F" w:rsidP="00FB1ADD">
            <w:pPr>
              <w:pStyle w:val="Tablefigurenote"/>
            </w:pPr>
            <w:r>
              <w:t>19</w:t>
            </w:r>
          </w:p>
        </w:tc>
        <w:tc>
          <w:tcPr>
            <w:tcW w:w="1733" w:type="dxa"/>
          </w:tcPr>
          <w:p w14:paraId="77445808" w14:textId="77777777" w:rsidR="00602D8F" w:rsidRDefault="00602D8F" w:rsidP="00FB1ADD">
            <w:pPr>
              <w:pStyle w:val="Tablefigurenote"/>
            </w:pPr>
            <w:r>
              <w:t>25</w:t>
            </w:r>
          </w:p>
        </w:tc>
        <w:tc>
          <w:tcPr>
            <w:tcW w:w="1733" w:type="dxa"/>
          </w:tcPr>
          <w:p w14:paraId="13F22890" w14:textId="77777777" w:rsidR="00602D8F" w:rsidRDefault="00602D8F" w:rsidP="00FB1ADD">
            <w:pPr>
              <w:pStyle w:val="Tablefigurenote"/>
            </w:pPr>
            <w:r>
              <w:t>86</w:t>
            </w:r>
          </w:p>
        </w:tc>
        <w:tc>
          <w:tcPr>
            <w:tcW w:w="1733" w:type="dxa"/>
          </w:tcPr>
          <w:p w14:paraId="4C0AE751" w14:textId="551DC977" w:rsidR="00602D8F" w:rsidRDefault="008D7E54" w:rsidP="00FB1ADD">
            <w:pPr>
              <w:pStyle w:val="Tablefigurenote"/>
            </w:pPr>
            <w:r>
              <w:t>+</w:t>
            </w:r>
            <w:r w:rsidR="00602D8F">
              <w:t>67</w:t>
            </w:r>
          </w:p>
        </w:tc>
      </w:tr>
      <w:tr w:rsidR="00602D8F" w14:paraId="3D2CA8D5" w14:textId="77777777" w:rsidTr="00FB1ADD">
        <w:trPr>
          <w:trHeight w:val="354"/>
        </w:trPr>
        <w:tc>
          <w:tcPr>
            <w:tcW w:w="1733" w:type="dxa"/>
          </w:tcPr>
          <w:p w14:paraId="41CDB625" w14:textId="77777777" w:rsidR="00602D8F" w:rsidRDefault="00602D8F" w:rsidP="00FB1ADD">
            <w:pPr>
              <w:pStyle w:val="Tablefigurenote"/>
            </w:pPr>
            <w:r>
              <w:rPr>
                <w:lang w:eastAsia="en-AU"/>
              </w:rPr>
              <w:t>Finance and insurance</w:t>
            </w:r>
          </w:p>
        </w:tc>
        <w:tc>
          <w:tcPr>
            <w:tcW w:w="1733" w:type="dxa"/>
          </w:tcPr>
          <w:p w14:paraId="0BD17A38" w14:textId="77777777" w:rsidR="00602D8F" w:rsidRDefault="00602D8F" w:rsidP="00FB1ADD">
            <w:pPr>
              <w:pStyle w:val="Tablefigurenote"/>
            </w:pPr>
            <w:r>
              <w:t>3</w:t>
            </w:r>
          </w:p>
        </w:tc>
        <w:tc>
          <w:tcPr>
            <w:tcW w:w="1733" w:type="dxa"/>
          </w:tcPr>
          <w:p w14:paraId="7E4A6279" w14:textId="77777777" w:rsidR="00602D8F" w:rsidRDefault="00602D8F" w:rsidP="00FB1ADD">
            <w:pPr>
              <w:pStyle w:val="Tablefigurenote"/>
            </w:pPr>
            <w:r>
              <w:t>6</w:t>
            </w:r>
          </w:p>
        </w:tc>
        <w:tc>
          <w:tcPr>
            <w:tcW w:w="1733" w:type="dxa"/>
          </w:tcPr>
          <w:p w14:paraId="06B0BBA3" w14:textId="77777777" w:rsidR="00602D8F" w:rsidRDefault="00602D8F" w:rsidP="00FB1ADD">
            <w:pPr>
              <w:pStyle w:val="Tablefigurenote"/>
            </w:pPr>
            <w:r>
              <w:t>6</w:t>
            </w:r>
          </w:p>
        </w:tc>
        <w:tc>
          <w:tcPr>
            <w:tcW w:w="1733" w:type="dxa"/>
          </w:tcPr>
          <w:p w14:paraId="451B2379" w14:textId="3D5747E9" w:rsidR="00602D8F" w:rsidRDefault="008D7E54" w:rsidP="00FB1ADD">
            <w:pPr>
              <w:pStyle w:val="Tablefigurenote"/>
            </w:pPr>
            <w:r>
              <w:t>+</w:t>
            </w:r>
            <w:r w:rsidR="00602D8F">
              <w:t>3</w:t>
            </w:r>
          </w:p>
        </w:tc>
      </w:tr>
      <w:tr w:rsidR="00602D8F" w14:paraId="66F0D3AA" w14:textId="77777777" w:rsidTr="00FB1ADD">
        <w:trPr>
          <w:trHeight w:val="369"/>
        </w:trPr>
        <w:tc>
          <w:tcPr>
            <w:tcW w:w="1733" w:type="dxa"/>
          </w:tcPr>
          <w:p w14:paraId="7555BEFB" w14:textId="77777777" w:rsidR="00602D8F" w:rsidRDefault="00602D8F" w:rsidP="00FB1ADD">
            <w:pPr>
              <w:pStyle w:val="Tablefigurenote"/>
            </w:pPr>
            <w:r w:rsidRPr="00406DA3">
              <w:rPr>
                <w:lang w:eastAsia="en-AU"/>
              </w:rPr>
              <w:t>Local government</w:t>
            </w:r>
          </w:p>
        </w:tc>
        <w:tc>
          <w:tcPr>
            <w:tcW w:w="1733" w:type="dxa"/>
          </w:tcPr>
          <w:p w14:paraId="758C8796" w14:textId="77777777" w:rsidR="00602D8F" w:rsidRDefault="00602D8F" w:rsidP="00FB1ADD">
            <w:pPr>
              <w:pStyle w:val="Tablefigurenote"/>
            </w:pPr>
            <w:r>
              <w:t>37</w:t>
            </w:r>
          </w:p>
        </w:tc>
        <w:tc>
          <w:tcPr>
            <w:tcW w:w="1733" w:type="dxa"/>
          </w:tcPr>
          <w:p w14:paraId="2B3A6E9E" w14:textId="77777777" w:rsidR="00602D8F" w:rsidRDefault="00602D8F" w:rsidP="00FB1ADD">
            <w:pPr>
              <w:pStyle w:val="Tablefigurenote"/>
            </w:pPr>
            <w:r>
              <w:t>81</w:t>
            </w:r>
          </w:p>
        </w:tc>
        <w:tc>
          <w:tcPr>
            <w:tcW w:w="1733" w:type="dxa"/>
          </w:tcPr>
          <w:p w14:paraId="7BB2773D" w14:textId="77777777" w:rsidR="00602D8F" w:rsidRDefault="00602D8F" w:rsidP="00FB1ADD">
            <w:pPr>
              <w:pStyle w:val="Tablefigurenote"/>
            </w:pPr>
            <w:r>
              <w:t>163</w:t>
            </w:r>
          </w:p>
        </w:tc>
        <w:tc>
          <w:tcPr>
            <w:tcW w:w="1733" w:type="dxa"/>
          </w:tcPr>
          <w:p w14:paraId="0895692F" w14:textId="07135C0F" w:rsidR="00602D8F" w:rsidRDefault="008D7E54" w:rsidP="00FB1ADD">
            <w:pPr>
              <w:pStyle w:val="Tablefigurenote"/>
            </w:pPr>
            <w:r>
              <w:t>+</w:t>
            </w:r>
            <w:r w:rsidR="00602D8F">
              <w:t>126</w:t>
            </w:r>
          </w:p>
        </w:tc>
      </w:tr>
      <w:tr w:rsidR="00602D8F" w14:paraId="19509025" w14:textId="77777777" w:rsidTr="00FB1ADD">
        <w:trPr>
          <w:trHeight w:val="369"/>
        </w:trPr>
        <w:tc>
          <w:tcPr>
            <w:tcW w:w="1733" w:type="dxa"/>
          </w:tcPr>
          <w:p w14:paraId="3FF50550" w14:textId="77777777" w:rsidR="00602D8F" w:rsidRDefault="00602D8F" w:rsidP="00FB1ADD">
            <w:pPr>
              <w:pStyle w:val="Tablefigurenote"/>
            </w:pPr>
            <w:r>
              <w:rPr>
                <w:lang w:eastAsia="en-AU"/>
              </w:rPr>
              <w:t>Other</w:t>
            </w:r>
          </w:p>
        </w:tc>
        <w:tc>
          <w:tcPr>
            <w:tcW w:w="1733" w:type="dxa"/>
          </w:tcPr>
          <w:p w14:paraId="35D99EC3" w14:textId="77777777" w:rsidR="00602D8F" w:rsidRDefault="00602D8F" w:rsidP="00FB1ADD">
            <w:pPr>
              <w:pStyle w:val="Tablefigurenote"/>
            </w:pPr>
            <w:r>
              <w:t>1</w:t>
            </w:r>
          </w:p>
        </w:tc>
        <w:tc>
          <w:tcPr>
            <w:tcW w:w="1733" w:type="dxa"/>
          </w:tcPr>
          <w:p w14:paraId="78AC6A5D" w14:textId="77777777" w:rsidR="00602D8F" w:rsidRDefault="00602D8F" w:rsidP="00FB1ADD">
            <w:pPr>
              <w:pStyle w:val="Tablefigurenote"/>
            </w:pPr>
            <w:r>
              <w:t>3</w:t>
            </w:r>
          </w:p>
        </w:tc>
        <w:tc>
          <w:tcPr>
            <w:tcW w:w="1733" w:type="dxa"/>
          </w:tcPr>
          <w:p w14:paraId="09797596" w14:textId="77777777" w:rsidR="00602D8F" w:rsidRDefault="00602D8F" w:rsidP="00FB1ADD">
            <w:pPr>
              <w:pStyle w:val="Tablefigurenote"/>
            </w:pPr>
            <w:r>
              <w:t>9</w:t>
            </w:r>
          </w:p>
        </w:tc>
        <w:tc>
          <w:tcPr>
            <w:tcW w:w="1733" w:type="dxa"/>
          </w:tcPr>
          <w:p w14:paraId="13A0C274" w14:textId="751405DC" w:rsidR="00602D8F" w:rsidRDefault="008D7E54" w:rsidP="00FB1ADD">
            <w:pPr>
              <w:pStyle w:val="Tablefigurenote"/>
            </w:pPr>
            <w:r>
              <w:t>+</w:t>
            </w:r>
            <w:r w:rsidR="00602D8F">
              <w:t>8</w:t>
            </w:r>
          </w:p>
        </w:tc>
      </w:tr>
      <w:tr w:rsidR="00602D8F" w14:paraId="6A4F19CB" w14:textId="77777777" w:rsidTr="00FB1ADD">
        <w:trPr>
          <w:trHeight w:val="354"/>
        </w:trPr>
        <w:tc>
          <w:tcPr>
            <w:tcW w:w="1733" w:type="dxa"/>
          </w:tcPr>
          <w:p w14:paraId="42B6912A" w14:textId="77777777" w:rsidR="00602D8F" w:rsidRDefault="00602D8F" w:rsidP="00FB1ADD">
            <w:pPr>
              <w:pStyle w:val="Tablefigurenote"/>
            </w:pPr>
            <w:r w:rsidRPr="00406DA3">
              <w:rPr>
                <w:lang w:eastAsia="en-AU"/>
              </w:rPr>
              <w:t>Police and emergency services</w:t>
            </w:r>
          </w:p>
        </w:tc>
        <w:tc>
          <w:tcPr>
            <w:tcW w:w="1733" w:type="dxa"/>
          </w:tcPr>
          <w:p w14:paraId="70EBDB29" w14:textId="77777777" w:rsidR="00602D8F" w:rsidRDefault="00602D8F" w:rsidP="00FB1ADD">
            <w:pPr>
              <w:pStyle w:val="Tablefigurenote"/>
            </w:pPr>
            <w:r>
              <w:t>87</w:t>
            </w:r>
          </w:p>
        </w:tc>
        <w:tc>
          <w:tcPr>
            <w:tcW w:w="1733" w:type="dxa"/>
          </w:tcPr>
          <w:p w14:paraId="2343AB1C" w14:textId="77777777" w:rsidR="00602D8F" w:rsidRDefault="00602D8F" w:rsidP="00FB1ADD">
            <w:pPr>
              <w:pStyle w:val="Tablefigurenote"/>
            </w:pPr>
            <w:r>
              <w:t>229</w:t>
            </w:r>
          </w:p>
        </w:tc>
        <w:tc>
          <w:tcPr>
            <w:tcW w:w="1733" w:type="dxa"/>
          </w:tcPr>
          <w:p w14:paraId="76080458" w14:textId="77777777" w:rsidR="00602D8F" w:rsidRDefault="00602D8F" w:rsidP="00FB1ADD">
            <w:pPr>
              <w:pStyle w:val="Tablefigurenote"/>
            </w:pPr>
            <w:r>
              <w:t>109</w:t>
            </w:r>
          </w:p>
        </w:tc>
        <w:tc>
          <w:tcPr>
            <w:tcW w:w="1733" w:type="dxa"/>
          </w:tcPr>
          <w:p w14:paraId="2C9BA67F" w14:textId="72921269" w:rsidR="00602D8F" w:rsidRDefault="008D7E54" w:rsidP="00FB1ADD">
            <w:pPr>
              <w:pStyle w:val="Tablefigurenote"/>
            </w:pPr>
            <w:r>
              <w:t>+</w:t>
            </w:r>
            <w:r w:rsidR="00602D8F">
              <w:t>22</w:t>
            </w:r>
          </w:p>
        </w:tc>
      </w:tr>
      <w:tr w:rsidR="00602D8F" w14:paraId="2B006409" w14:textId="77777777" w:rsidTr="00FB1ADD">
        <w:trPr>
          <w:trHeight w:val="369"/>
        </w:trPr>
        <w:tc>
          <w:tcPr>
            <w:tcW w:w="1733" w:type="dxa"/>
          </w:tcPr>
          <w:p w14:paraId="779D81C5" w14:textId="77777777" w:rsidR="00602D8F" w:rsidRDefault="00602D8F" w:rsidP="00FB1ADD">
            <w:pPr>
              <w:pStyle w:val="Tablefigurenote"/>
            </w:pPr>
            <w:r w:rsidRPr="00406DA3">
              <w:rPr>
                <w:lang w:eastAsia="en-AU"/>
              </w:rPr>
              <w:t>Public health care</w:t>
            </w:r>
          </w:p>
        </w:tc>
        <w:tc>
          <w:tcPr>
            <w:tcW w:w="1733" w:type="dxa"/>
          </w:tcPr>
          <w:p w14:paraId="70885A86" w14:textId="77777777" w:rsidR="00602D8F" w:rsidRDefault="00602D8F" w:rsidP="00FB1ADD">
            <w:pPr>
              <w:pStyle w:val="Tablefigurenote"/>
            </w:pPr>
            <w:r>
              <w:t>946</w:t>
            </w:r>
          </w:p>
        </w:tc>
        <w:tc>
          <w:tcPr>
            <w:tcW w:w="1733" w:type="dxa"/>
          </w:tcPr>
          <w:p w14:paraId="3A05BF8A" w14:textId="77777777" w:rsidR="00602D8F" w:rsidRDefault="00602D8F" w:rsidP="00FB1ADD">
            <w:pPr>
              <w:pStyle w:val="Tablefigurenote"/>
            </w:pPr>
            <w:r>
              <w:t>409</w:t>
            </w:r>
          </w:p>
        </w:tc>
        <w:tc>
          <w:tcPr>
            <w:tcW w:w="1733" w:type="dxa"/>
          </w:tcPr>
          <w:p w14:paraId="0991EA87" w14:textId="77777777" w:rsidR="00602D8F" w:rsidRDefault="00602D8F" w:rsidP="00FB1ADD">
            <w:pPr>
              <w:pStyle w:val="Tablefigurenote"/>
            </w:pPr>
            <w:r>
              <w:t>1464</w:t>
            </w:r>
          </w:p>
        </w:tc>
        <w:tc>
          <w:tcPr>
            <w:tcW w:w="1733" w:type="dxa"/>
          </w:tcPr>
          <w:p w14:paraId="3DDEE4E8" w14:textId="36D5F0A0" w:rsidR="00602D8F" w:rsidRDefault="008D7E54" w:rsidP="00FB1ADD">
            <w:pPr>
              <w:pStyle w:val="Tablefigurenote"/>
            </w:pPr>
            <w:r>
              <w:t>+</w:t>
            </w:r>
            <w:r w:rsidR="00602D8F">
              <w:t>518</w:t>
            </w:r>
          </w:p>
        </w:tc>
      </w:tr>
      <w:tr w:rsidR="00602D8F" w14:paraId="5675403C" w14:textId="77777777" w:rsidTr="00FB1ADD">
        <w:trPr>
          <w:trHeight w:val="369"/>
        </w:trPr>
        <w:tc>
          <w:tcPr>
            <w:tcW w:w="1733" w:type="dxa"/>
          </w:tcPr>
          <w:p w14:paraId="490A793F" w14:textId="77777777" w:rsidR="00602D8F" w:rsidRDefault="00602D8F" w:rsidP="00FB1ADD">
            <w:pPr>
              <w:pStyle w:val="Tablefigurenote"/>
            </w:pPr>
            <w:r w:rsidRPr="00406DA3">
              <w:rPr>
                <w:lang w:eastAsia="en-AU"/>
              </w:rPr>
              <w:t>TAFE and other education</w:t>
            </w:r>
          </w:p>
        </w:tc>
        <w:tc>
          <w:tcPr>
            <w:tcW w:w="1733" w:type="dxa"/>
          </w:tcPr>
          <w:p w14:paraId="31DA46C5" w14:textId="77777777" w:rsidR="00602D8F" w:rsidRDefault="00602D8F" w:rsidP="00FB1ADD">
            <w:pPr>
              <w:pStyle w:val="Tablefigurenote"/>
            </w:pPr>
            <w:r>
              <w:t>4</w:t>
            </w:r>
          </w:p>
        </w:tc>
        <w:tc>
          <w:tcPr>
            <w:tcW w:w="1733" w:type="dxa"/>
          </w:tcPr>
          <w:p w14:paraId="1DD9C817" w14:textId="77777777" w:rsidR="00602D8F" w:rsidRDefault="00602D8F" w:rsidP="00FB1ADD">
            <w:pPr>
              <w:pStyle w:val="Tablefigurenote"/>
            </w:pPr>
            <w:r>
              <w:t>14</w:t>
            </w:r>
          </w:p>
        </w:tc>
        <w:tc>
          <w:tcPr>
            <w:tcW w:w="1733" w:type="dxa"/>
          </w:tcPr>
          <w:p w14:paraId="46DDC9A3" w14:textId="77777777" w:rsidR="00602D8F" w:rsidRDefault="00602D8F" w:rsidP="00FB1ADD">
            <w:pPr>
              <w:pStyle w:val="Tablefigurenote"/>
            </w:pPr>
            <w:r>
              <w:t>61</w:t>
            </w:r>
          </w:p>
        </w:tc>
        <w:tc>
          <w:tcPr>
            <w:tcW w:w="1733" w:type="dxa"/>
          </w:tcPr>
          <w:p w14:paraId="458D3D4B" w14:textId="133E790B" w:rsidR="00602D8F" w:rsidRDefault="008D7E54" w:rsidP="00FB1ADD">
            <w:pPr>
              <w:pStyle w:val="Tablefigurenote"/>
            </w:pPr>
            <w:r>
              <w:t>+</w:t>
            </w:r>
            <w:r w:rsidR="00602D8F">
              <w:t>57</w:t>
            </w:r>
          </w:p>
        </w:tc>
      </w:tr>
      <w:tr w:rsidR="00602D8F" w14:paraId="2E3C0669" w14:textId="77777777" w:rsidTr="00FB1ADD">
        <w:trPr>
          <w:trHeight w:val="354"/>
        </w:trPr>
        <w:tc>
          <w:tcPr>
            <w:tcW w:w="1733" w:type="dxa"/>
          </w:tcPr>
          <w:p w14:paraId="6B2E1D67" w14:textId="77777777" w:rsidR="00602D8F" w:rsidRDefault="00602D8F" w:rsidP="00FB1ADD">
            <w:pPr>
              <w:pStyle w:val="Tablefigurenote"/>
            </w:pPr>
            <w:r>
              <w:rPr>
                <w:lang w:eastAsia="en-AU"/>
              </w:rPr>
              <w:t>Transport</w:t>
            </w:r>
          </w:p>
        </w:tc>
        <w:tc>
          <w:tcPr>
            <w:tcW w:w="1733" w:type="dxa"/>
          </w:tcPr>
          <w:p w14:paraId="632AEFED" w14:textId="77777777" w:rsidR="00602D8F" w:rsidRDefault="00602D8F" w:rsidP="00FB1ADD">
            <w:pPr>
              <w:pStyle w:val="Tablefigurenote"/>
            </w:pPr>
            <w:r>
              <w:t>4</w:t>
            </w:r>
          </w:p>
        </w:tc>
        <w:tc>
          <w:tcPr>
            <w:tcW w:w="1733" w:type="dxa"/>
          </w:tcPr>
          <w:p w14:paraId="01434C84" w14:textId="77777777" w:rsidR="00602D8F" w:rsidRDefault="00602D8F" w:rsidP="00FB1ADD">
            <w:pPr>
              <w:pStyle w:val="Tablefigurenote"/>
            </w:pPr>
            <w:r>
              <w:t>11</w:t>
            </w:r>
          </w:p>
        </w:tc>
        <w:tc>
          <w:tcPr>
            <w:tcW w:w="1733" w:type="dxa"/>
          </w:tcPr>
          <w:p w14:paraId="0DDB0945" w14:textId="77777777" w:rsidR="00602D8F" w:rsidRDefault="00602D8F" w:rsidP="00FB1ADD">
            <w:pPr>
              <w:pStyle w:val="Tablefigurenote"/>
            </w:pPr>
            <w:r>
              <w:t>9</w:t>
            </w:r>
          </w:p>
        </w:tc>
        <w:tc>
          <w:tcPr>
            <w:tcW w:w="1733" w:type="dxa"/>
          </w:tcPr>
          <w:p w14:paraId="26FF6114" w14:textId="73978F8F" w:rsidR="00602D8F" w:rsidRDefault="008D7E54" w:rsidP="00FB1ADD">
            <w:pPr>
              <w:pStyle w:val="Tablefigurenote"/>
            </w:pPr>
            <w:r>
              <w:t>+</w:t>
            </w:r>
            <w:r w:rsidR="00602D8F">
              <w:t>5</w:t>
            </w:r>
          </w:p>
        </w:tc>
      </w:tr>
      <w:tr w:rsidR="00602D8F" w14:paraId="068CB893" w14:textId="77777777" w:rsidTr="00FB1ADD">
        <w:trPr>
          <w:trHeight w:val="369"/>
        </w:trPr>
        <w:tc>
          <w:tcPr>
            <w:tcW w:w="1733" w:type="dxa"/>
          </w:tcPr>
          <w:p w14:paraId="4FCEA693" w14:textId="77777777" w:rsidR="00602D8F" w:rsidRDefault="00602D8F" w:rsidP="00FB1ADD">
            <w:pPr>
              <w:pStyle w:val="Tablefigurenote"/>
            </w:pPr>
            <w:r w:rsidRPr="00406DA3">
              <w:rPr>
                <w:lang w:eastAsia="en-AU"/>
              </w:rPr>
              <w:t>Universities</w:t>
            </w:r>
          </w:p>
        </w:tc>
        <w:tc>
          <w:tcPr>
            <w:tcW w:w="1733" w:type="dxa"/>
          </w:tcPr>
          <w:p w14:paraId="45D92EFB" w14:textId="77777777" w:rsidR="00602D8F" w:rsidRDefault="00602D8F" w:rsidP="00FB1ADD">
            <w:pPr>
              <w:pStyle w:val="Tablefigurenote"/>
            </w:pPr>
            <w:r>
              <w:t>27</w:t>
            </w:r>
          </w:p>
        </w:tc>
        <w:tc>
          <w:tcPr>
            <w:tcW w:w="1733" w:type="dxa"/>
          </w:tcPr>
          <w:p w14:paraId="37EC1F9C" w14:textId="77777777" w:rsidR="00602D8F" w:rsidRDefault="00602D8F" w:rsidP="00FB1ADD">
            <w:pPr>
              <w:pStyle w:val="Tablefigurenote"/>
            </w:pPr>
            <w:r>
              <w:t>47</w:t>
            </w:r>
          </w:p>
        </w:tc>
        <w:tc>
          <w:tcPr>
            <w:tcW w:w="1733" w:type="dxa"/>
          </w:tcPr>
          <w:p w14:paraId="788587FF" w14:textId="77777777" w:rsidR="00602D8F" w:rsidRDefault="00602D8F" w:rsidP="00FB1ADD">
            <w:pPr>
              <w:pStyle w:val="Tablefigurenote"/>
            </w:pPr>
            <w:r>
              <w:t>116</w:t>
            </w:r>
          </w:p>
        </w:tc>
        <w:tc>
          <w:tcPr>
            <w:tcW w:w="1733" w:type="dxa"/>
          </w:tcPr>
          <w:p w14:paraId="35BF4A28" w14:textId="0E46FA2A" w:rsidR="00602D8F" w:rsidRDefault="008D7E54" w:rsidP="00FB1ADD">
            <w:pPr>
              <w:pStyle w:val="Tablefigurenote"/>
            </w:pPr>
            <w:r>
              <w:t>+</w:t>
            </w:r>
            <w:r w:rsidR="00602D8F">
              <w:t>89</w:t>
            </w:r>
          </w:p>
        </w:tc>
      </w:tr>
      <w:tr w:rsidR="00602D8F" w14:paraId="246767D1" w14:textId="77777777" w:rsidTr="00FB1ADD">
        <w:trPr>
          <w:trHeight w:val="369"/>
        </w:trPr>
        <w:tc>
          <w:tcPr>
            <w:tcW w:w="1733" w:type="dxa"/>
          </w:tcPr>
          <w:p w14:paraId="5F91A349" w14:textId="77777777" w:rsidR="00602D8F" w:rsidRDefault="00602D8F" w:rsidP="00FB1ADD">
            <w:pPr>
              <w:pStyle w:val="Tablefigurenote"/>
            </w:pPr>
            <w:r w:rsidRPr="00406DA3">
              <w:rPr>
                <w:lang w:eastAsia="en-AU"/>
              </w:rPr>
              <w:t xml:space="preserve">Victorian </w:t>
            </w:r>
            <w:r>
              <w:rPr>
                <w:lang w:eastAsia="en-AU"/>
              </w:rPr>
              <w:t>P</w:t>
            </w:r>
            <w:r w:rsidRPr="00406DA3">
              <w:rPr>
                <w:lang w:eastAsia="en-AU"/>
              </w:rPr>
              <w:t xml:space="preserve">ublic </w:t>
            </w:r>
            <w:r>
              <w:rPr>
                <w:lang w:eastAsia="en-AU"/>
              </w:rPr>
              <w:t>S</w:t>
            </w:r>
            <w:r w:rsidRPr="00406DA3">
              <w:rPr>
                <w:lang w:eastAsia="en-AU"/>
              </w:rPr>
              <w:t>ervice</w:t>
            </w:r>
          </w:p>
        </w:tc>
        <w:tc>
          <w:tcPr>
            <w:tcW w:w="1733" w:type="dxa"/>
          </w:tcPr>
          <w:p w14:paraId="71321716" w14:textId="77777777" w:rsidR="00602D8F" w:rsidRDefault="00602D8F" w:rsidP="00FB1ADD">
            <w:pPr>
              <w:pStyle w:val="Tablefigurenote"/>
            </w:pPr>
            <w:r>
              <w:t>88</w:t>
            </w:r>
          </w:p>
        </w:tc>
        <w:tc>
          <w:tcPr>
            <w:tcW w:w="1733" w:type="dxa"/>
          </w:tcPr>
          <w:p w14:paraId="29AC9297" w14:textId="77777777" w:rsidR="00602D8F" w:rsidRDefault="00602D8F" w:rsidP="00FB1ADD">
            <w:pPr>
              <w:pStyle w:val="Tablefigurenote"/>
            </w:pPr>
            <w:r>
              <w:t>145</w:t>
            </w:r>
          </w:p>
        </w:tc>
        <w:tc>
          <w:tcPr>
            <w:tcW w:w="1733" w:type="dxa"/>
          </w:tcPr>
          <w:p w14:paraId="5C807E66" w14:textId="77777777" w:rsidR="00602D8F" w:rsidRDefault="00602D8F" w:rsidP="00FB1ADD">
            <w:pPr>
              <w:pStyle w:val="Tablefigurenote"/>
            </w:pPr>
            <w:r>
              <w:t>155</w:t>
            </w:r>
          </w:p>
        </w:tc>
        <w:tc>
          <w:tcPr>
            <w:tcW w:w="1733" w:type="dxa"/>
          </w:tcPr>
          <w:p w14:paraId="487DFD33" w14:textId="5D83F951" w:rsidR="00602D8F" w:rsidRDefault="008D7E54" w:rsidP="00FB1ADD">
            <w:pPr>
              <w:pStyle w:val="Tablefigurenote"/>
            </w:pPr>
            <w:r>
              <w:t>+</w:t>
            </w:r>
            <w:r w:rsidR="00602D8F">
              <w:t>67</w:t>
            </w:r>
          </w:p>
        </w:tc>
      </w:tr>
      <w:tr w:rsidR="00602D8F" w14:paraId="3C3B1859" w14:textId="77777777" w:rsidTr="00FB1ADD">
        <w:trPr>
          <w:trHeight w:val="354"/>
        </w:trPr>
        <w:tc>
          <w:tcPr>
            <w:tcW w:w="1733" w:type="dxa"/>
          </w:tcPr>
          <w:p w14:paraId="2E06920C" w14:textId="77777777" w:rsidR="00602D8F" w:rsidRDefault="00602D8F" w:rsidP="00FB1ADD">
            <w:pPr>
              <w:pStyle w:val="Tablefigurenote"/>
            </w:pPr>
            <w:r w:rsidRPr="00406DA3">
              <w:rPr>
                <w:lang w:eastAsia="en-AU"/>
              </w:rPr>
              <w:t>Water and land management</w:t>
            </w:r>
          </w:p>
        </w:tc>
        <w:tc>
          <w:tcPr>
            <w:tcW w:w="1733" w:type="dxa"/>
          </w:tcPr>
          <w:p w14:paraId="4D1D9706" w14:textId="77777777" w:rsidR="00602D8F" w:rsidRDefault="00602D8F" w:rsidP="00FB1ADD">
            <w:pPr>
              <w:pStyle w:val="Tablefigurenote"/>
            </w:pPr>
            <w:r>
              <w:t>8</w:t>
            </w:r>
          </w:p>
        </w:tc>
        <w:tc>
          <w:tcPr>
            <w:tcW w:w="1733" w:type="dxa"/>
          </w:tcPr>
          <w:p w14:paraId="033791A8" w14:textId="77777777" w:rsidR="00602D8F" w:rsidRDefault="00602D8F" w:rsidP="00FB1ADD">
            <w:pPr>
              <w:pStyle w:val="Tablefigurenote"/>
            </w:pPr>
            <w:r>
              <w:t>10</w:t>
            </w:r>
          </w:p>
        </w:tc>
        <w:tc>
          <w:tcPr>
            <w:tcW w:w="1733" w:type="dxa"/>
          </w:tcPr>
          <w:p w14:paraId="05DB90A8" w14:textId="77777777" w:rsidR="00602D8F" w:rsidRDefault="00602D8F" w:rsidP="00FB1ADD">
            <w:pPr>
              <w:pStyle w:val="Tablefigurenote"/>
            </w:pPr>
            <w:r>
              <w:t>19</w:t>
            </w:r>
          </w:p>
        </w:tc>
        <w:tc>
          <w:tcPr>
            <w:tcW w:w="1733" w:type="dxa"/>
          </w:tcPr>
          <w:p w14:paraId="53494078" w14:textId="5F818695" w:rsidR="00602D8F" w:rsidRDefault="00D57F49" w:rsidP="00FB1ADD">
            <w:pPr>
              <w:pStyle w:val="Tablefigurenote"/>
            </w:pPr>
            <w:r>
              <w:t>+</w:t>
            </w:r>
            <w:r w:rsidR="00602D8F">
              <w:t>11</w:t>
            </w:r>
          </w:p>
        </w:tc>
      </w:tr>
    </w:tbl>
    <w:p w14:paraId="21E1481E" w14:textId="11FD0105" w:rsidR="00722331" w:rsidRPr="00720540" w:rsidRDefault="00E55F8A" w:rsidP="000A5EA0">
      <w:pPr>
        <w:pStyle w:val="Tablecaption"/>
      </w:pPr>
      <w:r w:rsidRPr="00720540">
        <w:rPr>
          <w:rStyle w:val="BodyChar"/>
        </w:rPr>
        <w:t>Table 4.</w:t>
      </w:r>
      <w:r w:rsidR="00602D8F">
        <w:rPr>
          <w:rStyle w:val="BodyChar"/>
        </w:rPr>
        <w:t>4</w:t>
      </w:r>
      <w:r w:rsidR="00B93EC8" w:rsidRPr="00720540">
        <w:rPr>
          <w:rStyle w:val="BodyChar"/>
        </w:rPr>
        <w:t>:</w:t>
      </w:r>
      <w:r w:rsidR="00166CE3" w:rsidRPr="00720540">
        <w:rPr>
          <w:rStyle w:val="BodyChar"/>
        </w:rPr>
        <w:t xml:space="preserve"> </w:t>
      </w:r>
      <w:r w:rsidR="00166CE3" w:rsidRPr="000A5EA0">
        <w:rPr>
          <w:rStyle w:val="BodyChar"/>
        </w:rPr>
        <w:t>Sexual</w:t>
      </w:r>
      <w:r w:rsidR="00166CE3" w:rsidRPr="00720540">
        <w:rPr>
          <w:rStyle w:val="BodyChar"/>
        </w:rPr>
        <w:t xml:space="preserve"> </w:t>
      </w:r>
      <w:r w:rsidR="00CB55E3">
        <w:rPr>
          <w:rStyle w:val="BodyChar"/>
        </w:rPr>
        <w:t>h</w:t>
      </w:r>
      <w:r w:rsidR="00166CE3" w:rsidRPr="00720540">
        <w:rPr>
          <w:rStyle w:val="BodyChar"/>
        </w:rPr>
        <w:t xml:space="preserve">arassment </w:t>
      </w:r>
      <w:r w:rsidR="00CB55E3">
        <w:rPr>
          <w:rStyle w:val="BodyChar"/>
        </w:rPr>
        <w:t>e</w:t>
      </w:r>
      <w:r w:rsidR="00166CE3" w:rsidRPr="00720540">
        <w:rPr>
          <w:rStyle w:val="BodyChar"/>
        </w:rPr>
        <w:t xml:space="preserve">xperience </w:t>
      </w:r>
      <w:r w:rsidR="00BC4ABD">
        <w:rPr>
          <w:rStyle w:val="BodyChar"/>
        </w:rPr>
        <w:t>for</w:t>
      </w:r>
      <w:r w:rsidR="00BC4ABD" w:rsidRPr="00720540">
        <w:rPr>
          <w:rStyle w:val="BodyChar"/>
        </w:rPr>
        <w:t xml:space="preserve"> </w:t>
      </w:r>
      <w:r w:rsidR="00577347">
        <w:rPr>
          <w:rStyle w:val="BodyChar"/>
        </w:rPr>
        <w:t>g</w:t>
      </w:r>
      <w:r w:rsidRPr="00720540">
        <w:rPr>
          <w:rStyle w:val="BodyChar"/>
        </w:rPr>
        <w:t>roups</w:t>
      </w:r>
      <w:r w:rsidR="00907FF5">
        <w:rPr>
          <w:rStyle w:val="BodyChar"/>
        </w:rPr>
        <w:t xml:space="preserve"> facing intersecting inequalities</w:t>
      </w:r>
    </w:p>
    <w:tbl>
      <w:tblPr>
        <w:tblStyle w:val="CGEPStable"/>
        <w:tblW w:w="8859" w:type="dxa"/>
        <w:tblLook w:val="04A0" w:firstRow="1" w:lastRow="0" w:firstColumn="1" w:lastColumn="0" w:noHBand="0" w:noVBand="1"/>
      </w:tblPr>
      <w:tblGrid>
        <w:gridCol w:w="4547"/>
        <w:gridCol w:w="1075"/>
        <w:gridCol w:w="1076"/>
        <w:gridCol w:w="812"/>
        <w:gridCol w:w="1349"/>
      </w:tblGrid>
      <w:tr w:rsidR="00166CE3" w:rsidRPr="003365E2" w14:paraId="05DDB574" w14:textId="77777777" w:rsidTr="003F2C09">
        <w:trPr>
          <w:cnfStyle w:val="100000000000" w:firstRow="1" w:lastRow="0" w:firstColumn="0" w:lastColumn="0" w:oddVBand="0" w:evenVBand="0" w:oddHBand="0" w:evenHBand="0" w:firstRowFirstColumn="0" w:firstRowLastColumn="0" w:lastRowFirstColumn="0" w:lastRowLastColumn="0"/>
        </w:trPr>
        <w:tc>
          <w:tcPr>
            <w:tcW w:w="4547" w:type="dxa"/>
          </w:tcPr>
          <w:p w14:paraId="5EB1AA50" w14:textId="77777777" w:rsidR="00166CE3" w:rsidRPr="00770AC8" w:rsidRDefault="00166CE3" w:rsidP="000C0367">
            <w:pPr>
              <w:pStyle w:val="Tablecolhead"/>
              <w:rPr>
                <w:lang w:eastAsia="en-AU"/>
              </w:rPr>
            </w:pPr>
            <w:r w:rsidRPr="00770AC8">
              <w:rPr>
                <w:lang w:eastAsia="en-AU"/>
              </w:rPr>
              <w:t>Measure</w:t>
            </w:r>
          </w:p>
        </w:tc>
        <w:tc>
          <w:tcPr>
            <w:tcW w:w="1075" w:type="dxa"/>
          </w:tcPr>
          <w:p w14:paraId="60DF97A0" w14:textId="77777777" w:rsidR="00166CE3" w:rsidRPr="00770AC8" w:rsidRDefault="00166CE3" w:rsidP="000C0367">
            <w:pPr>
              <w:pStyle w:val="Tablecolhead"/>
              <w:rPr>
                <w:lang w:eastAsia="en-AU"/>
              </w:rPr>
            </w:pPr>
            <w:r w:rsidRPr="00770AC8">
              <w:rPr>
                <w:lang w:eastAsia="en-AU"/>
              </w:rPr>
              <w:t>2021</w:t>
            </w:r>
          </w:p>
        </w:tc>
        <w:tc>
          <w:tcPr>
            <w:tcW w:w="1076" w:type="dxa"/>
          </w:tcPr>
          <w:p w14:paraId="7CC8C9C9" w14:textId="77777777" w:rsidR="00166CE3" w:rsidRPr="00770AC8" w:rsidRDefault="00166CE3" w:rsidP="000C0367">
            <w:pPr>
              <w:pStyle w:val="Tablecolhead"/>
              <w:rPr>
                <w:lang w:eastAsia="en-AU"/>
              </w:rPr>
            </w:pPr>
            <w:r w:rsidRPr="00770AC8">
              <w:rPr>
                <w:lang w:eastAsia="en-AU"/>
              </w:rPr>
              <w:t>2023</w:t>
            </w:r>
          </w:p>
        </w:tc>
        <w:tc>
          <w:tcPr>
            <w:tcW w:w="812" w:type="dxa"/>
          </w:tcPr>
          <w:p w14:paraId="3DF21D1B" w14:textId="77777777" w:rsidR="00166CE3" w:rsidRPr="00770AC8" w:rsidRDefault="00166CE3" w:rsidP="000C0367">
            <w:pPr>
              <w:pStyle w:val="Tablecolhead"/>
              <w:rPr>
                <w:lang w:eastAsia="en-AU"/>
              </w:rPr>
            </w:pPr>
            <w:r w:rsidRPr="00770AC8">
              <w:rPr>
                <w:lang w:eastAsia="en-AU"/>
              </w:rPr>
              <w:t>2025</w:t>
            </w:r>
          </w:p>
        </w:tc>
        <w:tc>
          <w:tcPr>
            <w:tcW w:w="0" w:type="auto"/>
          </w:tcPr>
          <w:p w14:paraId="0C535CAB" w14:textId="65151192" w:rsidR="00166CE3" w:rsidRPr="00770AC8" w:rsidRDefault="00F02C0C" w:rsidP="000C0367">
            <w:pPr>
              <w:pStyle w:val="Tablecolhead"/>
              <w:rPr>
                <w:lang w:eastAsia="en-AU"/>
              </w:rPr>
            </w:pPr>
            <w:r>
              <w:rPr>
                <w:lang w:eastAsia="en-AU"/>
              </w:rPr>
              <w:t xml:space="preserve">Percentage </w:t>
            </w:r>
            <w:r w:rsidR="00CE70A6">
              <w:rPr>
                <w:lang w:eastAsia="en-AU"/>
              </w:rPr>
              <w:t>p</w:t>
            </w:r>
            <w:r>
              <w:rPr>
                <w:lang w:eastAsia="en-AU"/>
              </w:rPr>
              <w:t xml:space="preserve">oint </w:t>
            </w:r>
            <w:r w:rsidR="00CE70A6">
              <w:rPr>
                <w:lang w:eastAsia="en-AU"/>
              </w:rPr>
              <w:t>c</w:t>
            </w:r>
            <w:r w:rsidRPr="00AE5A1E">
              <w:rPr>
                <w:lang w:eastAsia="en-AU"/>
              </w:rPr>
              <w:t>hange</w:t>
            </w:r>
            <w:r>
              <w:rPr>
                <w:lang w:eastAsia="en-AU"/>
              </w:rPr>
              <w:t xml:space="preserve"> 2021</w:t>
            </w:r>
            <w:r w:rsidR="00BE46C0">
              <w:rPr>
                <w:lang w:eastAsia="en-AU"/>
              </w:rPr>
              <w:t>-</w:t>
            </w:r>
            <w:r>
              <w:rPr>
                <w:lang w:eastAsia="en-AU"/>
              </w:rPr>
              <w:t>2025</w:t>
            </w:r>
          </w:p>
        </w:tc>
      </w:tr>
      <w:tr w:rsidR="00166CE3" w:rsidRPr="003365E2" w14:paraId="73241337" w14:textId="77777777" w:rsidTr="003F2C09">
        <w:tc>
          <w:tcPr>
            <w:tcW w:w="4547" w:type="dxa"/>
          </w:tcPr>
          <w:p w14:paraId="2586E441" w14:textId="5E329F05" w:rsidR="00166CE3" w:rsidRPr="00770AC8" w:rsidRDefault="00166CE3" w:rsidP="000C0367">
            <w:pPr>
              <w:pStyle w:val="Tabletext"/>
              <w:rPr>
                <w:lang w:eastAsia="en-AU"/>
              </w:rPr>
            </w:pPr>
            <w:r w:rsidRPr="00770AC8">
              <w:rPr>
                <w:lang w:eastAsia="en-AU"/>
              </w:rPr>
              <w:t>Women aged 15-24</w:t>
            </w:r>
          </w:p>
        </w:tc>
        <w:tc>
          <w:tcPr>
            <w:tcW w:w="1075" w:type="dxa"/>
          </w:tcPr>
          <w:p w14:paraId="0DF5E198" w14:textId="49E1F20E" w:rsidR="00166CE3" w:rsidRPr="00770AC8" w:rsidRDefault="0098684E" w:rsidP="000C0367">
            <w:pPr>
              <w:pStyle w:val="Tabletext"/>
              <w:rPr>
                <w:lang w:eastAsia="en-AU"/>
              </w:rPr>
            </w:pPr>
            <w:r>
              <w:rPr>
                <w:lang w:eastAsia="en-AU"/>
              </w:rPr>
              <w:t>14.1%</w:t>
            </w:r>
          </w:p>
        </w:tc>
        <w:tc>
          <w:tcPr>
            <w:tcW w:w="1076" w:type="dxa"/>
          </w:tcPr>
          <w:p w14:paraId="29C1CD92" w14:textId="4C3AF278" w:rsidR="00166CE3" w:rsidRPr="00770AC8" w:rsidRDefault="00880C1D" w:rsidP="000C0367">
            <w:pPr>
              <w:pStyle w:val="Tabletext"/>
              <w:rPr>
                <w:lang w:eastAsia="en-AU"/>
              </w:rPr>
            </w:pPr>
            <w:r>
              <w:rPr>
                <w:lang w:eastAsia="en-AU"/>
              </w:rPr>
              <w:t>15.4%</w:t>
            </w:r>
          </w:p>
        </w:tc>
        <w:tc>
          <w:tcPr>
            <w:tcW w:w="812" w:type="dxa"/>
          </w:tcPr>
          <w:p w14:paraId="0AF81AC8" w14:textId="12409661" w:rsidR="00166CE3" w:rsidRPr="00770AC8" w:rsidRDefault="00880C1D" w:rsidP="000C0367">
            <w:pPr>
              <w:pStyle w:val="Tabletext"/>
              <w:rPr>
                <w:lang w:eastAsia="en-AU"/>
              </w:rPr>
            </w:pPr>
            <w:r>
              <w:rPr>
                <w:lang w:eastAsia="en-AU"/>
              </w:rPr>
              <w:t>13.9%</w:t>
            </w:r>
          </w:p>
        </w:tc>
        <w:tc>
          <w:tcPr>
            <w:tcW w:w="0" w:type="auto"/>
          </w:tcPr>
          <w:p w14:paraId="6B281BBB" w14:textId="2F02EBCB" w:rsidR="00166CE3" w:rsidRPr="00770AC8" w:rsidRDefault="00880C1D" w:rsidP="000C0367">
            <w:pPr>
              <w:pStyle w:val="Tabletext"/>
              <w:rPr>
                <w:lang w:eastAsia="en-AU"/>
              </w:rPr>
            </w:pPr>
            <w:r>
              <w:rPr>
                <w:lang w:eastAsia="en-AU"/>
              </w:rPr>
              <w:t>-0.12pp</w:t>
            </w:r>
          </w:p>
        </w:tc>
      </w:tr>
      <w:tr w:rsidR="00166CE3" w:rsidRPr="003365E2" w14:paraId="7E801435" w14:textId="77777777" w:rsidTr="003F2C09">
        <w:tc>
          <w:tcPr>
            <w:tcW w:w="4547" w:type="dxa"/>
          </w:tcPr>
          <w:p w14:paraId="4A021B97" w14:textId="0163FE1F" w:rsidR="00166CE3" w:rsidRPr="00770AC8" w:rsidRDefault="00166CE3" w:rsidP="000C0367">
            <w:pPr>
              <w:pStyle w:val="Tabletext"/>
              <w:rPr>
                <w:lang w:eastAsia="en-AU"/>
              </w:rPr>
            </w:pPr>
            <w:r w:rsidRPr="00770AC8">
              <w:rPr>
                <w:lang w:eastAsia="en-AU"/>
              </w:rPr>
              <w:t>First Nations women</w:t>
            </w:r>
          </w:p>
        </w:tc>
        <w:tc>
          <w:tcPr>
            <w:tcW w:w="1075" w:type="dxa"/>
          </w:tcPr>
          <w:p w14:paraId="171FFD75" w14:textId="27EEFBE4" w:rsidR="00166CE3" w:rsidRPr="00770AC8" w:rsidRDefault="009E4D98" w:rsidP="000C0367">
            <w:pPr>
              <w:pStyle w:val="Tabletext"/>
              <w:rPr>
                <w:lang w:eastAsia="en-AU"/>
              </w:rPr>
            </w:pPr>
            <w:r>
              <w:rPr>
                <w:lang w:eastAsia="en-AU"/>
              </w:rPr>
              <w:t>6.5%</w:t>
            </w:r>
          </w:p>
        </w:tc>
        <w:tc>
          <w:tcPr>
            <w:tcW w:w="1076" w:type="dxa"/>
          </w:tcPr>
          <w:p w14:paraId="27B008F9" w14:textId="072070C6" w:rsidR="00166CE3" w:rsidRPr="00770AC8" w:rsidRDefault="009E4D98" w:rsidP="000C0367">
            <w:pPr>
              <w:pStyle w:val="Tabletext"/>
              <w:rPr>
                <w:lang w:eastAsia="en-AU"/>
              </w:rPr>
            </w:pPr>
            <w:r>
              <w:rPr>
                <w:lang w:eastAsia="en-AU"/>
              </w:rPr>
              <w:t>9.1%</w:t>
            </w:r>
          </w:p>
        </w:tc>
        <w:tc>
          <w:tcPr>
            <w:tcW w:w="812" w:type="dxa"/>
          </w:tcPr>
          <w:p w14:paraId="27550569" w14:textId="715D73B6" w:rsidR="00166CE3" w:rsidRPr="00770AC8" w:rsidRDefault="009E4D98" w:rsidP="000C0367">
            <w:pPr>
              <w:pStyle w:val="Tabletext"/>
              <w:rPr>
                <w:lang w:eastAsia="en-AU"/>
              </w:rPr>
            </w:pPr>
            <w:r>
              <w:rPr>
                <w:lang w:eastAsia="en-AU"/>
              </w:rPr>
              <w:t>7.6%</w:t>
            </w:r>
          </w:p>
        </w:tc>
        <w:tc>
          <w:tcPr>
            <w:tcW w:w="0" w:type="auto"/>
          </w:tcPr>
          <w:p w14:paraId="03BD5587" w14:textId="05D5078B" w:rsidR="00166CE3" w:rsidRPr="00770AC8" w:rsidRDefault="009E4D98" w:rsidP="000C0367">
            <w:pPr>
              <w:pStyle w:val="Tabletext"/>
              <w:rPr>
                <w:lang w:eastAsia="en-AU"/>
              </w:rPr>
            </w:pPr>
            <w:r>
              <w:rPr>
                <w:lang w:eastAsia="en-AU"/>
              </w:rPr>
              <w:t>+1.12pp</w:t>
            </w:r>
          </w:p>
        </w:tc>
      </w:tr>
      <w:tr w:rsidR="00166CE3" w:rsidRPr="003365E2" w14:paraId="02CB1F86" w14:textId="77777777" w:rsidTr="003F2C09">
        <w:tc>
          <w:tcPr>
            <w:tcW w:w="4547" w:type="dxa"/>
            <w:hideMark/>
          </w:tcPr>
          <w:p w14:paraId="12941F48" w14:textId="5159DB39" w:rsidR="00166CE3" w:rsidRPr="00770AC8" w:rsidRDefault="00166CE3" w:rsidP="000C0367">
            <w:pPr>
              <w:pStyle w:val="Tabletext"/>
              <w:rPr>
                <w:lang w:eastAsia="en-AU"/>
              </w:rPr>
            </w:pPr>
            <w:r w:rsidRPr="00770AC8">
              <w:rPr>
                <w:lang w:eastAsia="en-AU"/>
              </w:rPr>
              <w:t>Women with disabilit</w:t>
            </w:r>
            <w:r w:rsidR="007812A6">
              <w:rPr>
                <w:lang w:eastAsia="en-AU"/>
              </w:rPr>
              <w:t>y</w:t>
            </w:r>
          </w:p>
        </w:tc>
        <w:tc>
          <w:tcPr>
            <w:tcW w:w="1075" w:type="dxa"/>
            <w:hideMark/>
          </w:tcPr>
          <w:p w14:paraId="264E5CC2" w14:textId="08AFCE95" w:rsidR="00166CE3" w:rsidRPr="00770AC8" w:rsidRDefault="009E4D98" w:rsidP="000C0367">
            <w:pPr>
              <w:pStyle w:val="Tabletext"/>
              <w:rPr>
                <w:lang w:eastAsia="en-AU"/>
              </w:rPr>
            </w:pPr>
            <w:r>
              <w:rPr>
                <w:lang w:eastAsia="en-AU"/>
              </w:rPr>
              <w:t>11.6%</w:t>
            </w:r>
          </w:p>
        </w:tc>
        <w:tc>
          <w:tcPr>
            <w:tcW w:w="1076" w:type="dxa"/>
            <w:hideMark/>
          </w:tcPr>
          <w:p w14:paraId="63A5A201" w14:textId="5CAE3AE2" w:rsidR="00166CE3" w:rsidRPr="00770AC8" w:rsidRDefault="009E4D98" w:rsidP="00CE70A6">
            <w:pPr>
              <w:pStyle w:val="Tabletext"/>
              <w:rPr>
                <w:lang w:eastAsia="en-AU"/>
              </w:rPr>
            </w:pPr>
            <w:r>
              <w:rPr>
                <w:lang w:eastAsia="en-AU"/>
              </w:rPr>
              <w:t>11.8%</w:t>
            </w:r>
          </w:p>
        </w:tc>
        <w:tc>
          <w:tcPr>
            <w:tcW w:w="812" w:type="dxa"/>
            <w:hideMark/>
          </w:tcPr>
          <w:p w14:paraId="6444F819" w14:textId="09B09164" w:rsidR="00166CE3" w:rsidRPr="00770AC8" w:rsidRDefault="00180630" w:rsidP="000C0367">
            <w:pPr>
              <w:pStyle w:val="Tabletext"/>
              <w:rPr>
                <w:lang w:eastAsia="en-AU"/>
              </w:rPr>
            </w:pPr>
            <w:r>
              <w:rPr>
                <w:lang w:eastAsia="en-AU"/>
              </w:rPr>
              <w:t>11.7%</w:t>
            </w:r>
          </w:p>
        </w:tc>
        <w:tc>
          <w:tcPr>
            <w:tcW w:w="0" w:type="auto"/>
            <w:hideMark/>
          </w:tcPr>
          <w:p w14:paraId="44EEBAF6" w14:textId="2EDB4656" w:rsidR="00166CE3" w:rsidRPr="00770AC8" w:rsidRDefault="00180630" w:rsidP="000C0367">
            <w:pPr>
              <w:pStyle w:val="Tabletext"/>
              <w:rPr>
                <w:lang w:eastAsia="en-AU"/>
              </w:rPr>
            </w:pPr>
            <w:r>
              <w:rPr>
                <w:lang w:eastAsia="en-AU"/>
              </w:rPr>
              <w:t>+0.11pp</w:t>
            </w:r>
          </w:p>
        </w:tc>
      </w:tr>
      <w:tr w:rsidR="00166CE3" w:rsidRPr="003365E2" w14:paraId="0073DC20" w14:textId="77777777" w:rsidTr="003F2C09">
        <w:tc>
          <w:tcPr>
            <w:tcW w:w="4547" w:type="dxa"/>
          </w:tcPr>
          <w:p w14:paraId="195CB7D5" w14:textId="3EFDDBBB" w:rsidR="00166CE3" w:rsidRPr="00770AC8" w:rsidRDefault="00166CE3" w:rsidP="000C0367">
            <w:pPr>
              <w:pStyle w:val="Tabletext"/>
              <w:rPr>
                <w:lang w:eastAsia="en-AU"/>
              </w:rPr>
            </w:pPr>
            <w:r w:rsidRPr="00770AC8">
              <w:rPr>
                <w:lang w:eastAsia="en-AU"/>
              </w:rPr>
              <w:t>CARM women</w:t>
            </w:r>
          </w:p>
        </w:tc>
        <w:tc>
          <w:tcPr>
            <w:tcW w:w="1075" w:type="dxa"/>
          </w:tcPr>
          <w:p w14:paraId="150529D1" w14:textId="2D6EC6D1" w:rsidR="00166CE3" w:rsidRPr="00770AC8" w:rsidRDefault="00166CE3" w:rsidP="000C0367">
            <w:pPr>
              <w:pStyle w:val="Tabletext"/>
              <w:rPr>
                <w:lang w:eastAsia="en-AU"/>
              </w:rPr>
            </w:pPr>
            <w:r w:rsidRPr="00770AC8">
              <w:rPr>
                <w:lang w:eastAsia="en-AU"/>
              </w:rPr>
              <w:t xml:space="preserve"> </w:t>
            </w:r>
            <w:r w:rsidR="00E66073">
              <w:rPr>
                <w:lang w:eastAsia="en-AU"/>
              </w:rPr>
              <w:t>5.4</w:t>
            </w:r>
            <w:r w:rsidR="00180630">
              <w:rPr>
                <w:lang w:eastAsia="en-AU"/>
              </w:rPr>
              <w:t>%</w:t>
            </w:r>
          </w:p>
        </w:tc>
        <w:tc>
          <w:tcPr>
            <w:tcW w:w="1076" w:type="dxa"/>
          </w:tcPr>
          <w:p w14:paraId="0221FCB0" w14:textId="4CFA569A" w:rsidR="00166CE3" w:rsidRPr="00770AC8" w:rsidRDefault="00180630" w:rsidP="000C0367">
            <w:pPr>
              <w:pStyle w:val="Tabletext"/>
              <w:rPr>
                <w:lang w:eastAsia="en-AU"/>
              </w:rPr>
            </w:pPr>
            <w:r>
              <w:rPr>
                <w:lang w:eastAsia="en-AU"/>
              </w:rPr>
              <w:t>6.</w:t>
            </w:r>
            <w:r w:rsidR="00F86D2E">
              <w:rPr>
                <w:lang w:eastAsia="en-AU"/>
              </w:rPr>
              <w:t>2</w:t>
            </w:r>
            <w:r>
              <w:rPr>
                <w:lang w:eastAsia="en-AU"/>
              </w:rPr>
              <w:t>%</w:t>
            </w:r>
          </w:p>
        </w:tc>
        <w:tc>
          <w:tcPr>
            <w:tcW w:w="812" w:type="dxa"/>
          </w:tcPr>
          <w:p w14:paraId="6CE7A388" w14:textId="4552F4E0" w:rsidR="00166CE3" w:rsidRPr="00770AC8" w:rsidRDefault="00F86D2E" w:rsidP="000C0367">
            <w:pPr>
              <w:pStyle w:val="Tabletext"/>
              <w:rPr>
                <w:lang w:eastAsia="en-AU"/>
              </w:rPr>
            </w:pPr>
            <w:r>
              <w:rPr>
                <w:lang w:eastAsia="en-AU"/>
              </w:rPr>
              <w:t>5.7</w:t>
            </w:r>
            <w:r w:rsidR="00180630">
              <w:rPr>
                <w:lang w:eastAsia="en-AU"/>
              </w:rPr>
              <w:t>%</w:t>
            </w:r>
          </w:p>
        </w:tc>
        <w:tc>
          <w:tcPr>
            <w:tcW w:w="0" w:type="auto"/>
          </w:tcPr>
          <w:p w14:paraId="0D799013" w14:textId="73B4C0D1" w:rsidR="00166CE3" w:rsidRPr="00770AC8" w:rsidRDefault="00F86D2E" w:rsidP="000C0367">
            <w:pPr>
              <w:pStyle w:val="Tabletext"/>
              <w:rPr>
                <w:lang w:eastAsia="en-AU"/>
              </w:rPr>
            </w:pPr>
            <w:r>
              <w:rPr>
                <w:lang w:eastAsia="en-AU"/>
              </w:rPr>
              <w:t>+</w:t>
            </w:r>
            <w:r w:rsidR="00180630">
              <w:rPr>
                <w:lang w:eastAsia="en-AU"/>
              </w:rPr>
              <w:t>0.</w:t>
            </w:r>
            <w:r w:rsidR="00545CE4">
              <w:rPr>
                <w:lang w:eastAsia="en-AU"/>
              </w:rPr>
              <w:t>26</w:t>
            </w:r>
            <w:r w:rsidR="00180630">
              <w:rPr>
                <w:lang w:eastAsia="en-AU"/>
              </w:rPr>
              <w:t>pp</w:t>
            </w:r>
          </w:p>
        </w:tc>
      </w:tr>
      <w:tr w:rsidR="00166CE3" w:rsidRPr="003365E2" w14:paraId="200432DE" w14:textId="77777777" w:rsidTr="003F2C09">
        <w:tc>
          <w:tcPr>
            <w:tcW w:w="4547" w:type="dxa"/>
          </w:tcPr>
          <w:p w14:paraId="603F0024" w14:textId="1495D7B5" w:rsidR="00166CE3" w:rsidRPr="00770AC8" w:rsidRDefault="00166CE3" w:rsidP="000C0367">
            <w:pPr>
              <w:pStyle w:val="Tabletext"/>
              <w:rPr>
                <w:lang w:eastAsia="en-AU"/>
              </w:rPr>
            </w:pPr>
            <w:r w:rsidRPr="00770AC8">
              <w:rPr>
                <w:lang w:eastAsia="en-AU"/>
              </w:rPr>
              <w:t>N</w:t>
            </w:r>
            <w:r w:rsidR="00CC6244">
              <w:rPr>
                <w:lang w:eastAsia="en-AU"/>
              </w:rPr>
              <w:t>on-binary</w:t>
            </w:r>
            <w:r w:rsidRPr="00770AC8">
              <w:rPr>
                <w:lang w:eastAsia="en-AU"/>
              </w:rPr>
              <w:t xml:space="preserve"> or gender-diverse people </w:t>
            </w:r>
          </w:p>
        </w:tc>
        <w:tc>
          <w:tcPr>
            <w:tcW w:w="1075" w:type="dxa"/>
          </w:tcPr>
          <w:p w14:paraId="6BF5413D" w14:textId="0EC3133B" w:rsidR="00166CE3" w:rsidRPr="00770AC8" w:rsidRDefault="007C5C8F" w:rsidP="000C0367">
            <w:pPr>
              <w:pStyle w:val="Tabletext"/>
              <w:rPr>
                <w:lang w:eastAsia="en-AU"/>
              </w:rPr>
            </w:pPr>
            <w:r>
              <w:rPr>
                <w:lang w:eastAsia="en-AU"/>
              </w:rPr>
              <w:t>12.7%</w:t>
            </w:r>
          </w:p>
        </w:tc>
        <w:tc>
          <w:tcPr>
            <w:tcW w:w="1076" w:type="dxa"/>
          </w:tcPr>
          <w:p w14:paraId="3AD4AB09" w14:textId="70ACEB1C" w:rsidR="00166CE3" w:rsidRPr="00770AC8" w:rsidRDefault="007C5C8F" w:rsidP="000C0367">
            <w:pPr>
              <w:pStyle w:val="Tabletext"/>
              <w:rPr>
                <w:lang w:eastAsia="en-AU"/>
              </w:rPr>
            </w:pPr>
            <w:r>
              <w:rPr>
                <w:lang w:eastAsia="en-AU"/>
              </w:rPr>
              <w:t>13.7%</w:t>
            </w:r>
          </w:p>
        </w:tc>
        <w:tc>
          <w:tcPr>
            <w:tcW w:w="812" w:type="dxa"/>
          </w:tcPr>
          <w:p w14:paraId="0BB24513" w14:textId="03517FBE" w:rsidR="00166CE3" w:rsidRPr="00770AC8" w:rsidRDefault="007C5C8F" w:rsidP="000C0367">
            <w:pPr>
              <w:pStyle w:val="Tabletext"/>
              <w:rPr>
                <w:lang w:eastAsia="en-AU"/>
              </w:rPr>
            </w:pPr>
            <w:r>
              <w:rPr>
                <w:lang w:eastAsia="en-AU"/>
              </w:rPr>
              <w:t>16.9%</w:t>
            </w:r>
          </w:p>
        </w:tc>
        <w:tc>
          <w:tcPr>
            <w:tcW w:w="0" w:type="auto"/>
          </w:tcPr>
          <w:p w14:paraId="5110A458" w14:textId="6970972F" w:rsidR="00166CE3" w:rsidRPr="00770AC8" w:rsidRDefault="007C5C8F" w:rsidP="000C0367">
            <w:pPr>
              <w:pStyle w:val="Tabletext"/>
              <w:rPr>
                <w:lang w:eastAsia="en-AU"/>
              </w:rPr>
            </w:pPr>
            <w:r>
              <w:rPr>
                <w:lang w:eastAsia="en-AU"/>
              </w:rPr>
              <w:t>+4.18pp</w:t>
            </w:r>
          </w:p>
        </w:tc>
      </w:tr>
    </w:tbl>
    <w:p w14:paraId="667D71CB" w14:textId="77777777" w:rsidR="003F2C09" w:rsidRDefault="003F2C09" w:rsidP="009D634F">
      <w:pPr>
        <w:pStyle w:val="Tablefigurenote"/>
      </w:pPr>
      <w:r w:rsidRPr="006C41AA">
        <w:t>Source: People matter survey data, 2021, 2023 and 2025.</w:t>
      </w:r>
    </w:p>
    <w:p w14:paraId="2D009AF0" w14:textId="2DB111FE" w:rsidR="002A2706" w:rsidRDefault="006210C1" w:rsidP="009D634F">
      <w:pPr>
        <w:pStyle w:val="Tablefigurenote"/>
      </w:pPr>
      <w:r>
        <w:t xml:space="preserve">Notes: </w:t>
      </w:r>
      <w:r w:rsidRPr="00AE1037">
        <w:t xml:space="preserve">The </w:t>
      </w:r>
      <w:r>
        <w:t xml:space="preserve">percentage point </w:t>
      </w:r>
      <w:r w:rsidRPr="00AE1037">
        <w:t>change column may not always reflect the exact difference between years due to rounding</w:t>
      </w:r>
      <w:r>
        <w:t>.</w:t>
      </w:r>
      <w:r w:rsidR="002A2706">
        <w:t xml:space="preserve"> </w:t>
      </w:r>
      <w:r w:rsidR="002A2706">
        <w:rPr>
          <w:szCs w:val="18"/>
        </w:rPr>
        <w:t xml:space="preserve">CARM is an acronym for ‘culturally and racially marginalised’. See </w:t>
      </w:r>
      <w:hyperlink r:id="rId45" w:history="1">
        <w:r w:rsidR="002A2706" w:rsidRPr="00F823E6">
          <w:rPr>
            <w:rStyle w:val="Hyperlink"/>
            <w:rFonts w:cs="Arial"/>
            <w:iCs/>
            <w:szCs w:val="18"/>
          </w:rPr>
          <w:t xml:space="preserve">Intersectionality at </w:t>
        </w:r>
        <w:r w:rsidR="002A2706" w:rsidRPr="00F823E6">
          <w:rPr>
            <w:rStyle w:val="Hyperlink"/>
            <w:rFonts w:cs="Arial"/>
            <w:iCs/>
            <w:szCs w:val="18"/>
          </w:rPr>
          <w:lastRenderedPageBreak/>
          <w:t>work</w:t>
        </w:r>
      </w:hyperlink>
      <w:r w:rsidR="002A2706">
        <w:rPr>
          <w:iCs/>
          <w:szCs w:val="18"/>
        </w:rPr>
        <w:t xml:space="preserve"> (2023)</w:t>
      </w:r>
      <w:r w:rsidR="002A2706" w:rsidRPr="00F823E6">
        <w:rPr>
          <w:iCs/>
          <w:szCs w:val="18"/>
        </w:rPr>
        <w:t xml:space="preserve"> </w:t>
      </w:r>
      <w:r w:rsidR="002A2706">
        <w:rPr>
          <w:szCs w:val="18"/>
        </w:rPr>
        <w:t>for further discussion around language the Commission uses to describe groups that experience compounded discrimination.</w:t>
      </w:r>
    </w:p>
    <w:p w14:paraId="6E548AAE" w14:textId="10D795CB" w:rsidR="00BA3693" w:rsidRDefault="00280AAC" w:rsidP="003D05C4">
      <w:pPr>
        <w:pStyle w:val="Heading3"/>
      </w:pPr>
      <w:r w:rsidRPr="00280AAC">
        <w:t>Signs of progress</w:t>
      </w:r>
      <w:r w:rsidR="008247C7">
        <w:t xml:space="preserve"> </w:t>
      </w:r>
    </w:p>
    <w:p w14:paraId="6D580360" w14:textId="7F3C0048" w:rsidR="00305EF3" w:rsidRPr="00305EF3" w:rsidRDefault="00305EF3" w:rsidP="00305EF3">
      <w:pPr>
        <w:pStyle w:val="Heading4"/>
        <w:rPr>
          <w:lang w:eastAsia="en-AU"/>
        </w:rPr>
      </w:pPr>
      <w:r w:rsidRPr="00305EF3">
        <w:rPr>
          <w:lang w:eastAsia="en-AU"/>
        </w:rPr>
        <w:t xml:space="preserve">More </w:t>
      </w:r>
      <w:r w:rsidR="00BC22C0">
        <w:rPr>
          <w:lang w:eastAsia="en-AU"/>
        </w:rPr>
        <w:t xml:space="preserve">sexual harassment </w:t>
      </w:r>
      <w:r w:rsidRPr="00305EF3">
        <w:rPr>
          <w:lang w:eastAsia="en-AU"/>
        </w:rPr>
        <w:t xml:space="preserve">reporting </w:t>
      </w:r>
      <w:r w:rsidR="00534975">
        <w:rPr>
          <w:lang w:eastAsia="en-AU"/>
        </w:rPr>
        <w:t>was</w:t>
      </w:r>
      <w:r w:rsidRPr="00305EF3">
        <w:rPr>
          <w:lang w:eastAsia="en-AU"/>
        </w:rPr>
        <w:t xml:space="preserve"> visible in the data</w:t>
      </w:r>
      <w:r w:rsidR="000043D5">
        <w:rPr>
          <w:lang w:eastAsia="en-AU"/>
        </w:rPr>
        <w:t xml:space="preserve"> in 2025</w:t>
      </w:r>
      <w:r w:rsidR="00BC22C0">
        <w:rPr>
          <w:lang w:eastAsia="en-AU"/>
        </w:rPr>
        <w:t>,</w:t>
      </w:r>
      <w:r w:rsidRPr="00305EF3">
        <w:rPr>
          <w:lang w:eastAsia="en-AU"/>
        </w:rPr>
        <w:t xml:space="preserve"> in two different ways</w:t>
      </w:r>
    </w:p>
    <w:p w14:paraId="09E77A63" w14:textId="5599A91A" w:rsidR="0048677E" w:rsidRDefault="00305EF3" w:rsidP="0078531C">
      <w:pPr>
        <w:pStyle w:val="BodyText"/>
        <w:rPr>
          <w:lang w:eastAsia="en-AU"/>
        </w:rPr>
      </w:pPr>
      <w:r w:rsidRPr="00305EF3">
        <w:rPr>
          <w:lang w:eastAsia="en-AU"/>
        </w:rPr>
        <w:t xml:space="preserve">Within an overall picture of insufficient progress, the data shows </w:t>
      </w:r>
      <w:r w:rsidR="0048677E">
        <w:rPr>
          <w:lang w:eastAsia="en-AU"/>
        </w:rPr>
        <w:t>some</w:t>
      </w:r>
      <w:r w:rsidR="000126F1" w:rsidRPr="00305EF3">
        <w:rPr>
          <w:lang w:eastAsia="en-AU"/>
        </w:rPr>
        <w:t xml:space="preserve"> </w:t>
      </w:r>
      <w:r w:rsidRPr="00305EF3">
        <w:rPr>
          <w:lang w:eastAsia="en-AU"/>
        </w:rPr>
        <w:t xml:space="preserve">encouraging movements in reporting. </w:t>
      </w:r>
    </w:p>
    <w:p w14:paraId="11B93479" w14:textId="41B13F0E" w:rsidR="00305EF3" w:rsidRPr="00305EF3" w:rsidRDefault="00305EF3" w:rsidP="0078531C">
      <w:pPr>
        <w:pStyle w:val="BodyText"/>
        <w:rPr>
          <w:lang w:eastAsia="en-AU"/>
        </w:rPr>
      </w:pPr>
      <w:r w:rsidRPr="00305EF3">
        <w:rPr>
          <w:lang w:eastAsia="en-AU"/>
        </w:rPr>
        <w:t xml:space="preserve">In the </w:t>
      </w:r>
      <w:r w:rsidRPr="007F63A0">
        <w:rPr>
          <w:lang w:eastAsia="en-AU"/>
        </w:rPr>
        <w:t>employee experience survey</w:t>
      </w:r>
      <w:r w:rsidR="0048677E" w:rsidRPr="007F63A0">
        <w:rPr>
          <w:lang w:eastAsia="en-AU"/>
        </w:rPr>
        <w:t xml:space="preserve"> data</w:t>
      </w:r>
      <w:r w:rsidRPr="00305EF3">
        <w:rPr>
          <w:lang w:eastAsia="en-AU"/>
        </w:rPr>
        <w:t xml:space="preserve">, a growing share of people who experienced sexual harassment said they went on to report it formally. Among women, the proportion rose from 4.6% in 2021 to 7.3% in 2025. For men it rose from 3.4% to 4.2%, and for non-binary and gender-diverse people </w:t>
      </w:r>
      <w:r w:rsidR="008D2310">
        <w:rPr>
          <w:lang w:eastAsia="en-AU"/>
        </w:rPr>
        <w:t xml:space="preserve">it rose </w:t>
      </w:r>
      <w:r w:rsidRPr="00305EF3">
        <w:rPr>
          <w:lang w:eastAsia="en-AU"/>
        </w:rPr>
        <w:t>from 4.2% to 8.3%.</w:t>
      </w:r>
    </w:p>
    <w:p w14:paraId="091EBE75" w14:textId="47C55B61" w:rsidR="00305EF3" w:rsidRPr="00305EF3" w:rsidRDefault="00305EF3" w:rsidP="0078531C">
      <w:pPr>
        <w:pStyle w:val="BodyText"/>
        <w:rPr>
          <w:lang w:eastAsia="en-AU"/>
        </w:rPr>
      </w:pPr>
      <w:r w:rsidRPr="00305EF3">
        <w:rPr>
          <w:lang w:eastAsia="en-AU"/>
        </w:rPr>
        <w:t xml:space="preserve">In the </w:t>
      </w:r>
      <w:r w:rsidRPr="008D2310">
        <w:rPr>
          <w:lang w:eastAsia="en-AU"/>
        </w:rPr>
        <w:t>workforce data</w:t>
      </w:r>
      <w:r w:rsidRPr="00305EF3">
        <w:rPr>
          <w:lang w:eastAsia="en-AU"/>
        </w:rPr>
        <w:t xml:space="preserve">, the number of formal reports recorded by organisations also rose for women. In 2025, Victorian public sector organisations recorded </w:t>
      </w:r>
      <w:r w:rsidR="00A91E58">
        <w:rPr>
          <w:lang w:eastAsia="en-AU"/>
        </w:rPr>
        <w:t>11</w:t>
      </w:r>
      <w:r w:rsidR="00E10B83">
        <w:rPr>
          <w:lang w:eastAsia="en-AU"/>
        </w:rPr>
        <w:t>65</w:t>
      </w:r>
      <w:r w:rsidRPr="00305EF3">
        <w:rPr>
          <w:lang w:eastAsia="en-AU"/>
        </w:rPr>
        <w:t xml:space="preserve"> formal reports through </w:t>
      </w:r>
      <w:r w:rsidR="00521D85">
        <w:rPr>
          <w:lang w:eastAsia="en-AU"/>
        </w:rPr>
        <w:t>formal</w:t>
      </w:r>
      <w:r w:rsidRPr="00305EF3">
        <w:rPr>
          <w:lang w:eastAsia="en-AU"/>
        </w:rPr>
        <w:t xml:space="preserve"> reporting mechanisms</w:t>
      </w:r>
      <w:r w:rsidR="00650A40">
        <w:rPr>
          <w:lang w:eastAsia="en-AU"/>
        </w:rPr>
        <w:t xml:space="preserve"> </w:t>
      </w:r>
      <w:r w:rsidR="00137CFD">
        <w:rPr>
          <w:lang w:eastAsia="en-AU"/>
        </w:rPr>
        <w:t xml:space="preserve">made by women who </w:t>
      </w:r>
      <w:r w:rsidR="009948F6">
        <w:rPr>
          <w:lang w:eastAsia="en-AU"/>
        </w:rPr>
        <w:t>witnessed or experienced</w:t>
      </w:r>
      <w:r w:rsidR="00137CFD">
        <w:rPr>
          <w:lang w:eastAsia="en-AU"/>
        </w:rPr>
        <w:t xml:space="preserve"> sexual harass</w:t>
      </w:r>
      <w:r w:rsidR="009948F6">
        <w:rPr>
          <w:lang w:eastAsia="en-AU"/>
        </w:rPr>
        <w:t>ment</w:t>
      </w:r>
      <w:r w:rsidRPr="00305EF3">
        <w:rPr>
          <w:lang w:eastAsia="en-AU"/>
        </w:rPr>
        <w:t xml:space="preserve"> </w:t>
      </w:r>
      <w:r w:rsidR="00A10E39">
        <w:rPr>
          <w:lang w:eastAsia="en-AU"/>
        </w:rPr>
        <w:t>–</w:t>
      </w:r>
      <w:r w:rsidRPr="00305EF3">
        <w:rPr>
          <w:lang w:eastAsia="en-AU"/>
        </w:rPr>
        <w:t xml:space="preserve"> </w:t>
      </w:r>
      <w:r w:rsidR="005C19A3">
        <w:rPr>
          <w:lang w:eastAsia="en-AU"/>
        </w:rPr>
        <w:t>3</w:t>
      </w:r>
      <w:r w:rsidR="00E10B83">
        <w:rPr>
          <w:lang w:eastAsia="en-AU"/>
        </w:rPr>
        <w:t>21</w:t>
      </w:r>
      <w:r w:rsidRPr="00305EF3">
        <w:rPr>
          <w:lang w:eastAsia="en-AU"/>
        </w:rPr>
        <w:t xml:space="preserve"> more than in 2021. Over the same period, </w:t>
      </w:r>
      <w:r w:rsidR="002076B2">
        <w:rPr>
          <w:lang w:eastAsia="en-AU"/>
        </w:rPr>
        <w:t>formally</w:t>
      </w:r>
      <w:r w:rsidRPr="00305EF3">
        <w:rPr>
          <w:lang w:eastAsia="en-AU"/>
        </w:rPr>
        <w:t xml:space="preserve"> recorded reports from men fell from 3</w:t>
      </w:r>
      <w:r w:rsidR="007842BF">
        <w:rPr>
          <w:lang w:eastAsia="en-AU"/>
        </w:rPr>
        <w:t>76</w:t>
      </w:r>
      <w:r w:rsidRPr="00305EF3">
        <w:rPr>
          <w:lang w:eastAsia="en-AU"/>
        </w:rPr>
        <w:t xml:space="preserve"> to 1</w:t>
      </w:r>
      <w:r w:rsidR="00AD3EC6">
        <w:rPr>
          <w:lang w:eastAsia="en-AU"/>
        </w:rPr>
        <w:t>6</w:t>
      </w:r>
      <w:r w:rsidR="00210C86">
        <w:rPr>
          <w:lang w:eastAsia="en-AU"/>
        </w:rPr>
        <w:t>4</w:t>
      </w:r>
      <w:r w:rsidRPr="00305EF3">
        <w:rPr>
          <w:lang w:eastAsia="en-AU"/>
        </w:rPr>
        <w:t xml:space="preserve">, and </w:t>
      </w:r>
      <w:r w:rsidR="002076B2">
        <w:rPr>
          <w:lang w:eastAsia="en-AU"/>
        </w:rPr>
        <w:t xml:space="preserve">formal </w:t>
      </w:r>
      <w:r w:rsidRPr="00305EF3">
        <w:rPr>
          <w:lang w:eastAsia="en-AU"/>
        </w:rPr>
        <w:t xml:space="preserve">reports from people who self-describe their gender </w:t>
      </w:r>
      <w:r w:rsidR="00AD3EC6">
        <w:rPr>
          <w:lang w:eastAsia="en-AU"/>
        </w:rPr>
        <w:t>rose slightly</w:t>
      </w:r>
      <w:r w:rsidRPr="00305EF3">
        <w:rPr>
          <w:lang w:eastAsia="en-AU"/>
        </w:rPr>
        <w:t xml:space="preserve">, </w:t>
      </w:r>
      <w:r w:rsidR="00AD3EC6">
        <w:rPr>
          <w:lang w:eastAsia="en-AU"/>
        </w:rPr>
        <w:t>from</w:t>
      </w:r>
      <w:r w:rsidRPr="00305EF3">
        <w:rPr>
          <w:lang w:eastAsia="en-AU"/>
        </w:rPr>
        <w:t xml:space="preserve"> 4 in </w:t>
      </w:r>
      <w:r w:rsidR="00AD3EC6">
        <w:rPr>
          <w:lang w:eastAsia="en-AU"/>
        </w:rPr>
        <w:t>2021 to 6 in 2025</w:t>
      </w:r>
      <w:r w:rsidRPr="00305EF3">
        <w:rPr>
          <w:lang w:eastAsia="en-AU"/>
        </w:rPr>
        <w:t>.</w:t>
      </w:r>
      <w:r w:rsidR="00CC6CCF">
        <w:rPr>
          <w:lang w:eastAsia="en-AU"/>
        </w:rPr>
        <w:t xml:space="preserve"> </w:t>
      </w:r>
    </w:p>
    <w:p w14:paraId="71E2E7BC" w14:textId="332F7347" w:rsidR="00305EF3" w:rsidRDefault="00052597" w:rsidP="0078531C">
      <w:pPr>
        <w:pStyle w:val="BodyText"/>
        <w:rPr>
          <w:lang w:eastAsia="en-AU"/>
        </w:rPr>
      </w:pPr>
      <w:r w:rsidRPr="00052597">
        <w:rPr>
          <w:lang w:eastAsia="en-AU"/>
        </w:rPr>
        <w:t xml:space="preserve">The data shows that increased formal reporting was </w:t>
      </w:r>
      <w:r w:rsidR="00283021">
        <w:rPr>
          <w:lang w:eastAsia="en-AU"/>
        </w:rPr>
        <w:t>largely</w:t>
      </w:r>
      <w:r w:rsidRPr="00052597">
        <w:rPr>
          <w:lang w:eastAsia="en-AU"/>
        </w:rPr>
        <w:t xml:space="preserve"> driven by the </w:t>
      </w:r>
      <w:r w:rsidR="00283021">
        <w:rPr>
          <w:lang w:eastAsia="en-AU"/>
        </w:rPr>
        <w:t>p</w:t>
      </w:r>
      <w:r w:rsidRPr="00052597">
        <w:rPr>
          <w:lang w:eastAsia="en-AU"/>
        </w:rPr>
        <w:t xml:space="preserve">ublic health care industry. Several large, metropolitan health services increased their numbers of formal reports of sexual harassment significantly, even between 2023 and 2025. This is likely due to a combination of improved data collection and reporting, as well as a potential increase in actual reports made. Given the </w:t>
      </w:r>
      <w:r w:rsidR="00DB3E64">
        <w:rPr>
          <w:lang w:eastAsia="en-AU"/>
        </w:rPr>
        <w:t>p</w:t>
      </w:r>
      <w:r w:rsidRPr="00052597">
        <w:rPr>
          <w:lang w:eastAsia="en-AU"/>
        </w:rPr>
        <w:t>ublic health care industry has among the highest rates of sexual harassment in the Victorian public sector, increased ability to monitor and respond to sexual harassment through improved reporting processes and systems is a positive step.</w:t>
      </w:r>
      <w:r w:rsidR="00283852" w:rsidRPr="00283852">
        <w:rPr>
          <w:lang w:eastAsia="en-AU"/>
        </w:rPr>
        <w:t xml:space="preserve"> </w:t>
      </w:r>
      <w:r w:rsidR="00283852" w:rsidRPr="00305EF3">
        <w:rPr>
          <w:lang w:eastAsia="en-AU"/>
        </w:rPr>
        <w:t>Centralised formal reporting matters</w:t>
      </w:r>
      <w:r w:rsidR="00283852">
        <w:rPr>
          <w:lang w:eastAsia="en-AU"/>
        </w:rPr>
        <w:t>.</w:t>
      </w:r>
      <w:r w:rsidR="00283852" w:rsidRPr="00305EF3">
        <w:rPr>
          <w:lang w:eastAsia="en-AU"/>
        </w:rPr>
        <w:t xml:space="preserve"> </w:t>
      </w:r>
      <w:r w:rsidR="00283852">
        <w:rPr>
          <w:lang w:eastAsia="en-AU"/>
        </w:rPr>
        <w:t>I</w:t>
      </w:r>
      <w:r w:rsidR="00283852" w:rsidRPr="00305EF3">
        <w:rPr>
          <w:lang w:eastAsia="en-AU"/>
        </w:rPr>
        <w:t>t is what allows a person who reports to be supported safely, and an incident to be investigated and appropriately dealt with.</w:t>
      </w:r>
    </w:p>
    <w:p w14:paraId="64E999C9" w14:textId="68ECF165" w:rsidR="00711F22" w:rsidRDefault="00280AAC" w:rsidP="00325903">
      <w:pPr>
        <w:pStyle w:val="Heading3"/>
      </w:pPr>
      <w:r>
        <w:t>Areas for attention</w:t>
      </w:r>
    </w:p>
    <w:p w14:paraId="504E64D7" w14:textId="58BF864F" w:rsidR="001C284D" w:rsidRDefault="001C284D" w:rsidP="001C284D">
      <w:pPr>
        <w:pStyle w:val="Heading4"/>
      </w:pPr>
      <w:r>
        <w:t xml:space="preserve">The sector </w:t>
      </w:r>
      <w:r w:rsidR="009A24AB">
        <w:t>did</w:t>
      </w:r>
      <w:r>
        <w:t xml:space="preserve"> not ma</w:t>
      </w:r>
      <w:r w:rsidR="009A24AB">
        <w:t>k</w:t>
      </w:r>
      <w:r>
        <w:t>e sufficient progress in reducing sexual harassment</w:t>
      </w:r>
    </w:p>
    <w:p w14:paraId="3A6D5017" w14:textId="4149FEB3" w:rsidR="00DF0827" w:rsidRPr="00DF0827" w:rsidRDefault="00DF0827" w:rsidP="0078531C">
      <w:pPr>
        <w:pStyle w:val="BodyText"/>
      </w:pPr>
      <w:r w:rsidRPr="00DF0827">
        <w:t>Sexual harassment remains one of the most concerning areas in duty holders</w:t>
      </w:r>
      <w:r w:rsidR="002F55AB">
        <w:t>’</w:t>
      </w:r>
      <w:r w:rsidRPr="00DF0827">
        <w:t xml:space="preserve"> data. Experience rates for women and men were essentially unchanged from 2021, and the rate for non-binary and gender-diverse employees rose. In 2025, anonymous survey data showed 6.4% of women experienced sexual harassment (6.5% in 2021) and 3.5% of men (3.6% in 2021), while the rate for non-binary and gender-diverse people rose from 12.7% to 16.9%. Despite years of awareness-raising and policy attention, many organisations are not yet demonstrating sufficient progress in prevention</w:t>
      </w:r>
      <w:r w:rsidR="0030773D">
        <w:t>.</w:t>
      </w:r>
    </w:p>
    <w:p w14:paraId="0EA65F58" w14:textId="02CAD35D" w:rsidR="00DF0827" w:rsidRPr="00DF0827" w:rsidRDefault="00DF0827" w:rsidP="0078531C">
      <w:pPr>
        <w:pStyle w:val="BodyText"/>
      </w:pPr>
      <w:r w:rsidRPr="00DF0827">
        <w:t xml:space="preserve">The industries </w:t>
      </w:r>
      <w:r w:rsidR="003F735D">
        <w:t xml:space="preserve">with the highest </w:t>
      </w:r>
      <w:r w:rsidRPr="00DF0827">
        <w:t xml:space="preserve">sexual harassment </w:t>
      </w:r>
      <w:r w:rsidR="003F735D">
        <w:t xml:space="preserve">experience rates for </w:t>
      </w:r>
      <w:r w:rsidRPr="00DF0827">
        <w:t>women were police and emergency services (11.8%), transport (10.6%) and community and cultural services (10.2%). For men, the highest rates were in public health care (6.1%), police and emergency services (4.7%) and local government (4.6%).</w:t>
      </w:r>
    </w:p>
    <w:p w14:paraId="1FA47668" w14:textId="33BDF1FC" w:rsidR="00DF0827" w:rsidRPr="00DF0827" w:rsidRDefault="0060671B" w:rsidP="0078531C">
      <w:pPr>
        <w:pStyle w:val="BodyText"/>
      </w:pPr>
      <w:r>
        <w:t>As noted above</w:t>
      </w:r>
      <w:r w:rsidR="00DF0827" w:rsidRPr="00DF0827">
        <w:t xml:space="preserve">, </w:t>
      </w:r>
      <w:r w:rsidR="001146DC">
        <w:t>t</w:t>
      </w:r>
      <w:r w:rsidR="00292DCE" w:rsidRPr="00E556F6">
        <w:t xml:space="preserve">here has been a concerted push from governments to prevent and address workplace sexual harassment in recent years. The </w:t>
      </w:r>
      <w:r w:rsidR="00292DCE" w:rsidRPr="006B6C31">
        <w:rPr>
          <w:iCs/>
        </w:rPr>
        <w:t>Gender Equality Act</w:t>
      </w:r>
      <w:r w:rsidR="00292DCE" w:rsidRPr="00FA39F5">
        <w:rPr>
          <w:i/>
        </w:rPr>
        <w:t xml:space="preserve"> </w:t>
      </w:r>
      <w:r w:rsidR="00292DCE" w:rsidRPr="00E556F6">
        <w:t xml:space="preserve">has been in operation for 5 years, requiring duty holders in Victoria to demonstrate reasonable and material progress on sexual harassment every 2 years. At the federal level, changes to the Sex Discrimination Act 1984 also </w:t>
      </w:r>
      <w:r w:rsidR="00292DCE" w:rsidRPr="00E556F6">
        <w:lastRenderedPageBreak/>
        <w:t xml:space="preserve">placed a positive duty on organisations to actively prevent sexual harassment, rather than just respond to occurrences. </w:t>
      </w:r>
      <w:r w:rsidR="0030501A">
        <w:t xml:space="preserve">Within this </w:t>
      </w:r>
      <w:r w:rsidR="003A642A">
        <w:t>legislative and policy environment,</w:t>
      </w:r>
      <w:r w:rsidR="00DF0827" w:rsidRPr="00DF0827" w:rsidDel="004E4CDB">
        <w:t xml:space="preserve"> </w:t>
      </w:r>
      <w:r w:rsidR="003A642A">
        <w:t>duty holders</w:t>
      </w:r>
      <w:r w:rsidR="00DF0827" w:rsidRPr="00DF0827">
        <w:t xml:space="preserve"> must be able to show they are identifying risks, implementing effective prevention measures, responding appropriately when harassment occurs, and reviewing whether those measures are working. Where an organisation cannot demonstrate meaningful progress or effective prevention, the Commissioner will continue to use the regulatory and compliance powers available under the </w:t>
      </w:r>
      <w:r w:rsidR="00DF0827" w:rsidRPr="00D8120C">
        <w:t>Gender Equality Act</w:t>
      </w:r>
      <w:r w:rsidR="00DF0827" w:rsidRPr="00DF0827">
        <w:rPr>
          <w:i/>
          <w:iCs/>
        </w:rPr>
        <w:t xml:space="preserve"> </w:t>
      </w:r>
      <w:r w:rsidR="00DF0827" w:rsidRPr="00DF0827">
        <w:t>to drive change.</w:t>
      </w:r>
    </w:p>
    <w:p w14:paraId="7F790FF6" w14:textId="1FEE25D8" w:rsidR="0030501A" w:rsidRPr="00DF0827" w:rsidRDefault="0030501A" w:rsidP="0078531C">
      <w:pPr>
        <w:pStyle w:val="BodyText"/>
      </w:pPr>
      <w:r w:rsidRPr="00E556F6">
        <w:t>Read more</w:t>
      </w:r>
      <w:r w:rsidR="003A642A">
        <w:t xml:space="preserve"> about</w:t>
      </w:r>
      <w:r w:rsidR="006B3CE4">
        <w:t xml:space="preserve"> recent changes to sexual harassment regulation</w:t>
      </w:r>
      <w:r w:rsidR="002F1E37">
        <w:t>, and how to prevent and respond to sexual harassment,</w:t>
      </w:r>
      <w:r w:rsidRPr="00E556F6">
        <w:t xml:space="preserve"> in the Commission’s </w:t>
      </w:r>
      <w:hyperlink r:id="rId46" w:history="1">
        <w:r>
          <w:rPr>
            <w:rStyle w:val="Hyperlink"/>
            <w:rFonts w:cs="Arial"/>
          </w:rPr>
          <w:t>Insights report: sexual harassment 2025</w:t>
        </w:r>
      </w:hyperlink>
      <w:r w:rsidRPr="00E556F6">
        <w:t>.</w:t>
      </w:r>
    </w:p>
    <w:p w14:paraId="49BEAE18" w14:textId="3B758CBD" w:rsidR="00A12C7E" w:rsidRDefault="00A12C7E" w:rsidP="00A12C7E">
      <w:pPr>
        <w:pStyle w:val="Heading4"/>
      </w:pPr>
      <w:r>
        <w:t xml:space="preserve">Rates of sexual harassment </w:t>
      </w:r>
      <w:r w:rsidR="002F3020">
        <w:t>were</w:t>
      </w:r>
      <w:r>
        <w:t xml:space="preserve"> much higher for groups experiencing intersectional gender inequality</w:t>
      </w:r>
    </w:p>
    <w:p w14:paraId="727199A6" w14:textId="4AB03B3A" w:rsidR="00553430" w:rsidRDefault="00553430" w:rsidP="00072BB7">
      <w:pPr>
        <w:pStyle w:val="Heading4"/>
        <w:rPr>
          <w:rFonts w:eastAsia="Times"/>
          <w:b w:val="0"/>
          <w:bCs w:val="0"/>
          <w:color w:val="auto"/>
          <w:sz w:val="21"/>
          <w:szCs w:val="20"/>
        </w:rPr>
      </w:pPr>
      <w:r w:rsidRPr="00553430">
        <w:rPr>
          <w:rFonts w:eastAsia="Times"/>
          <w:b w:val="0"/>
          <w:bCs w:val="0"/>
          <w:color w:val="auto"/>
          <w:sz w:val="21"/>
          <w:szCs w:val="20"/>
        </w:rPr>
        <w:t>Employees who experience intersecting forms of discrimination and disadvantage continue</w:t>
      </w:r>
      <w:r w:rsidR="0060671B">
        <w:rPr>
          <w:rFonts w:eastAsia="Times"/>
          <w:b w:val="0"/>
          <w:bCs w:val="0"/>
          <w:color w:val="auto"/>
          <w:sz w:val="21"/>
          <w:szCs w:val="20"/>
        </w:rPr>
        <w:t>d</w:t>
      </w:r>
      <w:r w:rsidRPr="00553430">
        <w:rPr>
          <w:rFonts w:eastAsia="Times"/>
          <w:b w:val="0"/>
          <w:bCs w:val="0"/>
          <w:color w:val="auto"/>
          <w:sz w:val="21"/>
          <w:szCs w:val="20"/>
        </w:rPr>
        <w:t xml:space="preserve"> to experience sexual harassment at higher rates. The highest rates of all were experienced by non-binary and gender-diverse people, whose experience rate rose 4.</w:t>
      </w:r>
      <w:r w:rsidR="00A8183D">
        <w:rPr>
          <w:rFonts w:eastAsia="Times"/>
          <w:b w:val="0"/>
          <w:bCs w:val="0"/>
          <w:color w:val="auto"/>
          <w:sz w:val="21"/>
          <w:szCs w:val="20"/>
        </w:rPr>
        <w:t>18</w:t>
      </w:r>
      <w:r w:rsidRPr="00553430">
        <w:rPr>
          <w:rFonts w:eastAsia="Times"/>
          <w:b w:val="0"/>
          <w:bCs w:val="0"/>
          <w:color w:val="auto"/>
          <w:sz w:val="21"/>
          <w:szCs w:val="20"/>
        </w:rPr>
        <w:t xml:space="preserve"> percentage points since 2021</w:t>
      </w:r>
      <w:r w:rsidR="00C77CB7">
        <w:rPr>
          <w:rFonts w:eastAsia="Times"/>
          <w:b w:val="0"/>
          <w:bCs w:val="0"/>
          <w:color w:val="auto"/>
          <w:sz w:val="21"/>
          <w:szCs w:val="20"/>
        </w:rPr>
        <w:t xml:space="preserve"> </w:t>
      </w:r>
      <w:r w:rsidR="00C77CB7" w:rsidRPr="00553430">
        <w:rPr>
          <w:rFonts w:eastAsia="Times"/>
          <w:b w:val="0"/>
          <w:bCs w:val="0"/>
          <w:color w:val="auto"/>
          <w:sz w:val="21"/>
          <w:szCs w:val="20"/>
        </w:rPr>
        <w:t>(from 12.7% to 16.9%)</w:t>
      </w:r>
      <w:r w:rsidR="00F246E9">
        <w:rPr>
          <w:rFonts w:eastAsia="Times"/>
          <w:b w:val="0"/>
          <w:bCs w:val="0"/>
          <w:color w:val="auto"/>
          <w:sz w:val="21"/>
          <w:szCs w:val="20"/>
        </w:rPr>
        <w:t>. This is</w:t>
      </w:r>
      <w:r w:rsidRPr="00553430" w:rsidDel="00F246E9">
        <w:rPr>
          <w:rFonts w:eastAsia="Times"/>
          <w:b w:val="0"/>
          <w:bCs w:val="0"/>
          <w:color w:val="auto"/>
          <w:sz w:val="21"/>
          <w:szCs w:val="20"/>
        </w:rPr>
        <w:t xml:space="preserve"> </w:t>
      </w:r>
      <w:r w:rsidRPr="00553430">
        <w:rPr>
          <w:rFonts w:eastAsia="Times"/>
          <w:b w:val="0"/>
          <w:bCs w:val="0"/>
          <w:color w:val="auto"/>
          <w:sz w:val="21"/>
          <w:szCs w:val="20"/>
        </w:rPr>
        <w:t>the largest increase of any group in Table 4.4. The next largest increase was among First Nations women (7.6% in 2025, up 1.1</w:t>
      </w:r>
      <w:r w:rsidR="00A061EA">
        <w:rPr>
          <w:rFonts w:eastAsia="Times"/>
          <w:b w:val="0"/>
          <w:bCs w:val="0"/>
          <w:color w:val="auto"/>
          <w:sz w:val="21"/>
          <w:szCs w:val="20"/>
        </w:rPr>
        <w:t>2</w:t>
      </w:r>
      <w:r w:rsidRPr="00553430">
        <w:rPr>
          <w:rFonts w:eastAsia="Times"/>
          <w:b w:val="0"/>
          <w:bCs w:val="0"/>
          <w:color w:val="auto"/>
          <w:sz w:val="21"/>
          <w:szCs w:val="20"/>
        </w:rPr>
        <w:t xml:space="preserve"> </w:t>
      </w:r>
      <w:r w:rsidR="001B5CBE">
        <w:rPr>
          <w:rFonts w:eastAsia="Times"/>
          <w:b w:val="0"/>
          <w:bCs w:val="0"/>
          <w:color w:val="auto"/>
          <w:sz w:val="21"/>
          <w:szCs w:val="20"/>
        </w:rPr>
        <w:t xml:space="preserve">percentage </w:t>
      </w:r>
      <w:r w:rsidRPr="00553430">
        <w:rPr>
          <w:rFonts w:eastAsia="Times"/>
          <w:b w:val="0"/>
          <w:bCs w:val="0"/>
          <w:color w:val="auto"/>
          <w:sz w:val="21"/>
          <w:szCs w:val="20"/>
        </w:rPr>
        <w:t xml:space="preserve">points). Rates for </w:t>
      </w:r>
      <w:r w:rsidR="00C042C4">
        <w:rPr>
          <w:rFonts w:eastAsia="Times"/>
          <w:b w:val="0"/>
          <w:bCs w:val="0"/>
          <w:color w:val="auto"/>
          <w:sz w:val="21"/>
          <w:szCs w:val="20"/>
        </w:rPr>
        <w:t>CARM</w:t>
      </w:r>
      <w:r w:rsidRPr="00553430">
        <w:rPr>
          <w:rFonts w:eastAsia="Times"/>
          <w:b w:val="0"/>
          <w:bCs w:val="0"/>
          <w:color w:val="auto"/>
          <w:sz w:val="21"/>
          <w:szCs w:val="20"/>
        </w:rPr>
        <w:t xml:space="preserve"> women</w:t>
      </w:r>
      <w:r w:rsidR="00620B5B">
        <w:rPr>
          <w:rFonts w:eastAsia="Times"/>
          <w:b w:val="0"/>
          <w:bCs w:val="0"/>
          <w:color w:val="auto"/>
          <w:sz w:val="21"/>
          <w:szCs w:val="20"/>
        </w:rPr>
        <w:t xml:space="preserve"> (</w:t>
      </w:r>
      <w:r w:rsidR="00865743">
        <w:rPr>
          <w:rFonts w:eastAsia="Times"/>
          <w:b w:val="0"/>
          <w:bCs w:val="0"/>
          <w:color w:val="auto"/>
          <w:sz w:val="21"/>
          <w:szCs w:val="20"/>
        </w:rPr>
        <w:t>6.4%)</w:t>
      </w:r>
      <w:r w:rsidRPr="00553430">
        <w:rPr>
          <w:rFonts w:eastAsia="Times"/>
          <w:b w:val="0"/>
          <w:bCs w:val="0"/>
          <w:color w:val="auto"/>
          <w:sz w:val="21"/>
          <w:szCs w:val="20"/>
        </w:rPr>
        <w:t xml:space="preserve">, young women </w:t>
      </w:r>
      <w:r w:rsidR="00865743">
        <w:rPr>
          <w:rFonts w:eastAsia="Times"/>
          <w:b w:val="0"/>
          <w:bCs w:val="0"/>
          <w:color w:val="auto"/>
          <w:sz w:val="21"/>
          <w:szCs w:val="20"/>
        </w:rPr>
        <w:t>(13.9%)</w:t>
      </w:r>
      <w:r w:rsidRPr="00553430">
        <w:rPr>
          <w:rFonts w:eastAsia="Times"/>
          <w:b w:val="0"/>
          <w:bCs w:val="0"/>
          <w:color w:val="auto"/>
          <w:sz w:val="21"/>
          <w:szCs w:val="20"/>
        </w:rPr>
        <w:t xml:space="preserve"> and women with disability </w:t>
      </w:r>
      <w:r w:rsidR="00DC2666">
        <w:rPr>
          <w:rFonts w:eastAsia="Times"/>
          <w:b w:val="0"/>
          <w:bCs w:val="0"/>
          <w:color w:val="auto"/>
          <w:sz w:val="21"/>
          <w:szCs w:val="20"/>
        </w:rPr>
        <w:t>(11.7%)</w:t>
      </w:r>
      <w:r w:rsidR="000A64DF">
        <w:rPr>
          <w:rFonts w:eastAsia="Times"/>
          <w:b w:val="0"/>
          <w:bCs w:val="0"/>
          <w:color w:val="auto"/>
          <w:sz w:val="21"/>
          <w:szCs w:val="20"/>
        </w:rPr>
        <w:t xml:space="preserve"> </w:t>
      </w:r>
      <w:r w:rsidR="00A915DD">
        <w:rPr>
          <w:rFonts w:eastAsia="Times"/>
          <w:b w:val="0"/>
          <w:bCs w:val="0"/>
          <w:color w:val="auto"/>
          <w:sz w:val="21"/>
          <w:szCs w:val="20"/>
        </w:rPr>
        <w:t xml:space="preserve">were </w:t>
      </w:r>
      <w:r w:rsidR="00620B5B">
        <w:rPr>
          <w:rFonts w:eastAsia="Times"/>
          <w:b w:val="0"/>
          <w:bCs w:val="0"/>
          <w:color w:val="auto"/>
          <w:sz w:val="21"/>
          <w:szCs w:val="20"/>
        </w:rPr>
        <w:t>largely</w:t>
      </w:r>
      <w:r w:rsidR="00A915DD">
        <w:rPr>
          <w:rFonts w:eastAsia="Times"/>
          <w:b w:val="0"/>
          <w:bCs w:val="0"/>
          <w:color w:val="auto"/>
          <w:sz w:val="21"/>
          <w:szCs w:val="20"/>
        </w:rPr>
        <w:t xml:space="preserve"> unchanged</w:t>
      </w:r>
      <w:r w:rsidRPr="00553430">
        <w:rPr>
          <w:rFonts w:eastAsia="Times"/>
          <w:b w:val="0"/>
          <w:bCs w:val="0"/>
          <w:color w:val="auto"/>
          <w:sz w:val="21"/>
          <w:szCs w:val="20"/>
        </w:rPr>
        <w:t xml:space="preserve"> since 2021</w:t>
      </w:r>
      <w:r w:rsidR="003C1A16">
        <w:rPr>
          <w:rFonts w:eastAsia="Times"/>
          <w:b w:val="0"/>
          <w:bCs w:val="0"/>
          <w:color w:val="auto"/>
          <w:sz w:val="21"/>
          <w:szCs w:val="20"/>
        </w:rPr>
        <w:t>.</w:t>
      </w:r>
      <w:r w:rsidRPr="00553430">
        <w:rPr>
          <w:rFonts w:eastAsia="Times"/>
          <w:b w:val="0"/>
          <w:bCs w:val="0"/>
          <w:color w:val="auto"/>
          <w:sz w:val="21"/>
          <w:szCs w:val="20"/>
        </w:rPr>
        <w:t xml:space="preserve"> </w:t>
      </w:r>
      <w:r w:rsidR="003C1A16">
        <w:rPr>
          <w:rFonts w:eastAsia="Times"/>
          <w:b w:val="0"/>
          <w:bCs w:val="0"/>
          <w:color w:val="auto"/>
          <w:sz w:val="21"/>
          <w:szCs w:val="20"/>
        </w:rPr>
        <w:t>A</w:t>
      </w:r>
      <w:r w:rsidRPr="00553430">
        <w:rPr>
          <w:rFonts w:eastAsia="Times"/>
          <w:b w:val="0"/>
          <w:bCs w:val="0"/>
          <w:color w:val="auto"/>
          <w:sz w:val="21"/>
          <w:szCs w:val="20"/>
        </w:rPr>
        <w:t>ll require immediate attention.</w:t>
      </w:r>
    </w:p>
    <w:p w14:paraId="1613E353" w14:textId="536768C0" w:rsidR="00072BB7" w:rsidRPr="00072BB7" w:rsidRDefault="00072BB7" w:rsidP="00072BB7">
      <w:pPr>
        <w:pStyle w:val="Heading4"/>
      </w:pPr>
      <w:r w:rsidRPr="00072BB7">
        <w:t xml:space="preserve">Patterns in who reports </w:t>
      </w:r>
      <w:r w:rsidR="00887D0E">
        <w:t xml:space="preserve">sexual harassment </w:t>
      </w:r>
      <w:r w:rsidR="002F3020">
        <w:t>were</w:t>
      </w:r>
      <w:r w:rsidRPr="00072BB7">
        <w:t xml:space="preserve"> strongly gendered</w:t>
      </w:r>
    </w:p>
    <w:p w14:paraId="1404B036" w14:textId="750C70F3" w:rsidR="00072BB7" w:rsidRPr="00072BB7" w:rsidRDefault="00072BB7" w:rsidP="0078531C">
      <w:pPr>
        <w:pStyle w:val="BodyText"/>
      </w:pPr>
      <w:r w:rsidRPr="00072BB7">
        <w:t>Women continued to report sexual harassment more often than men. Research indicates the reasons are highly gendered</w:t>
      </w:r>
      <w:r w:rsidR="005600EC">
        <w:t>. W</w:t>
      </w:r>
      <w:r w:rsidRPr="00072BB7">
        <w:t xml:space="preserve">omen experience more severe forms of harassment, at higher rates </w:t>
      </w:r>
      <w:r w:rsidRPr="00A55991">
        <w:t>(Nielsen et al. 2010</w:t>
      </w:r>
      <w:r w:rsidRPr="00C772FA">
        <w:t>; AHRC 2022)</w:t>
      </w:r>
      <w:r w:rsidR="005600EC">
        <w:t>. M</w:t>
      </w:r>
      <w:r w:rsidRPr="00072BB7">
        <w:t xml:space="preserve">en are less likely to label their experiences as harassment </w:t>
      </w:r>
      <w:r w:rsidRPr="004444B7">
        <w:t>(</w:t>
      </w:r>
      <w:r w:rsidR="000F49BB" w:rsidRPr="004444B7">
        <w:t>Keenan</w:t>
      </w:r>
      <w:r w:rsidR="000F0254" w:rsidRPr="004444B7">
        <w:t xml:space="preserve"> et al.</w:t>
      </w:r>
      <w:r w:rsidR="000F49BB" w:rsidRPr="004444B7">
        <w:t xml:space="preserve"> </w:t>
      </w:r>
      <w:r w:rsidR="000F0254" w:rsidRPr="004444B7">
        <w:t>2024;</w:t>
      </w:r>
      <w:r w:rsidRPr="004444B7">
        <w:t xml:space="preserve"> </w:t>
      </w:r>
      <w:r w:rsidRPr="00764F7A">
        <w:t>Węziak-Białowolska et al. 2020)</w:t>
      </w:r>
      <w:r w:rsidR="00F26FE8">
        <w:t>. A</w:t>
      </w:r>
      <w:r w:rsidRPr="00072BB7">
        <w:t>nd</w:t>
      </w:r>
      <w:r w:rsidR="00F26FE8">
        <w:t>,</w:t>
      </w:r>
      <w:r w:rsidRPr="00072BB7">
        <w:t xml:space="preserve"> men are more reluctant to report formally, because doing so </w:t>
      </w:r>
      <w:r w:rsidR="00536202">
        <w:t>conflicts with</w:t>
      </w:r>
      <w:r w:rsidRPr="00072BB7">
        <w:t xml:space="preserve"> traditional gender roles </w:t>
      </w:r>
      <w:r w:rsidRPr="000A6B13">
        <w:t>(McDonald and Charlesworth 2016).</w:t>
      </w:r>
    </w:p>
    <w:p w14:paraId="12E8BEEB" w14:textId="26FBDC4A" w:rsidR="00072BB7" w:rsidRPr="00072BB7" w:rsidRDefault="00072BB7" w:rsidP="0078531C">
      <w:pPr>
        <w:pStyle w:val="BodyText"/>
      </w:pPr>
      <w:r w:rsidRPr="00072BB7">
        <w:t xml:space="preserve">Formal reporting by men and by non-binary and gender-diverse employees </w:t>
      </w:r>
      <w:r w:rsidR="0043599C">
        <w:t>was</w:t>
      </w:r>
      <w:r w:rsidRPr="00072BB7">
        <w:t xml:space="preserve"> low, and confidence and sense of safety among gender-diverse employees </w:t>
      </w:r>
      <w:r w:rsidR="0043599C">
        <w:t>was</w:t>
      </w:r>
      <w:r w:rsidRPr="00072BB7">
        <w:t xml:space="preserve"> poor. Together with the high and </w:t>
      </w:r>
      <w:r w:rsidR="00CF2648">
        <w:t>increased</w:t>
      </w:r>
      <w:r w:rsidRPr="00072BB7">
        <w:t xml:space="preserve"> experience rate for this group, this points clearly to the need for reporting pathways that are safe and inclusive for employees of all genders.</w:t>
      </w:r>
    </w:p>
    <w:p w14:paraId="6196452A" w14:textId="273ED921" w:rsidR="009228E6" w:rsidRPr="009228E6" w:rsidRDefault="009228E6" w:rsidP="009228E6">
      <w:pPr>
        <w:pStyle w:val="Heading4"/>
      </w:pPr>
      <w:r w:rsidRPr="009228E6">
        <w:t xml:space="preserve">Much sexual harassment </w:t>
      </w:r>
      <w:r w:rsidR="009F2F9D">
        <w:t>was</w:t>
      </w:r>
      <w:r w:rsidRPr="009228E6">
        <w:t xml:space="preserve"> invisible to the systems meant to manage it</w:t>
      </w:r>
    </w:p>
    <w:p w14:paraId="5CE83C04" w14:textId="2CF79461" w:rsidR="009228E6" w:rsidRPr="009228E6" w:rsidRDefault="009228E6" w:rsidP="0078531C">
      <w:pPr>
        <w:pStyle w:val="BodyText"/>
      </w:pPr>
      <w:r w:rsidRPr="009228E6">
        <w:t xml:space="preserve">Sexual harassment cannot be prevented if organisations cannot see where it is occurring. Yet the data suggests that, in many workplaces, a significant proportion of sexual harassment remains invisible to the systems responsible for </w:t>
      </w:r>
      <w:r w:rsidR="0071373C">
        <w:t>addressing</w:t>
      </w:r>
      <w:r w:rsidRPr="009228E6">
        <w:t xml:space="preserve"> it.</w:t>
      </w:r>
    </w:p>
    <w:p w14:paraId="5AD40823" w14:textId="77FD96BA" w:rsidR="004A404C" w:rsidRDefault="009228E6" w:rsidP="0078531C">
      <w:pPr>
        <w:pStyle w:val="BodyText"/>
      </w:pPr>
      <w:r w:rsidRPr="009228E6">
        <w:t xml:space="preserve">Employee experience survey data consistently shows that some employees who experience sexual harassment say they have formally reported it. However, the number of formal reports recorded in workforce reporting data is often substantially lower than those survey responses would lead us to expect. </w:t>
      </w:r>
      <w:r w:rsidR="008003D0">
        <w:t>F</w:t>
      </w:r>
      <w:r w:rsidR="007231E7">
        <w:t xml:space="preserve">ormal reports include </w:t>
      </w:r>
      <w:r w:rsidR="008003D0">
        <w:t>complaints</w:t>
      </w:r>
      <w:r w:rsidR="007231E7">
        <w:t xml:space="preserve"> made by witnesses or bystanders</w:t>
      </w:r>
      <w:r w:rsidR="00AC78F9">
        <w:t xml:space="preserve"> (as well as </w:t>
      </w:r>
      <w:r w:rsidR="00A715D9">
        <w:t>victim-survivors</w:t>
      </w:r>
      <w:r w:rsidR="0034621A">
        <w:t>)</w:t>
      </w:r>
      <w:r w:rsidR="007231E7">
        <w:t>, and can come from members of the public, clients and patients</w:t>
      </w:r>
      <w:r w:rsidR="005026E4">
        <w:t>,</w:t>
      </w:r>
      <w:r w:rsidR="007231E7">
        <w:t xml:space="preserve"> as well as employees.</w:t>
      </w:r>
      <w:r w:rsidR="00972DB4">
        <w:t xml:space="preserve"> </w:t>
      </w:r>
      <w:r w:rsidR="0030439A">
        <w:t xml:space="preserve">They are therefore not directly comparable to the employee experience survey data. But given </w:t>
      </w:r>
      <w:r w:rsidR="003B3BE3">
        <w:t xml:space="preserve">formal reports cast a wider net, </w:t>
      </w:r>
      <w:r w:rsidR="00B71AE5">
        <w:t xml:space="preserve">they should </w:t>
      </w:r>
      <w:r w:rsidR="009612CE">
        <w:t>reflect</w:t>
      </w:r>
      <w:r w:rsidR="00C6405A">
        <w:t xml:space="preserve"> </w:t>
      </w:r>
      <w:r w:rsidR="00A6025B">
        <w:t>higher</w:t>
      </w:r>
      <w:r w:rsidR="009612CE">
        <w:t xml:space="preserve"> numbers of reports.</w:t>
      </w:r>
    </w:p>
    <w:p w14:paraId="54534489" w14:textId="038E8F12" w:rsidR="009228E6" w:rsidRPr="009228E6" w:rsidRDefault="009228E6" w:rsidP="0078531C">
      <w:pPr>
        <w:pStyle w:val="BodyText"/>
      </w:pPr>
      <w:r w:rsidRPr="009228E6">
        <w:t>Th</w:t>
      </w:r>
      <w:r w:rsidR="009612CE">
        <w:t>e</w:t>
      </w:r>
      <w:r w:rsidRPr="009228E6">
        <w:t xml:space="preserve"> discrepancy </w:t>
      </w:r>
      <w:r w:rsidR="009612CE">
        <w:t>between employees who say they experienced sexual harassment</w:t>
      </w:r>
      <w:r w:rsidR="002D46EB">
        <w:t xml:space="preserve"> and the number of formal reports </w:t>
      </w:r>
      <w:r w:rsidRPr="009228E6">
        <w:t xml:space="preserve">raises important questions about how reports are being captured. It may indicate that employees are reporting incidents to managers or supervisors, but that these reports are not always being formally documented, escalated through organisational processes, or reflected </w:t>
      </w:r>
      <w:r w:rsidRPr="009228E6">
        <w:lastRenderedPageBreak/>
        <w:t>in workforce reporting systems. As a result, senior leaders may have an incomplete picture of the scale and nature of sexual harassment in their organisation</w:t>
      </w:r>
      <w:r w:rsidR="0071373C">
        <w:t xml:space="preserve"> and how complaints are being addressed</w:t>
      </w:r>
      <w:r w:rsidRPr="009228E6">
        <w:t>.</w:t>
      </w:r>
    </w:p>
    <w:p w14:paraId="197928DE" w14:textId="76F2360C" w:rsidR="009228E6" w:rsidRPr="009228E6" w:rsidRDefault="009228E6" w:rsidP="0078531C">
      <w:pPr>
        <w:pStyle w:val="BodyText"/>
      </w:pPr>
      <w:r w:rsidRPr="009228E6">
        <w:t>This gap has significant consequences. People who disclose harassment may not receive appropriate support, follow-up or resolution. Organisations may be unable to identify patterns of behaviour, detect problem areas or assess whether prevention initiatives are working. Most importantly, an organisation cannot meet its positive duty to prevent sexual harassment if incidents are not visible within its own systems.</w:t>
      </w:r>
    </w:p>
    <w:p w14:paraId="06765E78" w14:textId="46813D95" w:rsidR="001E1D02" w:rsidRDefault="009228E6" w:rsidP="0078531C">
      <w:pPr>
        <w:pStyle w:val="BodyText"/>
      </w:pPr>
      <w:r w:rsidRPr="009228E6">
        <w:t xml:space="preserve">Closing this gap requires more than encouraging people to speak up. Organisations must ensure that every disclosure </w:t>
      </w:r>
      <w:r w:rsidR="00487269">
        <w:t xml:space="preserve">at every level </w:t>
      </w:r>
      <w:r w:rsidRPr="009228E6">
        <w:t>is consistently recorded, appropriately escalated, and built into organisational reporting and risk-management processes. Employees need confidence that reporting is safe, meaningful and will lead to action</w:t>
      </w:r>
      <w:r w:rsidR="000E230D">
        <w:t>. L</w:t>
      </w:r>
      <w:r w:rsidRPr="009228E6">
        <w:t xml:space="preserve">eaders need confidence that the information reaching them reflects </w:t>
      </w:r>
      <w:r w:rsidR="000D3175">
        <w:t xml:space="preserve">their </w:t>
      </w:r>
      <w:r w:rsidR="00146150">
        <w:t>employees</w:t>
      </w:r>
      <w:r w:rsidR="000D3175">
        <w:t xml:space="preserve"> lived experiences</w:t>
      </w:r>
      <w:r w:rsidRPr="009228E6">
        <w:t xml:space="preserve">. </w:t>
      </w:r>
    </w:p>
    <w:p w14:paraId="5821921B" w14:textId="35230CF5" w:rsidR="009228E6" w:rsidRPr="009228E6" w:rsidRDefault="009228E6" w:rsidP="0078531C">
      <w:pPr>
        <w:pStyle w:val="BodyText"/>
      </w:pPr>
      <w:r w:rsidRPr="009228E6">
        <w:t xml:space="preserve">Read together, </w:t>
      </w:r>
      <w:r w:rsidR="008811F8">
        <w:t>experience and workforce</w:t>
      </w:r>
      <w:r w:rsidRPr="009228E6">
        <w:t xml:space="preserve"> data</w:t>
      </w:r>
      <w:r w:rsidRPr="009228E6" w:rsidDel="008811F8">
        <w:t xml:space="preserve"> </w:t>
      </w:r>
      <w:r w:rsidRPr="009228E6">
        <w:t>show both the prevalence of harassment (survey data) and whether reporting and response systems are working (</w:t>
      </w:r>
      <w:r w:rsidR="00E540B5">
        <w:t>workfo</w:t>
      </w:r>
      <w:r w:rsidR="0020337C">
        <w:t xml:space="preserve">rce </w:t>
      </w:r>
      <w:r w:rsidRPr="009228E6">
        <w:t>reporting data)</w:t>
      </w:r>
      <w:r w:rsidR="001764EE">
        <w:t>. A</w:t>
      </w:r>
      <w:r w:rsidRPr="009228E6">
        <w:t xml:space="preserve"> large gap between them is a signal that harassment is occurring but is not being systematically captured. The Commissioner expects duty holders to treat this as a governance and work health and safety issue, requiring the same rigour applied to any other significant workplace risk.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FEBF5"/>
        <w:tblCellMar>
          <w:top w:w="170" w:type="dxa"/>
          <w:left w:w="170" w:type="dxa"/>
          <w:bottom w:w="170" w:type="dxa"/>
          <w:right w:w="170" w:type="dxa"/>
        </w:tblCellMar>
        <w:tblLook w:val="04A0" w:firstRow="1" w:lastRow="0" w:firstColumn="1" w:lastColumn="0" w:noHBand="0" w:noVBand="1"/>
      </w:tblPr>
      <w:tblGrid>
        <w:gridCol w:w="9288"/>
      </w:tblGrid>
      <w:tr w:rsidR="007C5897" w14:paraId="346EF2E0" w14:textId="77777777" w:rsidTr="00166058">
        <w:tc>
          <w:tcPr>
            <w:tcW w:w="9288" w:type="dxa"/>
            <w:shd w:val="clear" w:color="auto" w:fill="E3F3F9"/>
          </w:tcPr>
          <w:p w14:paraId="46C66909" w14:textId="77777777" w:rsidR="007A1088" w:rsidRDefault="007A1088" w:rsidP="005F688D">
            <w:pPr>
              <w:pStyle w:val="Heading2"/>
              <w:rPr>
                <w:lang w:eastAsia="en-AU"/>
              </w:rPr>
            </w:pPr>
            <w:bookmarkStart w:id="43" w:name="_Commissioner_expectations"/>
            <w:bookmarkStart w:id="44" w:name="_Toc237259536"/>
            <w:bookmarkEnd w:id="43"/>
            <w:r>
              <w:rPr>
                <w:lang w:eastAsia="en-AU"/>
              </w:rPr>
              <w:t>Commissioner expectations</w:t>
            </w:r>
            <w:bookmarkEnd w:id="44"/>
          </w:p>
          <w:p w14:paraId="44B8679F" w14:textId="72FD5958" w:rsidR="007A1088" w:rsidRDefault="00FE1700" w:rsidP="0078531C">
            <w:pPr>
              <w:pStyle w:val="BodyText"/>
              <w:rPr>
                <w:lang w:eastAsia="en-AU"/>
              </w:rPr>
            </w:pPr>
            <w:r>
              <w:rPr>
                <w:lang w:eastAsia="en-AU"/>
              </w:rPr>
              <w:t xml:space="preserve">The Commissioner expects </w:t>
            </w:r>
            <w:r w:rsidR="00213EF8">
              <w:rPr>
                <w:lang w:eastAsia="en-AU"/>
              </w:rPr>
              <w:t xml:space="preserve">urgent action to drive down sexual harassment </w:t>
            </w:r>
            <w:r w:rsidR="001C0A47">
              <w:rPr>
                <w:lang w:eastAsia="en-AU"/>
              </w:rPr>
              <w:t>and to</w:t>
            </w:r>
            <w:r w:rsidR="00213EF8">
              <w:rPr>
                <w:lang w:eastAsia="en-AU"/>
              </w:rPr>
              <w:t xml:space="preserve"> improve formal reporting. </w:t>
            </w:r>
            <w:r w:rsidR="00995631">
              <w:rPr>
                <w:lang w:eastAsia="en-AU"/>
              </w:rPr>
              <w:t>The</w:t>
            </w:r>
            <w:r w:rsidR="007A1088">
              <w:rPr>
                <w:lang w:eastAsia="en-AU"/>
              </w:rPr>
              <w:t xml:space="preserve"> lack of progress on this indicator is concerning. Sexual harassment causes serious emotional, psychological and physical harm. It </w:t>
            </w:r>
            <w:r w:rsidR="00033DAB">
              <w:rPr>
                <w:lang w:eastAsia="en-AU"/>
              </w:rPr>
              <w:t>damages</w:t>
            </w:r>
            <w:r w:rsidR="007A1088">
              <w:rPr>
                <w:lang w:eastAsia="en-AU"/>
              </w:rPr>
              <w:t xml:space="preserve"> careers and workplace culture and disproportionately impacts women</w:t>
            </w:r>
            <w:r w:rsidR="00F86836">
              <w:rPr>
                <w:lang w:eastAsia="en-AU"/>
              </w:rPr>
              <w:t xml:space="preserve"> and gender diverse people</w:t>
            </w:r>
            <w:r w:rsidR="007A1088">
              <w:rPr>
                <w:lang w:eastAsia="en-AU"/>
              </w:rPr>
              <w:t>.</w:t>
            </w:r>
            <w:r w:rsidR="007A62E8">
              <w:rPr>
                <w:lang w:eastAsia="en-AU"/>
              </w:rPr>
              <w:t xml:space="preserve"> Any instance of sexual harassment is unacceptable and must be taken extremely seriously.</w:t>
            </w:r>
          </w:p>
          <w:p w14:paraId="001ECED1" w14:textId="0E4453F0" w:rsidR="008F1CCE" w:rsidRDefault="00BC0B39" w:rsidP="0078531C">
            <w:pPr>
              <w:pStyle w:val="BodyText"/>
            </w:pPr>
            <w:r w:rsidRPr="00BC0B39">
              <w:rPr>
                <w:lang w:eastAsia="en-AU"/>
              </w:rPr>
              <w:t xml:space="preserve">Organisations are legally required to take proactive </w:t>
            </w:r>
            <w:r w:rsidR="0036093A">
              <w:rPr>
                <w:lang w:eastAsia="en-AU"/>
              </w:rPr>
              <w:t>steps</w:t>
            </w:r>
            <w:r w:rsidRPr="00BC0B39">
              <w:rPr>
                <w:lang w:eastAsia="en-AU"/>
              </w:rPr>
              <w:t xml:space="preserve"> to prevent and eliminate sexual harassment under anti-discrimination and occupational health and safety </w:t>
            </w:r>
            <w:r w:rsidR="00EC3A58">
              <w:rPr>
                <w:lang w:eastAsia="en-AU"/>
              </w:rPr>
              <w:t>laws</w:t>
            </w:r>
            <w:r>
              <w:rPr>
                <w:lang w:eastAsia="en-AU"/>
              </w:rPr>
              <w:t xml:space="preserve">. Relevant legislation includes the </w:t>
            </w:r>
            <w:r w:rsidRPr="004444B7">
              <w:rPr>
                <w:i/>
                <w:lang w:eastAsia="en-AU"/>
              </w:rPr>
              <w:t>Sex Discrimination Act 1984</w:t>
            </w:r>
            <w:r w:rsidRPr="00BC0B39">
              <w:rPr>
                <w:lang w:eastAsia="en-AU"/>
              </w:rPr>
              <w:t xml:space="preserve"> (Cth),</w:t>
            </w:r>
            <w:r w:rsidR="006B6C31">
              <w:rPr>
                <w:lang w:eastAsia="en-AU"/>
              </w:rPr>
              <w:t xml:space="preserve"> </w:t>
            </w:r>
            <w:r w:rsidRPr="004444B7">
              <w:rPr>
                <w:i/>
                <w:lang w:eastAsia="en-AU"/>
              </w:rPr>
              <w:t>Equal Opportunity Act 2010</w:t>
            </w:r>
            <w:r w:rsidRPr="00BC0B39">
              <w:rPr>
                <w:lang w:eastAsia="en-AU"/>
              </w:rPr>
              <w:t xml:space="preserve"> (Vic), </w:t>
            </w:r>
            <w:r>
              <w:rPr>
                <w:lang w:eastAsia="en-AU"/>
              </w:rPr>
              <w:t xml:space="preserve">and the </w:t>
            </w:r>
            <w:r w:rsidRPr="00DE46E8">
              <w:rPr>
                <w:lang w:eastAsia="en-AU"/>
              </w:rPr>
              <w:t>Occupational Health and Safety (Psychological Health) Regulations 2025</w:t>
            </w:r>
            <w:r w:rsidRPr="00BC0B39">
              <w:rPr>
                <w:lang w:eastAsia="en-AU"/>
              </w:rPr>
              <w:t xml:space="preserve"> (Vic). This means that organisations must treat sexual harassment as a workplace hazard, not a misconduct or complaints issue</w:t>
            </w:r>
            <w:r w:rsidR="007A1088">
              <w:rPr>
                <w:lang w:eastAsia="en-AU"/>
              </w:rPr>
              <w:t>.</w:t>
            </w:r>
            <w:r w:rsidR="00454D76">
              <w:t xml:space="preserve"> </w:t>
            </w:r>
            <w:r w:rsidR="0039298F">
              <w:t xml:space="preserve">Under the </w:t>
            </w:r>
            <w:r w:rsidR="0039298F" w:rsidRPr="00DB602A">
              <w:rPr>
                <w:i/>
                <w:iCs/>
              </w:rPr>
              <w:t>Fair Work Act 2009</w:t>
            </w:r>
            <w:r w:rsidR="0039298F">
              <w:t xml:space="preserve"> (Cth), o</w:t>
            </w:r>
            <w:r w:rsidR="00454D76">
              <w:t>rgan</w:t>
            </w:r>
            <w:r w:rsidR="00733294">
              <w:t>isations may</w:t>
            </w:r>
            <w:r w:rsidR="00454D76">
              <w:t xml:space="preserve"> also </w:t>
            </w:r>
            <w:r w:rsidR="00733294">
              <w:t>be found to be liable for</w:t>
            </w:r>
            <w:r w:rsidR="00454D76">
              <w:t xml:space="preserve"> </w:t>
            </w:r>
            <w:r w:rsidR="00454D76" w:rsidRPr="00454D76">
              <w:rPr>
                <w:lang w:eastAsia="en-AU"/>
              </w:rPr>
              <w:t xml:space="preserve">sexual harassment of an </w:t>
            </w:r>
            <w:r w:rsidR="0039298F">
              <w:t>employee where</w:t>
            </w:r>
            <w:r w:rsidR="00454D76" w:rsidRPr="00454D76">
              <w:rPr>
                <w:lang w:eastAsia="en-AU"/>
              </w:rPr>
              <w:t xml:space="preserve"> they </w:t>
            </w:r>
            <w:r w:rsidR="0039298F">
              <w:t>have failed to take proactive</w:t>
            </w:r>
            <w:r w:rsidR="00454D76" w:rsidRPr="00454D76">
              <w:rPr>
                <w:lang w:eastAsia="en-AU"/>
              </w:rPr>
              <w:t xml:space="preserve"> measures to prevent it</w:t>
            </w:r>
            <w:r w:rsidR="0039298F">
              <w:t>.</w:t>
            </w:r>
            <w:r w:rsidR="00454D76" w:rsidRPr="00454D76">
              <w:rPr>
                <w:lang w:eastAsia="en-AU"/>
              </w:rPr>
              <w:t xml:space="preserve"> </w:t>
            </w:r>
          </w:p>
          <w:p w14:paraId="716C1813" w14:textId="68418343" w:rsidR="007A1088" w:rsidRDefault="008F1CCE" w:rsidP="0078531C">
            <w:pPr>
              <w:pStyle w:val="BodyText"/>
              <w:rPr>
                <w:lang w:eastAsia="en-AU"/>
              </w:rPr>
            </w:pPr>
            <w:r w:rsidRPr="008F1CCE">
              <w:rPr>
                <w:lang w:eastAsia="en-AU"/>
              </w:rPr>
              <w:t xml:space="preserve">To comply with these obligations, organisations must have effective systems </w:t>
            </w:r>
            <w:r w:rsidR="001634C0">
              <w:rPr>
                <w:lang w:eastAsia="en-AU"/>
              </w:rPr>
              <w:t>to</w:t>
            </w:r>
            <w:r w:rsidRPr="008F1CCE">
              <w:rPr>
                <w:lang w:eastAsia="en-AU"/>
              </w:rPr>
              <w:t xml:space="preserve"> collect and report robust and timely workplace sexual harassment data. Without this data, it is not possible to genuinely identify, assess and develop strategies to eliminate workplace sexual harassment and its root causes as a psychosocial hazard. </w:t>
            </w:r>
            <w:r w:rsidR="00314426">
              <w:rPr>
                <w:lang w:eastAsia="en-AU"/>
              </w:rPr>
              <w:t>It is also not possible to track progress.</w:t>
            </w:r>
            <w:r w:rsidRPr="008F1CCE">
              <w:rPr>
                <w:lang w:eastAsia="en-AU"/>
              </w:rPr>
              <w:t xml:space="preserve"> The current gaps in this data would be unacceptable in any other area of work health and safety. Duty holders must improve their ability to capture this information with the same amount of due diligence </w:t>
            </w:r>
            <w:r w:rsidR="002F0D8C">
              <w:rPr>
                <w:lang w:eastAsia="en-AU"/>
              </w:rPr>
              <w:t>they apply</w:t>
            </w:r>
            <w:r w:rsidRPr="008F1CCE">
              <w:rPr>
                <w:lang w:eastAsia="en-AU"/>
              </w:rPr>
              <w:t xml:space="preserve"> to the other areas of their work health and safety obligations</w:t>
            </w:r>
            <w:r w:rsidR="00323DAA" w:rsidRPr="00323DAA">
              <w:rPr>
                <w:lang w:eastAsia="en-AU"/>
              </w:rPr>
              <w:t>.</w:t>
            </w:r>
          </w:p>
          <w:p w14:paraId="54B83AAE" w14:textId="736C1294" w:rsidR="005D7F3D" w:rsidRPr="005D7F3D" w:rsidRDefault="005D7F3D" w:rsidP="0078531C">
            <w:pPr>
              <w:pStyle w:val="BodyText"/>
              <w:rPr>
                <w:lang w:eastAsia="en-AU"/>
              </w:rPr>
            </w:pPr>
            <w:r w:rsidRPr="005D7F3D">
              <w:rPr>
                <w:lang w:eastAsia="en-AU"/>
              </w:rPr>
              <w:t xml:space="preserve">Anonymous survey data and formal reporting data each tell organisations something different, and both are needed. Survey data reveals the true extent of harassment </w:t>
            </w:r>
            <w:r w:rsidR="008878C3">
              <w:rPr>
                <w:lang w:eastAsia="en-AU"/>
              </w:rPr>
              <w:t>–</w:t>
            </w:r>
            <w:r w:rsidRPr="005D7F3D">
              <w:rPr>
                <w:lang w:eastAsia="en-AU"/>
              </w:rPr>
              <w:t xml:space="preserve"> who is experiencing it, who is perpetrating it, what kind of harassment is occurring, </w:t>
            </w:r>
            <w:r w:rsidR="001A2206">
              <w:rPr>
                <w:lang w:eastAsia="en-AU"/>
              </w:rPr>
              <w:t>how many people say they</w:t>
            </w:r>
            <w:r w:rsidR="00C71000">
              <w:rPr>
                <w:lang w:eastAsia="en-AU"/>
              </w:rPr>
              <w:t xml:space="preserve"> have reported it, </w:t>
            </w:r>
            <w:r w:rsidRPr="005D7F3D">
              <w:rPr>
                <w:lang w:eastAsia="en-AU"/>
              </w:rPr>
              <w:t>and what stops people reporting. Formal reporting data shows whether the organisation</w:t>
            </w:r>
            <w:r w:rsidR="002F55AB">
              <w:rPr>
                <w:lang w:eastAsia="en-AU"/>
              </w:rPr>
              <w:t>’</w:t>
            </w:r>
            <w:r w:rsidRPr="005D7F3D">
              <w:rPr>
                <w:lang w:eastAsia="en-AU"/>
              </w:rPr>
              <w:t>s own systems are working</w:t>
            </w:r>
            <w:r w:rsidR="00121EA1">
              <w:rPr>
                <w:lang w:eastAsia="en-AU"/>
              </w:rPr>
              <w:t>. This includes</w:t>
            </w:r>
            <w:r w:rsidRPr="005D7F3D">
              <w:rPr>
                <w:lang w:eastAsia="en-AU"/>
              </w:rPr>
              <w:t xml:space="preserve"> whether disclosures are being recorded, victim-survivors </w:t>
            </w:r>
            <w:r w:rsidR="00121EA1">
              <w:rPr>
                <w:lang w:eastAsia="en-AU"/>
              </w:rPr>
              <w:t xml:space="preserve">are </w:t>
            </w:r>
            <w:r w:rsidRPr="005D7F3D">
              <w:rPr>
                <w:lang w:eastAsia="en-AU"/>
              </w:rPr>
              <w:t xml:space="preserve">supported, incidents </w:t>
            </w:r>
            <w:r w:rsidR="00121EA1">
              <w:rPr>
                <w:lang w:eastAsia="en-AU"/>
              </w:rPr>
              <w:t xml:space="preserve">are </w:t>
            </w:r>
            <w:r w:rsidRPr="005D7F3D">
              <w:rPr>
                <w:lang w:eastAsia="en-AU"/>
              </w:rPr>
              <w:t xml:space="preserve">addressed, patterns of perpetration </w:t>
            </w:r>
            <w:r w:rsidR="00121EA1">
              <w:rPr>
                <w:lang w:eastAsia="en-AU"/>
              </w:rPr>
              <w:t xml:space="preserve">are </w:t>
            </w:r>
            <w:r w:rsidRPr="005D7F3D">
              <w:rPr>
                <w:lang w:eastAsia="en-AU"/>
              </w:rPr>
              <w:t xml:space="preserve">identified, and complaints processes </w:t>
            </w:r>
            <w:r w:rsidR="00121EA1">
              <w:rPr>
                <w:lang w:eastAsia="en-AU"/>
              </w:rPr>
              <w:t xml:space="preserve">are </w:t>
            </w:r>
            <w:r w:rsidRPr="005D7F3D">
              <w:rPr>
                <w:lang w:eastAsia="en-AU"/>
              </w:rPr>
              <w:t>holding up.</w:t>
            </w:r>
          </w:p>
          <w:p w14:paraId="6B4EC8F1" w14:textId="54718ED6" w:rsidR="00F634AD" w:rsidRPr="00F634AD" w:rsidRDefault="00AC798F" w:rsidP="0078531C">
            <w:pPr>
              <w:pStyle w:val="BodyText"/>
              <w:rPr>
                <w:lang w:eastAsia="en-AU"/>
              </w:rPr>
            </w:pPr>
            <w:r w:rsidRPr="005D7F3D">
              <w:rPr>
                <w:lang w:eastAsia="en-AU"/>
              </w:rPr>
              <w:t xml:space="preserve">When formal reporting falls well short of what the survey data would predict, </w:t>
            </w:r>
            <w:r w:rsidR="008607E1">
              <w:rPr>
                <w:lang w:eastAsia="en-AU"/>
              </w:rPr>
              <w:t>it</w:t>
            </w:r>
            <w:r w:rsidRPr="005D7F3D">
              <w:rPr>
                <w:lang w:eastAsia="en-AU"/>
              </w:rPr>
              <w:t xml:space="preserve"> is not a neutral data gap</w:t>
            </w:r>
            <w:r>
              <w:rPr>
                <w:lang w:eastAsia="en-AU"/>
              </w:rPr>
              <w:t>. It is a system failure.</w:t>
            </w:r>
            <w:r w:rsidRPr="005D7F3D">
              <w:rPr>
                <w:lang w:eastAsia="en-AU"/>
              </w:rPr>
              <w:t xml:space="preserve"> </w:t>
            </w:r>
            <w:r>
              <w:rPr>
                <w:lang w:eastAsia="en-AU"/>
              </w:rPr>
              <w:t>I</w:t>
            </w:r>
            <w:r w:rsidRPr="005D7F3D">
              <w:rPr>
                <w:lang w:eastAsia="en-AU"/>
              </w:rPr>
              <w:t>t means disclosures are being made but are not reaching the systems meant to act on them</w:t>
            </w:r>
            <w:r w:rsidR="00623E32">
              <w:rPr>
                <w:lang w:eastAsia="en-AU"/>
              </w:rPr>
              <w:t xml:space="preserve">. </w:t>
            </w:r>
            <w:r w:rsidR="005D7F3D" w:rsidRPr="005D7F3D">
              <w:rPr>
                <w:lang w:eastAsia="en-AU"/>
              </w:rPr>
              <w:t xml:space="preserve">People who have spoken up </w:t>
            </w:r>
            <w:r w:rsidR="00086A04">
              <w:rPr>
                <w:lang w:eastAsia="en-AU"/>
              </w:rPr>
              <w:t>may not be well</w:t>
            </w:r>
            <w:r w:rsidR="005D7F3D" w:rsidRPr="005D7F3D">
              <w:rPr>
                <w:lang w:eastAsia="en-AU"/>
              </w:rPr>
              <w:t xml:space="preserve"> supported</w:t>
            </w:r>
            <w:r w:rsidR="00EA1DFF">
              <w:rPr>
                <w:lang w:eastAsia="en-AU"/>
              </w:rPr>
              <w:t>. A</w:t>
            </w:r>
            <w:r w:rsidR="005D7F3D" w:rsidRPr="005D7F3D">
              <w:rPr>
                <w:lang w:eastAsia="en-AU"/>
              </w:rPr>
              <w:t xml:space="preserve">nd leaders are making decisions on an incomplete picture of the risk in their own organisation. </w:t>
            </w:r>
            <w:r w:rsidR="00F634AD" w:rsidRPr="00F634AD">
              <w:rPr>
                <w:lang w:eastAsia="en-AU"/>
              </w:rPr>
              <w:t xml:space="preserve">The Commissioner expects duty holders to actively close this gap and to treat a persistent divergence between </w:t>
            </w:r>
            <w:r w:rsidR="00D429DF">
              <w:rPr>
                <w:lang w:eastAsia="en-AU"/>
              </w:rPr>
              <w:t xml:space="preserve">employees who say they have </w:t>
            </w:r>
            <w:r w:rsidR="00F634AD" w:rsidRPr="00F634AD">
              <w:rPr>
                <w:lang w:eastAsia="en-AU"/>
              </w:rPr>
              <w:t>experience</w:t>
            </w:r>
            <w:r w:rsidR="00D429DF">
              <w:rPr>
                <w:lang w:eastAsia="en-AU"/>
              </w:rPr>
              <w:t>d sexual harassment</w:t>
            </w:r>
            <w:r w:rsidR="0023339A">
              <w:rPr>
                <w:lang w:eastAsia="en-AU"/>
              </w:rPr>
              <w:t xml:space="preserve">, </w:t>
            </w:r>
            <w:r w:rsidR="00893E79">
              <w:rPr>
                <w:lang w:eastAsia="en-AU"/>
              </w:rPr>
              <w:t xml:space="preserve">employees who say they have reported </w:t>
            </w:r>
            <w:r w:rsidR="004A7E83">
              <w:rPr>
                <w:lang w:eastAsia="en-AU"/>
              </w:rPr>
              <w:t>sexual harassment</w:t>
            </w:r>
            <w:r w:rsidR="00690639">
              <w:rPr>
                <w:lang w:eastAsia="en-AU"/>
              </w:rPr>
              <w:t>,</w:t>
            </w:r>
            <w:r w:rsidR="00F634AD" w:rsidRPr="00F634AD">
              <w:rPr>
                <w:lang w:eastAsia="en-AU"/>
              </w:rPr>
              <w:t xml:space="preserve"> and </w:t>
            </w:r>
            <w:r w:rsidR="00B139E7">
              <w:rPr>
                <w:lang w:eastAsia="en-AU"/>
              </w:rPr>
              <w:t>workfo</w:t>
            </w:r>
            <w:r w:rsidR="00690639">
              <w:rPr>
                <w:lang w:eastAsia="en-AU"/>
              </w:rPr>
              <w:t>r</w:t>
            </w:r>
            <w:r w:rsidR="00B139E7">
              <w:rPr>
                <w:lang w:eastAsia="en-AU"/>
              </w:rPr>
              <w:t>ce data on formal reports</w:t>
            </w:r>
            <w:r w:rsidR="00690639">
              <w:rPr>
                <w:lang w:eastAsia="en-AU"/>
              </w:rPr>
              <w:t>,</w:t>
            </w:r>
            <w:r w:rsidR="00F634AD" w:rsidRPr="00F634AD">
              <w:rPr>
                <w:lang w:eastAsia="en-AU"/>
              </w:rPr>
              <w:t xml:space="preserve"> as a serious governance and work health and safety failure</w:t>
            </w:r>
            <w:r w:rsidR="00085544">
              <w:rPr>
                <w:lang w:eastAsia="en-AU"/>
              </w:rPr>
              <w:t>.</w:t>
            </w:r>
          </w:p>
          <w:p w14:paraId="134051E0" w14:textId="4DF27BEE" w:rsidR="00352F8E" w:rsidRPr="00F634AD" w:rsidRDefault="00282A73" w:rsidP="0078531C">
            <w:pPr>
              <w:pStyle w:val="BodyText"/>
              <w:rPr>
                <w:lang w:eastAsia="en-AU"/>
              </w:rPr>
            </w:pPr>
            <w:r>
              <w:rPr>
                <w:lang w:eastAsia="en-AU"/>
              </w:rPr>
              <w:t xml:space="preserve">Certain groups that experience intersecting forms of discrimination are at higher risk of sexual harassment. </w:t>
            </w:r>
            <w:r w:rsidR="000B35C4">
              <w:rPr>
                <w:lang w:eastAsia="en-AU"/>
              </w:rPr>
              <w:t xml:space="preserve">Sexual harassment for these groups may </w:t>
            </w:r>
            <w:r w:rsidR="007C06A4">
              <w:rPr>
                <w:lang w:eastAsia="en-AU"/>
              </w:rPr>
              <w:t>also take different form</w:t>
            </w:r>
            <w:r w:rsidR="001D0831">
              <w:rPr>
                <w:lang w:eastAsia="en-AU"/>
              </w:rPr>
              <w:t>s</w:t>
            </w:r>
            <w:r w:rsidR="007C06A4">
              <w:rPr>
                <w:lang w:eastAsia="en-AU"/>
              </w:rPr>
              <w:t xml:space="preserve"> (see, </w:t>
            </w:r>
            <w:r w:rsidR="00B71425">
              <w:rPr>
                <w:lang w:eastAsia="en-AU"/>
              </w:rPr>
              <w:t>for example</w:t>
            </w:r>
            <w:r w:rsidR="007C06A4">
              <w:rPr>
                <w:lang w:eastAsia="en-AU"/>
              </w:rPr>
              <w:t>, AHRC 2025).</w:t>
            </w:r>
            <w:r>
              <w:rPr>
                <w:lang w:eastAsia="en-AU"/>
              </w:rPr>
              <w:t xml:space="preserve"> Organisations must be aware of these risks in their prevention and response strategies.</w:t>
            </w:r>
            <w:r w:rsidR="004637D1">
              <w:rPr>
                <w:lang w:eastAsia="en-AU"/>
              </w:rPr>
              <w:t xml:space="preserve"> </w:t>
            </w:r>
            <w:r w:rsidR="00116B57">
              <w:rPr>
                <w:lang w:eastAsia="en-AU"/>
              </w:rPr>
              <w:t>L</w:t>
            </w:r>
            <w:r w:rsidR="004637D1">
              <w:rPr>
                <w:lang w:eastAsia="en-AU"/>
              </w:rPr>
              <w:t>imited data about the experiences of these groups</w:t>
            </w:r>
            <w:r w:rsidR="00321663">
              <w:rPr>
                <w:lang w:eastAsia="en-AU"/>
              </w:rPr>
              <w:t xml:space="preserve"> does</w:t>
            </w:r>
            <w:r w:rsidR="007C6E6D">
              <w:rPr>
                <w:lang w:eastAsia="en-AU"/>
              </w:rPr>
              <w:t xml:space="preserve"> not </w:t>
            </w:r>
            <w:r w:rsidR="00321663">
              <w:rPr>
                <w:lang w:eastAsia="en-AU"/>
              </w:rPr>
              <w:t>excuse</w:t>
            </w:r>
            <w:r w:rsidR="00EB710E">
              <w:rPr>
                <w:lang w:eastAsia="en-AU"/>
              </w:rPr>
              <w:t xml:space="preserve"> in</w:t>
            </w:r>
            <w:r w:rsidR="007C6E6D">
              <w:rPr>
                <w:lang w:eastAsia="en-AU"/>
              </w:rPr>
              <w:t>action.</w:t>
            </w:r>
            <w:r w:rsidR="009C3593">
              <w:rPr>
                <w:lang w:eastAsia="en-AU"/>
              </w:rPr>
              <w:t xml:space="preserve"> </w:t>
            </w:r>
            <w:r w:rsidR="009D56D3">
              <w:rPr>
                <w:lang w:eastAsia="en-AU"/>
              </w:rPr>
              <w:t xml:space="preserve">Sexual harassment prevention and response should </w:t>
            </w:r>
            <w:r w:rsidR="005702F7">
              <w:rPr>
                <w:lang w:eastAsia="en-AU"/>
              </w:rPr>
              <w:t xml:space="preserve">consider </w:t>
            </w:r>
            <w:r w:rsidR="00EB710E">
              <w:rPr>
                <w:lang w:eastAsia="en-AU"/>
              </w:rPr>
              <w:t>how intersecti</w:t>
            </w:r>
            <w:r w:rsidR="00E93C75">
              <w:rPr>
                <w:lang w:eastAsia="en-AU"/>
              </w:rPr>
              <w:t>ng inequalities</w:t>
            </w:r>
            <w:r w:rsidR="00EB710E">
              <w:rPr>
                <w:lang w:eastAsia="en-AU"/>
              </w:rPr>
              <w:t xml:space="preserve"> shape risk</w:t>
            </w:r>
            <w:r w:rsidR="005C4D79">
              <w:rPr>
                <w:lang w:eastAsia="en-AU"/>
              </w:rPr>
              <w:t xml:space="preserve"> and safety to speak up.</w:t>
            </w:r>
            <w:r w:rsidR="004342AC">
              <w:rPr>
                <w:lang w:eastAsia="en-AU"/>
              </w:rPr>
              <w:t xml:space="preserve"> </w:t>
            </w:r>
            <w:r w:rsidR="006329F7">
              <w:rPr>
                <w:lang w:eastAsia="en-AU"/>
              </w:rPr>
              <w:t>Improving data collection</w:t>
            </w:r>
            <w:r w:rsidR="007632B9">
              <w:rPr>
                <w:lang w:eastAsia="en-AU"/>
              </w:rPr>
              <w:t xml:space="preserve"> </w:t>
            </w:r>
            <w:r w:rsidR="00D23B30">
              <w:rPr>
                <w:lang w:eastAsia="en-AU"/>
              </w:rPr>
              <w:t>and analysis from an intersectional perspective</w:t>
            </w:r>
            <w:r w:rsidR="006329F7">
              <w:rPr>
                <w:lang w:eastAsia="en-AU"/>
              </w:rPr>
              <w:t xml:space="preserve"> will </w:t>
            </w:r>
            <w:r w:rsidR="00850B20">
              <w:rPr>
                <w:lang w:eastAsia="en-AU"/>
              </w:rPr>
              <w:t xml:space="preserve">also </w:t>
            </w:r>
            <w:r w:rsidR="006329F7">
              <w:rPr>
                <w:lang w:eastAsia="en-AU"/>
              </w:rPr>
              <w:t>help to strengthen</w:t>
            </w:r>
            <w:r w:rsidR="004342AC">
              <w:rPr>
                <w:lang w:eastAsia="en-AU"/>
              </w:rPr>
              <w:t xml:space="preserve"> </w:t>
            </w:r>
            <w:r w:rsidR="0057450B">
              <w:rPr>
                <w:lang w:eastAsia="en-AU"/>
              </w:rPr>
              <w:t xml:space="preserve">prevention efforts and ensure </w:t>
            </w:r>
            <w:r w:rsidR="007368BA">
              <w:rPr>
                <w:lang w:eastAsia="en-AU"/>
              </w:rPr>
              <w:t xml:space="preserve">people </w:t>
            </w:r>
            <w:r w:rsidR="0031032F">
              <w:rPr>
                <w:lang w:eastAsia="en-AU"/>
              </w:rPr>
              <w:t>facing</w:t>
            </w:r>
            <w:r w:rsidR="003439E7">
              <w:rPr>
                <w:lang w:eastAsia="en-AU"/>
              </w:rPr>
              <w:t xml:space="preserve"> </w:t>
            </w:r>
            <w:r w:rsidR="00D23B30">
              <w:rPr>
                <w:lang w:eastAsia="en-AU"/>
              </w:rPr>
              <w:t>heightened risk are able to report safely.</w:t>
            </w:r>
          </w:p>
          <w:p w14:paraId="487FB485" w14:textId="35A6CDBA" w:rsidR="00F634AD" w:rsidRPr="00F634AD" w:rsidRDefault="00F634AD" w:rsidP="0078531C">
            <w:pPr>
              <w:pStyle w:val="BodyText"/>
              <w:rPr>
                <w:lang w:eastAsia="en-AU"/>
              </w:rPr>
            </w:pPr>
            <w:r w:rsidRPr="00F634AD">
              <w:rPr>
                <w:lang w:eastAsia="en-AU"/>
              </w:rPr>
              <w:t>A concrete step duty holders should take is to establish a clear pathway so that no disclosure of sexual harassment stops at an individual people leader. At a minimum, this means</w:t>
            </w:r>
            <w:r w:rsidR="00E703DF">
              <w:rPr>
                <w:lang w:eastAsia="en-AU"/>
              </w:rPr>
              <w:t xml:space="preserve"> establishing</w:t>
            </w:r>
            <w:r w:rsidRPr="00F634AD">
              <w:rPr>
                <w:lang w:eastAsia="en-AU"/>
              </w:rPr>
              <w:t>:</w:t>
            </w:r>
          </w:p>
          <w:p w14:paraId="663D2C9A" w14:textId="3E92F524" w:rsidR="00F634AD" w:rsidRPr="00F634AD" w:rsidRDefault="00BB066B" w:rsidP="004444B7">
            <w:pPr>
              <w:pStyle w:val="Bullet1"/>
              <w:rPr>
                <w:lang w:eastAsia="en-AU"/>
              </w:rPr>
            </w:pPr>
            <w:r>
              <w:rPr>
                <w:lang w:eastAsia="en-AU"/>
              </w:rPr>
              <w:t>a</w:t>
            </w:r>
            <w:r w:rsidR="00F634AD" w:rsidRPr="00F634AD">
              <w:rPr>
                <w:lang w:eastAsia="en-AU"/>
              </w:rPr>
              <w:t xml:space="preserve"> recording obligation on every people leader to log each disclosure of </w:t>
            </w:r>
            <w:r w:rsidR="0095375A">
              <w:rPr>
                <w:lang w:eastAsia="en-AU"/>
              </w:rPr>
              <w:t xml:space="preserve">actual or suspected </w:t>
            </w:r>
            <w:r w:rsidR="00F634AD" w:rsidRPr="00F634AD">
              <w:rPr>
                <w:lang w:eastAsia="en-AU"/>
              </w:rPr>
              <w:t xml:space="preserve">sexual harassment they receive </w:t>
            </w:r>
            <w:r>
              <w:rPr>
                <w:lang w:eastAsia="en-AU"/>
              </w:rPr>
              <w:t>–</w:t>
            </w:r>
            <w:r w:rsidR="00F634AD" w:rsidRPr="00F634AD">
              <w:rPr>
                <w:lang w:eastAsia="en-AU"/>
              </w:rPr>
              <w:t xml:space="preserve"> including disclosures made informally</w:t>
            </w:r>
            <w:r w:rsidR="00801682">
              <w:rPr>
                <w:lang w:eastAsia="en-AU"/>
              </w:rPr>
              <w:t xml:space="preserve"> and </w:t>
            </w:r>
            <w:r w:rsidR="0095375A">
              <w:rPr>
                <w:lang w:eastAsia="en-AU"/>
              </w:rPr>
              <w:t>by third party witnesses</w:t>
            </w:r>
            <w:r w:rsidR="00F634AD" w:rsidRPr="00F634AD">
              <w:rPr>
                <w:lang w:eastAsia="en-AU"/>
              </w:rPr>
              <w:t xml:space="preserve"> </w:t>
            </w:r>
            <w:r>
              <w:rPr>
                <w:lang w:eastAsia="en-AU"/>
              </w:rPr>
              <w:t>–</w:t>
            </w:r>
            <w:r w:rsidR="00F634AD" w:rsidRPr="00F634AD">
              <w:rPr>
                <w:lang w:eastAsia="en-AU"/>
              </w:rPr>
              <w:t xml:space="preserve"> in the organisation</w:t>
            </w:r>
            <w:r w:rsidR="002F55AB">
              <w:rPr>
                <w:lang w:eastAsia="en-AU"/>
              </w:rPr>
              <w:t>’</w:t>
            </w:r>
            <w:r w:rsidR="00F634AD" w:rsidRPr="00F634AD">
              <w:rPr>
                <w:lang w:eastAsia="en-AU"/>
              </w:rPr>
              <w:t>s central reporting system</w:t>
            </w:r>
            <w:r w:rsidR="00D316E8">
              <w:rPr>
                <w:lang w:eastAsia="en-AU"/>
              </w:rPr>
              <w:t>.</w:t>
            </w:r>
            <w:r w:rsidR="00F634AD" w:rsidRPr="00F634AD">
              <w:rPr>
                <w:lang w:eastAsia="en-AU"/>
              </w:rPr>
              <w:t xml:space="preserve"> </w:t>
            </w:r>
            <w:r w:rsidR="00D316E8">
              <w:rPr>
                <w:lang w:eastAsia="en-AU"/>
              </w:rPr>
              <w:t xml:space="preserve">This ensures the </w:t>
            </w:r>
            <w:r w:rsidR="0050328A">
              <w:rPr>
                <w:lang w:eastAsia="en-AU"/>
              </w:rPr>
              <w:t>complaint</w:t>
            </w:r>
            <w:r w:rsidR="0050328A" w:rsidRPr="00F634AD">
              <w:rPr>
                <w:lang w:eastAsia="en-AU"/>
              </w:rPr>
              <w:t xml:space="preserve"> </w:t>
            </w:r>
            <w:r w:rsidR="00F634AD" w:rsidRPr="00F634AD">
              <w:rPr>
                <w:lang w:eastAsia="en-AU"/>
              </w:rPr>
              <w:t>is captured as workforce data even where the person does not wish to make a formal complaint</w:t>
            </w:r>
          </w:p>
          <w:p w14:paraId="53E50B6D" w14:textId="3D62E287" w:rsidR="00F634AD" w:rsidRPr="00F634AD" w:rsidRDefault="00BB066B" w:rsidP="004444B7">
            <w:pPr>
              <w:pStyle w:val="Bullet1"/>
              <w:rPr>
                <w:lang w:eastAsia="en-AU"/>
              </w:rPr>
            </w:pPr>
            <w:r>
              <w:rPr>
                <w:lang w:eastAsia="en-AU"/>
              </w:rPr>
              <w:t>a</w:t>
            </w:r>
            <w:r w:rsidR="00F634AD" w:rsidRPr="00F634AD">
              <w:rPr>
                <w:lang w:eastAsia="en-AU"/>
              </w:rPr>
              <w:t xml:space="preserve"> de-identified recording option, so a disclosure can be logged for risk and pattern-detection purposes without naming the person, where that is the</w:t>
            </w:r>
            <w:r w:rsidR="00387468">
              <w:rPr>
                <w:lang w:eastAsia="en-AU"/>
              </w:rPr>
              <w:t xml:space="preserve"> discloser</w:t>
            </w:r>
            <w:r w:rsidR="002F55AB">
              <w:rPr>
                <w:lang w:eastAsia="en-AU"/>
              </w:rPr>
              <w:t>’</w:t>
            </w:r>
            <w:r w:rsidR="00387468">
              <w:rPr>
                <w:lang w:eastAsia="en-AU"/>
              </w:rPr>
              <w:t>s</w:t>
            </w:r>
            <w:r w:rsidR="00F634AD" w:rsidRPr="00F634AD">
              <w:rPr>
                <w:lang w:eastAsia="en-AU"/>
              </w:rPr>
              <w:t xml:space="preserve"> preference. This </w:t>
            </w:r>
            <w:r w:rsidR="003C5C2F">
              <w:rPr>
                <w:lang w:eastAsia="en-AU"/>
              </w:rPr>
              <w:t xml:space="preserve">will </w:t>
            </w:r>
            <w:r w:rsidR="00F634AD" w:rsidRPr="00F634AD">
              <w:rPr>
                <w:lang w:eastAsia="en-AU"/>
              </w:rPr>
              <w:t xml:space="preserve">separate capturing the data from triggering a formal </w:t>
            </w:r>
            <w:r w:rsidR="002B6C75" w:rsidRPr="00F634AD">
              <w:rPr>
                <w:lang w:eastAsia="en-AU"/>
              </w:rPr>
              <w:t>process and</w:t>
            </w:r>
            <w:r w:rsidR="00F634AD" w:rsidRPr="00F634AD">
              <w:rPr>
                <w:lang w:eastAsia="en-AU"/>
              </w:rPr>
              <w:t xml:space="preserve"> protects the discloser</w:t>
            </w:r>
            <w:r w:rsidR="002F55AB">
              <w:rPr>
                <w:lang w:eastAsia="en-AU"/>
              </w:rPr>
              <w:t>’</w:t>
            </w:r>
            <w:r w:rsidR="00F634AD" w:rsidRPr="00F634AD">
              <w:rPr>
                <w:lang w:eastAsia="en-AU"/>
              </w:rPr>
              <w:t>s control over what happens next</w:t>
            </w:r>
          </w:p>
          <w:p w14:paraId="14F43BA1" w14:textId="2EB9FC05" w:rsidR="00F634AD" w:rsidRPr="00F634AD" w:rsidRDefault="00984762" w:rsidP="004444B7">
            <w:pPr>
              <w:pStyle w:val="Bullet1"/>
              <w:rPr>
                <w:lang w:eastAsia="en-AU"/>
              </w:rPr>
            </w:pPr>
            <w:r>
              <w:rPr>
                <w:lang w:eastAsia="en-AU"/>
              </w:rPr>
              <w:t>a</w:t>
            </w:r>
            <w:r w:rsidR="00F634AD" w:rsidRPr="00F634AD">
              <w:rPr>
                <w:lang w:eastAsia="en-AU"/>
              </w:rPr>
              <w:t xml:space="preserve"> clear distinction between recording and acting,</w:t>
            </w:r>
            <w:r w:rsidR="00907BDF">
              <w:rPr>
                <w:lang w:eastAsia="en-AU"/>
              </w:rPr>
              <w:t xml:space="preserve"> that is</w:t>
            </w:r>
            <w:r w:rsidR="00F634AD" w:rsidRPr="00F634AD">
              <w:rPr>
                <w:lang w:eastAsia="en-AU"/>
              </w:rPr>
              <w:t xml:space="preserve"> understood by all leaders</w:t>
            </w:r>
            <w:r w:rsidR="00560F55">
              <w:rPr>
                <w:lang w:eastAsia="en-AU"/>
              </w:rPr>
              <w:t>.</w:t>
            </w:r>
            <w:r w:rsidR="00F634AD" w:rsidRPr="00F634AD">
              <w:rPr>
                <w:lang w:eastAsia="en-AU"/>
              </w:rPr>
              <w:t xml:space="preserve"> </w:t>
            </w:r>
            <w:r w:rsidR="00560F55">
              <w:rPr>
                <w:lang w:eastAsia="en-AU"/>
              </w:rPr>
              <w:t>R</w:t>
            </w:r>
            <w:r w:rsidR="00F634AD" w:rsidRPr="00F634AD">
              <w:rPr>
                <w:lang w:eastAsia="en-AU"/>
              </w:rPr>
              <w:t xml:space="preserve">ecording is expected in every case, while </w:t>
            </w:r>
            <w:r w:rsidR="007C20B3">
              <w:rPr>
                <w:lang w:eastAsia="en-AU"/>
              </w:rPr>
              <w:t xml:space="preserve">the decision to </w:t>
            </w:r>
            <w:r w:rsidR="00F634AD" w:rsidRPr="00F634AD">
              <w:rPr>
                <w:lang w:eastAsia="en-AU"/>
              </w:rPr>
              <w:t>proceed to formal investigation should ordinarily follow the wishes of the person affected</w:t>
            </w:r>
            <w:r w:rsidR="005978A1">
              <w:rPr>
                <w:lang w:eastAsia="en-AU"/>
              </w:rPr>
              <w:t>. There should be</w:t>
            </w:r>
            <w:r w:rsidR="00F634AD" w:rsidRPr="00F634AD">
              <w:rPr>
                <w:lang w:eastAsia="en-AU"/>
              </w:rPr>
              <w:t xml:space="preserve"> defined exceptions where there is a serious or ongoing risk to that person or others</w:t>
            </w:r>
          </w:p>
          <w:p w14:paraId="78A03998" w14:textId="6D6FCFBC" w:rsidR="00F634AD" w:rsidRDefault="00907BDF" w:rsidP="00DC2129">
            <w:pPr>
              <w:pStyle w:val="Bullet1"/>
              <w:rPr>
                <w:lang w:eastAsia="en-AU"/>
              </w:rPr>
            </w:pPr>
            <w:r>
              <w:rPr>
                <w:lang w:eastAsia="en-AU"/>
              </w:rPr>
              <w:t>m</w:t>
            </w:r>
            <w:r w:rsidR="00F634AD" w:rsidRPr="00F634AD">
              <w:rPr>
                <w:lang w:eastAsia="en-AU"/>
              </w:rPr>
              <w:t>anager capability and accountability, so people leaders know how to receive a disclosure safely, understand their recording obligation and can explain the de-identified option</w:t>
            </w:r>
          </w:p>
          <w:p w14:paraId="19AB40AE" w14:textId="7AF40BFC" w:rsidR="00086D91" w:rsidRDefault="00086D91" w:rsidP="00DC2129">
            <w:pPr>
              <w:pStyle w:val="Bullet1"/>
              <w:rPr>
                <w:lang w:eastAsia="en-AU"/>
              </w:rPr>
            </w:pPr>
            <w:r>
              <w:rPr>
                <w:lang w:eastAsia="en-AU"/>
              </w:rPr>
              <w:t>Health and Safety Representative training</w:t>
            </w:r>
            <w:r w:rsidR="002E1042">
              <w:rPr>
                <w:lang w:eastAsia="en-AU"/>
              </w:rPr>
              <w:t xml:space="preserve"> specific to </w:t>
            </w:r>
            <w:r w:rsidR="00516B40">
              <w:rPr>
                <w:lang w:eastAsia="en-AU"/>
              </w:rPr>
              <w:t>identifying</w:t>
            </w:r>
            <w:r w:rsidR="00AC58C3">
              <w:rPr>
                <w:lang w:eastAsia="en-AU"/>
              </w:rPr>
              <w:t>, reporting</w:t>
            </w:r>
            <w:r w:rsidR="0069620B">
              <w:rPr>
                <w:lang w:eastAsia="en-AU"/>
              </w:rPr>
              <w:t xml:space="preserve"> and responding to workplace sexual harassment</w:t>
            </w:r>
            <w:r>
              <w:rPr>
                <w:lang w:eastAsia="en-AU"/>
              </w:rPr>
              <w:t xml:space="preserve"> </w:t>
            </w:r>
          </w:p>
          <w:p w14:paraId="4014900A" w14:textId="7F5EDC4F" w:rsidR="00FD0E55" w:rsidRPr="00F634AD" w:rsidRDefault="00E90703" w:rsidP="004444B7">
            <w:pPr>
              <w:pStyle w:val="Bullet1"/>
              <w:rPr>
                <w:lang w:eastAsia="en-AU"/>
              </w:rPr>
            </w:pPr>
            <w:r>
              <w:rPr>
                <w:lang w:eastAsia="en-AU"/>
              </w:rPr>
              <w:t>w</w:t>
            </w:r>
            <w:r w:rsidR="00B81E95">
              <w:rPr>
                <w:lang w:eastAsia="en-AU"/>
              </w:rPr>
              <w:t>orkforce awareness and training, so that employees are aware of the</w:t>
            </w:r>
            <w:r w:rsidR="004D1C94">
              <w:rPr>
                <w:lang w:eastAsia="en-AU"/>
              </w:rPr>
              <w:t xml:space="preserve"> reporting options available to them and the ability to report an incident of sexual harassment without an obligation to pursue a formal complaint</w:t>
            </w:r>
          </w:p>
          <w:p w14:paraId="35CE7F92" w14:textId="0D7F7898" w:rsidR="00F634AD" w:rsidRDefault="00F634AD" w:rsidP="00DC2129">
            <w:pPr>
              <w:pStyle w:val="Bodyafterbullets"/>
              <w:rPr>
                <w:lang w:eastAsia="en-AU"/>
              </w:rPr>
            </w:pPr>
            <w:r w:rsidRPr="00F634AD">
              <w:rPr>
                <w:lang w:eastAsia="en-AU"/>
              </w:rPr>
              <w:t>Recording protocols must protect confidentiality in practice, not only by removing a name. In small teams or organisations, the details of an incident may identify those involved regardless</w:t>
            </w:r>
            <w:r w:rsidR="002A63CB">
              <w:rPr>
                <w:lang w:eastAsia="en-AU"/>
              </w:rPr>
              <w:t>.</w:t>
            </w:r>
            <w:r w:rsidRPr="00F634AD">
              <w:rPr>
                <w:lang w:eastAsia="en-AU"/>
              </w:rPr>
              <w:t xml:space="preserve"> </w:t>
            </w:r>
            <w:r w:rsidR="002A63CB">
              <w:rPr>
                <w:lang w:eastAsia="en-AU"/>
              </w:rPr>
              <w:t>O</w:t>
            </w:r>
            <w:r w:rsidRPr="00F634AD">
              <w:rPr>
                <w:lang w:eastAsia="en-AU"/>
              </w:rPr>
              <w:t>rganisations should design recording and reporting</w:t>
            </w:r>
            <w:r w:rsidR="002A63CB">
              <w:rPr>
                <w:lang w:eastAsia="en-AU"/>
              </w:rPr>
              <w:t xml:space="preserve"> processes</w:t>
            </w:r>
            <w:r w:rsidRPr="00F634AD">
              <w:rPr>
                <w:lang w:eastAsia="en-AU"/>
              </w:rPr>
              <w:t xml:space="preserve"> in a way that keeps individuals safe and maintains trust. Done well, this approach means disclosures reach the organisation</w:t>
            </w:r>
            <w:r w:rsidR="002F55AB">
              <w:rPr>
                <w:lang w:eastAsia="en-AU"/>
              </w:rPr>
              <w:t>’</w:t>
            </w:r>
            <w:r w:rsidRPr="00F634AD">
              <w:rPr>
                <w:lang w:eastAsia="en-AU"/>
              </w:rPr>
              <w:t xml:space="preserve">s systems and inform its risk </w:t>
            </w:r>
            <w:r w:rsidR="00571795">
              <w:rPr>
                <w:lang w:eastAsia="en-AU"/>
              </w:rPr>
              <w:t xml:space="preserve">identification and </w:t>
            </w:r>
            <w:r w:rsidR="008965FB">
              <w:rPr>
                <w:lang w:eastAsia="en-AU"/>
              </w:rPr>
              <w:t>control</w:t>
            </w:r>
            <w:r w:rsidR="00571795">
              <w:rPr>
                <w:lang w:eastAsia="en-AU"/>
              </w:rPr>
              <w:t xml:space="preserve"> approach</w:t>
            </w:r>
            <w:r w:rsidRPr="00F634AD">
              <w:rPr>
                <w:lang w:eastAsia="en-AU"/>
              </w:rPr>
              <w:t>, without removing the discloser</w:t>
            </w:r>
            <w:r w:rsidR="002F55AB">
              <w:rPr>
                <w:lang w:eastAsia="en-AU"/>
              </w:rPr>
              <w:t>’</w:t>
            </w:r>
            <w:r w:rsidRPr="00F634AD">
              <w:rPr>
                <w:lang w:eastAsia="en-AU"/>
              </w:rPr>
              <w:t>s autonomy or deterring people from speaking up.</w:t>
            </w:r>
          </w:p>
          <w:p w14:paraId="2F35DE1E" w14:textId="029B37B7" w:rsidR="00F27B4D" w:rsidRPr="00F634AD" w:rsidRDefault="00E07E30" w:rsidP="004444B7">
            <w:pPr>
              <w:pStyle w:val="Bodyafterbullets"/>
              <w:rPr>
                <w:lang w:eastAsia="en-AU"/>
              </w:rPr>
            </w:pPr>
            <w:r>
              <w:rPr>
                <w:lang w:eastAsia="en-AU"/>
              </w:rPr>
              <w:t xml:space="preserve">Reporting protocols should also be tailored to </w:t>
            </w:r>
            <w:r w:rsidR="00FF20CB">
              <w:rPr>
                <w:lang w:eastAsia="en-AU"/>
              </w:rPr>
              <w:t>the</w:t>
            </w:r>
            <w:r>
              <w:rPr>
                <w:lang w:eastAsia="en-AU"/>
              </w:rPr>
              <w:t xml:space="preserve"> organisation’s specific context and what is known about the nature and</w:t>
            </w:r>
            <w:r w:rsidR="00956B61">
              <w:rPr>
                <w:lang w:eastAsia="en-AU"/>
              </w:rPr>
              <w:t xml:space="preserve"> experience of sexual harassment. For example, </w:t>
            </w:r>
            <w:r w:rsidR="005B719E">
              <w:rPr>
                <w:lang w:eastAsia="en-AU"/>
              </w:rPr>
              <w:t xml:space="preserve">organisations with large public-facing workforces </w:t>
            </w:r>
            <w:r w:rsidR="002268BF">
              <w:rPr>
                <w:lang w:eastAsia="en-AU"/>
              </w:rPr>
              <w:t xml:space="preserve">have </w:t>
            </w:r>
            <w:r w:rsidR="005F5B59">
              <w:rPr>
                <w:lang w:eastAsia="en-AU"/>
              </w:rPr>
              <w:t xml:space="preserve">the same legal obligation to eliminate and prevent sexual harassment of their employees by </w:t>
            </w:r>
            <w:r w:rsidR="005F5B59" w:rsidRPr="00C57944">
              <w:rPr>
                <w:lang w:eastAsia="en-AU"/>
              </w:rPr>
              <w:t>third parties</w:t>
            </w:r>
            <w:r w:rsidR="005F5B59">
              <w:rPr>
                <w:lang w:eastAsia="en-AU"/>
              </w:rPr>
              <w:t xml:space="preserve"> (such as customers, </w:t>
            </w:r>
            <w:r w:rsidR="00061363">
              <w:rPr>
                <w:lang w:eastAsia="en-AU"/>
              </w:rPr>
              <w:t>patients and students).</w:t>
            </w:r>
            <w:r w:rsidR="007B755E">
              <w:rPr>
                <w:lang w:eastAsia="en-AU"/>
              </w:rPr>
              <w:t xml:space="preserve"> It is important that</w:t>
            </w:r>
            <w:r w:rsidR="00183BD2">
              <w:rPr>
                <w:lang w:eastAsia="en-AU"/>
              </w:rPr>
              <w:t xml:space="preserve"> data</w:t>
            </w:r>
            <w:r w:rsidR="006B12BA">
              <w:rPr>
                <w:lang w:eastAsia="en-AU"/>
              </w:rPr>
              <w:t xml:space="preserve"> capturing practice</w:t>
            </w:r>
            <w:r w:rsidR="00D85900">
              <w:rPr>
                <w:lang w:eastAsia="en-AU"/>
              </w:rPr>
              <w:t>s</w:t>
            </w:r>
            <w:r w:rsidR="006B12BA">
              <w:rPr>
                <w:lang w:eastAsia="en-AU"/>
              </w:rPr>
              <w:t xml:space="preserve"> and reporting protocols </w:t>
            </w:r>
            <w:r w:rsidR="001105B6">
              <w:rPr>
                <w:lang w:eastAsia="en-AU"/>
              </w:rPr>
              <w:t xml:space="preserve">are designed to account for this. </w:t>
            </w:r>
          </w:p>
          <w:p w14:paraId="2F9ECD18" w14:textId="59A34BAB" w:rsidR="002B6C75" w:rsidRDefault="00F634AD" w:rsidP="0078531C">
            <w:pPr>
              <w:pStyle w:val="BodyText"/>
              <w:rPr>
                <w:lang w:eastAsia="en-AU"/>
              </w:rPr>
            </w:pPr>
            <w:r w:rsidRPr="00F634AD">
              <w:rPr>
                <w:lang w:eastAsia="en-AU"/>
              </w:rPr>
              <w:t xml:space="preserve">Ultimately, </w:t>
            </w:r>
            <w:r w:rsidR="000C42F2">
              <w:rPr>
                <w:lang w:eastAsia="en-AU"/>
              </w:rPr>
              <w:t>duty holders</w:t>
            </w:r>
            <w:r w:rsidRPr="00F634AD">
              <w:rPr>
                <w:lang w:eastAsia="en-AU"/>
              </w:rPr>
              <w:t xml:space="preserve"> must demonstrate targeted, context-specific prevention and culture-change strategies. </w:t>
            </w:r>
            <w:r w:rsidR="00F27A79">
              <w:rPr>
                <w:lang w:eastAsia="en-AU"/>
              </w:rPr>
              <w:t>They must c</w:t>
            </w:r>
            <w:r w:rsidRPr="00F634AD">
              <w:rPr>
                <w:lang w:eastAsia="en-AU"/>
              </w:rPr>
              <w:t>onsider how, when, where and why harassment is occurring</w:t>
            </w:r>
            <w:r w:rsidR="00F27A79">
              <w:rPr>
                <w:lang w:eastAsia="en-AU"/>
              </w:rPr>
              <w:t>:</w:t>
            </w:r>
            <w:r w:rsidRPr="00F634AD">
              <w:rPr>
                <w:lang w:eastAsia="en-AU"/>
              </w:rPr>
              <w:t xml:space="preserve"> </w:t>
            </w:r>
            <w:r w:rsidR="00B67AE2">
              <w:rPr>
                <w:lang w:eastAsia="en-AU"/>
              </w:rPr>
              <w:t>H</w:t>
            </w:r>
            <w:r w:rsidRPr="00F634AD">
              <w:rPr>
                <w:lang w:eastAsia="en-AU"/>
              </w:rPr>
              <w:t>ow safe do employees feel to report, and how do they navigate the process? Is harassment concentrated in particular work areas, and who is perpetrating it</w:t>
            </w:r>
            <w:r w:rsidR="009A56EC">
              <w:rPr>
                <w:lang w:eastAsia="en-AU"/>
              </w:rPr>
              <w:t xml:space="preserve"> </w:t>
            </w:r>
            <w:r w:rsidR="00F27A79">
              <w:rPr>
                <w:lang w:eastAsia="en-AU"/>
              </w:rPr>
              <w:t>–</w:t>
            </w:r>
            <w:r w:rsidR="009A56EC">
              <w:rPr>
                <w:lang w:eastAsia="en-AU"/>
              </w:rPr>
              <w:t xml:space="preserve"> c</w:t>
            </w:r>
            <w:r w:rsidRPr="00F634AD">
              <w:rPr>
                <w:lang w:eastAsia="en-AU"/>
              </w:rPr>
              <w:t xml:space="preserve">olleagues, managers or members of the public? </w:t>
            </w:r>
          </w:p>
          <w:p w14:paraId="59BFF6E1" w14:textId="688435B2" w:rsidR="007C5897" w:rsidRDefault="0046155A" w:rsidP="0078531C">
            <w:pPr>
              <w:pStyle w:val="BodyText"/>
            </w:pPr>
            <w:r>
              <w:rPr>
                <w:lang w:eastAsia="en-AU"/>
              </w:rPr>
              <w:t>Five</w:t>
            </w:r>
            <w:r w:rsidR="007C5897">
              <w:rPr>
                <w:lang w:eastAsia="en-AU"/>
              </w:rPr>
              <w:t xml:space="preserve"> years </w:t>
            </w:r>
            <w:r w:rsidR="00345D54">
              <w:rPr>
                <w:lang w:eastAsia="en-AU"/>
              </w:rPr>
              <w:t xml:space="preserve">after </w:t>
            </w:r>
            <w:r w:rsidR="007C5897">
              <w:rPr>
                <w:lang w:eastAsia="en-AU"/>
              </w:rPr>
              <w:t>the Act</w:t>
            </w:r>
            <w:r w:rsidR="00345D54">
              <w:rPr>
                <w:lang w:eastAsia="en-AU"/>
              </w:rPr>
              <w:t xml:space="preserve"> came into effect</w:t>
            </w:r>
            <w:r w:rsidR="007C5897">
              <w:rPr>
                <w:lang w:eastAsia="en-AU"/>
              </w:rPr>
              <w:t xml:space="preserve">, </w:t>
            </w:r>
            <w:r w:rsidR="000C42F2">
              <w:rPr>
                <w:lang w:eastAsia="en-AU"/>
              </w:rPr>
              <w:t>duty holders</w:t>
            </w:r>
            <w:r w:rsidR="007C5897">
              <w:rPr>
                <w:lang w:eastAsia="en-AU"/>
              </w:rPr>
              <w:t xml:space="preserve"> need to move beyond generic </w:t>
            </w:r>
            <w:r w:rsidR="00F634AD" w:rsidRPr="00F634AD">
              <w:rPr>
                <w:lang w:eastAsia="en-AU"/>
              </w:rPr>
              <w:t>approaches built on</w:t>
            </w:r>
            <w:r w:rsidR="007C5897">
              <w:rPr>
                <w:lang w:eastAsia="en-AU"/>
              </w:rPr>
              <w:t xml:space="preserve"> training</w:t>
            </w:r>
            <w:r w:rsidR="000D38CF">
              <w:rPr>
                <w:lang w:eastAsia="en-AU"/>
              </w:rPr>
              <w:t xml:space="preserve"> alone</w:t>
            </w:r>
            <w:r w:rsidR="00F634AD" w:rsidRPr="00F634AD">
              <w:rPr>
                <w:lang w:eastAsia="en-AU"/>
              </w:rPr>
              <w:t xml:space="preserve"> or</w:t>
            </w:r>
            <w:r w:rsidR="000D38CF">
              <w:rPr>
                <w:lang w:eastAsia="en-AU"/>
              </w:rPr>
              <w:t xml:space="preserve"> basic reporting systems</w:t>
            </w:r>
            <w:r w:rsidR="00C04527">
              <w:rPr>
                <w:lang w:eastAsia="en-AU"/>
              </w:rPr>
              <w:t xml:space="preserve">. They must be </w:t>
            </w:r>
            <w:r w:rsidR="001735CE">
              <w:rPr>
                <w:lang w:eastAsia="en-AU"/>
              </w:rPr>
              <w:t>designing and implementing</w:t>
            </w:r>
            <w:r w:rsidR="00F634AD" w:rsidRPr="00F634AD">
              <w:rPr>
                <w:lang w:eastAsia="en-AU"/>
              </w:rPr>
              <w:t xml:space="preserve"> </w:t>
            </w:r>
            <w:r w:rsidR="00136DB5">
              <w:rPr>
                <w:lang w:eastAsia="en-AU"/>
              </w:rPr>
              <w:t>context-specific</w:t>
            </w:r>
            <w:r w:rsidR="00F634AD" w:rsidRPr="00F634AD">
              <w:rPr>
                <w:lang w:eastAsia="en-AU"/>
              </w:rPr>
              <w:t xml:space="preserve"> strategies that measurably</w:t>
            </w:r>
            <w:r w:rsidR="00C86C8E">
              <w:rPr>
                <w:lang w:eastAsia="en-AU"/>
              </w:rPr>
              <w:t xml:space="preserve"> </w:t>
            </w:r>
            <w:r w:rsidR="000B0762">
              <w:rPr>
                <w:lang w:eastAsia="en-AU"/>
              </w:rPr>
              <w:t xml:space="preserve">drive down the </w:t>
            </w:r>
            <w:r w:rsidR="00DE1A26">
              <w:rPr>
                <w:lang w:eastAsia="en-AU"/>
              </w:rPr>
              <w:t xml:space="preserve">sexual harassment </w:t>
            </w:r>
            <w:r w:rsidR="000B0762">
              <w:rPr>
                <w:lang w:eastAsia="en-AU"/>
              </w:rPr>
              <w:t xml:space="preserve">experience rate </w:t>
            </w:r>
            <w:r w:rsidR="00F634AD" w:rsidRPr="00F634AD">
              <w:rPr>
                <w:lang w:eastAsia="en-AU"/>
              </w:rPr>
              <w:t xml:space="preserve">and </w:t>
            </w:r>
            <w:r w:rsidR="007C6EAE">
              <w:rPr>
                <w:lang w:eastAsia="en-AU"/>
              </w:rPr>
              <w:t xml:space="preserve">increase </w:t>
            </w:r>
            <w:r w:rsidR="00D6355C">
              <w:rPr>
                <w:lang w:eastAsia="en-AU"/>
              </w:rPr>
              <w:t>formal reporting.</w:t>
            </w:r>
          </w:p>
        </w:tc>
      </w:tr>
    </w:tbl>
    <w:p w14:paraId="66AAF227" w14:textId="4428C09C" w:rsidR="00180CD6" w:rsidRDefault="00180CD6" w:rsidP="00180CD6">
      <w:pPr>
        <w:pStyle w:val="Bullet1"/>
        <w:numPr>
          <w:ilvl w:val="0"/>
          <w:numId w:val="0"/>
        </w:numPr>
        <w:ind w:left="284" w:hanging="284"/>
        <w:rPr>
          <w:lang w:eastAsia="en-AU"/>
        </w:rPr>
      </w:pPr>
    </w:p>
    <w:p w14:paraId="1F145066" w14:textId="77777777" w:rsidR="00541698" w:rsidRDefault="00541698" w:rsidP="007A00EA">
      <w:pPr>
        <w:pStyle w:val="Heading2"/>
      </w:pPr>
      <w:bookmarkStart w:id="45" w:name="_Toc237259537"/>
      <w:r>
        <w:t>Spotlight on sexual harassment</w:t>
      </w:r>
      <w:bookmarkEnd w:id="45"/>
    </w:p>
    <w:p w14:paraId="695D1B97" w14:textId="3CD4C4D2" w:rsidR="00541698" w:rsidRDefault="00541698" w:rsidP="005F688D">
      <w:pPr>
        <w:pStyle w:val="BodyText"/>
      </w:pPr>
      <w:r w:rsidRPr="004C318E">
        <w:t xml:space="preserve">In 2025, </w:t>
      </w:r>
      <w:r>
        <w:t>2197</w:t>
      </w:r>
      <w:r w:rsidRPr="004C318E">
        <w:t xml:space="preserve"> formal reports of sexual harassment were made across the public sector.</w:t>
      </w:r>
    </w:p>
    <w:p w14:paraId="33F85516" w14:textId="77777777" w:rsidR="00541698" w:rsidRPr="004C318E" w:rsidRDefault="00541698" w:rsidP="005F688D">
      <w:pPr>
        <w:pStyle w:val="BodyText"/>
      </w:pPr>
      <w:r>
        <w:t>Sexual harassment causes serious harm. Organisations must take urgent action to prevent and address it.</w:t>
      </w:r>
    </w:p>
    <w:p w14:paraId="58E4EFAD" w14:textId="77777777" w:rsidR="00541698" w:rsidRDefault="00541698" w:rsidP="007A00EA">
      <w:pPr>
        <w:pStyle w:val="Heading3"/>
      </w:pPr>
      <w:r>
        <w:t>Experience of sexual harassment persists</w:t>
      </w:r>
    </w:p>
    <w:p w14:paraId="61CBB303" w14:textId="77777777" w:rsidR="00541698" w:rsidRDefault="00541698" w:rsidP="0078531C">
      <w:pPr>
        <w:pStyle w:val="BodyText"/>
      </w:pPr>
      <w:r w:rsidRPr="005B3F99">
        <w:t>The experience rate of workplace sexual harassment across the sector has remained persistent</w:t>
      </w:r>
      <w:r>
        <w:t>.</w:t>
      </w:r>
      <w:r w:rsidRPr="005B3F99">
        <w:t xml:space="preserve"> </w:t>
      </w:r>
    </w:p>
    <w:p w14:paraId="5E9F5AE5" w14:textId="77777777" w:rsidR="00541698" w:rsidRDefault="00541698" w:rsidP="0078531C">
      <w:pPr>
        <w:pStyle w:val="BodyText"/>
      </w:pPr>
      <w:r>
        <w:t>Employee experience surveys show that in 2025, sexual harassment was experienced across the sector by:</w:t>
      </w:r>
    </w:p>
    <w:p w14:paraId="160AA093" w14:textId="77777777" w:rsidR="00541698" w:rsidRDefault="00541698" w:rsidP="005F688D">
      <w:pPr>
        <w:pStyle w:val="Bullet1"/>
      </w:pPr>
      <w:r w:rsidRPr="005B3F99">
        <w:t>6.</w:t>
      </w:r>
      <w:r>
        <w:t>4</w:t>
      </w:r>
      <w:r w:rsidRPr="005B3F99">
        <w:t xml:space="preserve">% </w:t>
      </w:r>
      <w:r>
        <w:t xml:space="preserve">of </w:t>
      </w:r>
      <w:r w:rsidRPr="005B3F99">
        <w:t xml:space="preserve">women </w:t>
      </w:r>
    </w:p>
    <w:p w14:paraId="30BEF21B" w14:textId="77777777" w:rsidR="00541698" w:rsidRDefault="00541698" w:rsidP="005F688D">
      <w:pPr>
        <w:pStyle w:val="Bullet1"/>
      </w:pPr>
      <w:r w:rsidRPr="005B3F99">
        <w:t xml:space="preserve">3.5% </w:t>
      </w:r>
      <w:r>
        <w:t>of</w:t>
      </w:r>
      <w:r w:rsidRPr="005B3F99">
        <w:t xml:space="preserve"> men</w:t>
      </w:r>
    </w:p>
    <w:p w14:paraId="285AD352" w14:textId="60EF3A6C" w:rsidR="00541698" w:rsidRDefault="00541698" w:rsidP="005F688D">
      <w:pPr>
        <w:pStyle w:val="Bullet1"/>
      </w:pPr>
      <w:r>
        <w:rPr>
          <w:lang w:eastAsia="en-AU"/>
        </w:rPr>
        <w:t>16.9% of non-binary or gender-diverse people</w:t>
      </w:r>
      <w:r w:rsidR="00D30E3F">
        <w:rPr>
          <w:lang w:eastAsia="en-AU"/>
        </w:rPr>
        <w:t>.</w:t>
      </w:r>
      <w:r>
        <w:rPr>
          <w:lang w:eastAsia="en-AU"/>
        </w:rPr>
        <w:t xml:space="preserve"> </w:t>
      </w:r>
    </w:p>
    <w:p w14:paraId="3F69BEA4" w14:textId="0B825AF9" w:rsidR="00541698" w:rsidRPr="009F0191" w:rsidRDefault="00541698" w:rsidP="005F688D">
      <w:pPr>
        <w:pStyle w:val="Bodyafterbullets"/>
        <w:rPr>
          <w:b/>
        </w:rPr>
      </w:pPr>
      <w:r w:rsidRPr="009F0191">
        <w:rPr>
          <w:b/>
        </w:rPr>
        <w:t xml:space="preserve">Industries with highest rates of sexual harassment </w:t>
      </w:r>
      <w:r>
        <w:rPr>
          <w:b/>
        </w:rPr>
        <w:t>of</w:t>
      </w:r>
      <w:r w:rsidRPr="009F0191">
        <w:rPr>
          <w:b/>
        </w:rPr>
        <w:t xml:space="preserve"> women:</w:t>
      </w:r>
    </w:p>
    <w:p w14:paraId="219A53C8" w14:textId="77777777" w:rsidR="00541698" w:rsidRDefault="00541698" w:rsidP="005F688D">
      <w:pPr>
        <w:pStyle w:val="Bullet1"/>
      </w:pPr>
      <w:r>
        <w:t>police and emergency services (11.8%)</w:t>
      </w:r>
    </w:p>
    <w:p w14:paraId="388CD84E" w14:textId="77777777" w:rsidR="00541698" w:rsidRDefault="00541698" w:rsidP="005F688D">
      <w:pPr>
        <w:pStyle w:val="Bullet1"/>
      </w:pPr>
      <w:r>
        <w:t xml:space="preserve">transport (10.6%) </w:t>
      </w:r>
    </w:p>
    <w:p w14:paraId="0E52E81A" w14:textId="77777777" w:rsidR="00541698" w:rsidRDefault="00541698" w:rsidP="005F688D">
      <w:pPr>
        <w:pStyle w:val="Bullet1"/>
      </w:pPr>
      <w:r>
        <w:t xml:space="preserve">community and cultural services (10.2%) </w:t>
      </w:r>
    </w:p>
    <w:p w14:paraId="1D9EF707" w14:textId="6BB6D311" w:rsidR="00541698" w:rsidRDefault="00541698" w:rsidP="005F688D">
      <w:pPr>
        <w:pStyle w:val="Bodyafterbullets"/>
        <w:rPr>
          <w:b/>
          <w:bCs/>
        </w:rPr>
      </w:pPr>
      <w:r w:rsidRPr="007D51A3">
        <w:rPr>
          <w:b/>
          <w:bCs/>
        </w:rPr>
        <w:t xml:space="preserve">Industries with highest rates of sexual harassment </w:t>
      </w:r>
      <w:r>
        <w:rPr>
          <w:b/>
          <w:bCs/>
        </w:rPr>
        <w:t>of</w:t>
      </w:r>
      <w:r w:rsidRPr="007D51A3">
        <w:rPr>
          <w:b/>
          <w:bCs/>
        </w:rPr>
        <w:t xml:space="preserve"> </w:t>
      </w:r>
      <w:r>
        <w:rPr>
          <w:b/>
          <w:bCs/>
        </w:rPr>
        <w:t>men</w:t>
      </w:r>
      <w:r w:rsidRPr="007D51A3">
        <w:rPr>
          <w:b/>
          <w:bCs/>
        </w:rPr>
        <w:t>:</w:t>
      </w:r>
    </w:p>
    <w:p w14:paraId="62D967EA" w14:textId="77777777" w:rsidR="00541698" w:rsidRDefault="00541698" w:rsidP="005F688D">
      <w:pPr>
        <w:pStyle w:val="Bullet1"/>
      </w:pPr>
      <w:r>
        <w:t>public health care (6.1%)</w:t>
      </w:r>
    </w:p>
    <w:p w14:paraId="49746C06" w14:textId="77777777" w:rsidR="00541698" w:rsidRDefault="00541698" w:rsidP="005F688D">
      <w:pPr>
        <w:pStyle w:val="Bullet1"/>
      </w:pPr>
      <w:r>
        <w:t xml:space="preserve">police and emergency services (4.7%) </w:t>
      </w:r>
    </w:p>
    <w:p w14:paraId="1261113A" w14:textId="77777777" w:rsidR="00541698" w:rsidRDefault="00541698" w:rsidP="005F688D">
      <w:pPr>
        <w:pStyle w:val="Bullet1"/>
      </w:pPr>
      <w:r>
        <w:t>local government (4.6%)</w:t>
      </w:r>
    </w:p>
    <w:p w14:paraId="30DE98E4" w14:textId="77777777" w:rsidR="00541698" w:rsidRDefault="00541698" w:rsidP="005F688D">
      <w:pPr>
        <w:pStyle w:val="Bodyafterbullets"/>
        <w:rPr>
          <w:b/>
          <w:bCs/>
          <w:lang w:eastAsia="en-AU"/>
        </w:rPr>
      </w:pPr>
      <w:r>
        <w:rPr>
          <w:b/>
          <w:bCs/>
          <w:lang w:eastAsia="en-AU"/>
        </w:rPr>
        <w:t>Groups</w:t>
      </w:r>
      <w:r w:rsidRPr="006C0A78">
        <w:rPr>
          <w:b/>
          <w:bCs/>
          <w:lang w:eastAsia="en-AU"/>
        </w:rPr>
        <w:t xml:space="preserve"> experiencing </w:t>
      </w:r>
      <w:r w:rsidRPr="004E208E">
        <w:rPr>
          <w:b/>
          <w:bCs/>
          <w:lang w:eastAsia="en-AU"/>
        </w:rPr>
        <w:t xml:space="preserve">compounded </w:t>
      </w:r>
      <w:r>
        <w:rPr>
          <w:b/>
          <w:bCs/>
          <w:lang w:eastAsia="en-AU"/>
        </w:rPr>
        <w:t>gender inequality</w:t>
      </w:r>
    </w:p>
    <w:p w14:paraId="669C2CDB" w14:textId="77777777" w:rsidR="00541698" w:rsidRPr="005F688D" w:rsidRDefault="00541698" w:rsidP="00FA1708">
      <w:pPr>
        <w:pStyle w:val="Bullet1"/>
        <w:numPr>
          <w:ilvl w:val="0"/>
          <w:numId w:val="0"/>
        </w:numPr>
        <w:ind w:left="284" w:hanging="284"/>
        <w:rPr>
          <w:lang w:eastAsia="en-AU"/>
        </w:rPr>
      </w:pPr>
      <w:r w:rsidRPr="005F688D">
        <w:rPr>
          <w:lang w:eastAsia="en-AU"/>
        </w:rPr>
        <w:t xml:space="preserve">Some </w:t>
      </w:r>
      <w:r>
        <w:rPr>
          <w:lang w:eastAsia="en-AU"/>
        </w:rPr>
        <w:t>people</w:t>
      </w:r>
      <w:r w:rsidRPr="005F688D">
        <w:rPr>
          <w:lang w:eastAsia="en-AU"/>
        </w:rPr>
        <w:t xml:space="preserve"> experience more workplace sexual harassment</w:t>
      </w:r>
      <w:r>
        <w:rPr>
          <w:lang w:eastAsia="en-AU"/>
        </w:rPr>
        <w:t>:</w:t>
      </w:r>
    </w:p>
    <w:p w14:paraId="75D62734" w14:textId="77777777" w:rsidR="00541698" w:rsidRPr="00EA7428" w:rsidRDefault="00541698" w:rsidP="005F688D">
      <w:pPr>
        <w:pStyle w:val="Bullet1"/>
      </w:pPr>
      <w:r>
        <w:t xml:space="preserve">Women </w:t>
      </w:r>
      <w:r w:rsidRPr="00EA7428">
        <w:t>aged 15-24</w:t>
      </w:r>
      <w:r>
        <w:t>:</w:t>
      </w:r>
      <w:r w:rsidRPr="00EA7428">
        <w:t>13.9%</w:t>
      </w:r>
    </w:p>
    <w:p w14:paraId="33AAE828" w14:textId="77777777" w:rsidR="00541698" w:rsidRPr="00EA7428" w:rsidRDefault="00541698" w:rsidP="00F01FB4">
      <w:pPr>
        <w:pStyle w:val="Bullet1"/>
      </w:pPr>
      <w:r w:rsidRPr="00EA7428">
        <w:t>Women with disabilit</w:t>
      </w:r>
      <w:r>
        <w:t xml:space="preserve">y: </w:t>
      </w:r>
      <w:r w:rsidRPr="00EA7428">
        <w:t>11.7%</w:t>
      </w:r>
    </w:p>
    <w:p w14:paraId="3E992085" w14:textId="77777777" w:rsidR="00541698" w:rsidRPr="00EA7428" w:rsidRDefault="00541698" w:rsidP="005F688D">
      <w:pPr>
        <w:pStyle w:val="Bullet1"/>
      </w:pPr>
      <w:r w:rsidRPr="00EA7428">
        <w:t>First Nations women</w:t>
      </w:r>
      <w:r>
        <w:t xml:space="preserve">: </w:t>
      </w:r>
      <w:r w:rsidRPr="00EA7428">
        <w:t>7.6%</w:t>
      </w:r>
    </w:p>
    <w:p w14:paraId="6762EE3E" w14:textId="77777777" w:rsidR="00541698" w:rsidRPr="00EA7428" w:rsidRDefault="00541698" w:rsidP="005F688D">
      <w:pPr>
        <w:pStyle w:val="Bullet1"/>
      </w:pPr>
      <w:r w:rsidRPr="00EA7428">
        <w:t>CARM women</w:t>
      </w:r>
      <w:r>
        <w:t xml:space="preserve">: </w:t>
      </w:r>
      <w:r w:rsidRPr="00EA7428">
        <w:t>6.4%</w:t>
      </w:r>
    </w:p>
    <w:p w14:paraId="595AB5DC" w14:textId="77777777" w:rsidR="00541698" w:rsidRDefault="00541698" w:rsidP="00EA7428">
      <w:pPr>
        <w:pStyle w:val="Heading3"/>
      </w:pPr>
      <w:r>
        <w:t>Reporting gaps cause blind spots</w:t>
      </w:r>
    </w:p>
    <w:p w14:paraId="07FFA400" w14:textId="77777777" w:rsidR="00541698" w:rsidRDefault="00541698" w:rsidP="007A00EA">
      <w:pPr>
        <w:pStyle w:val="Bodyafterbullets"/>
      </w:pPr>
      <w:r>
        <w:t xml:space="preserve">Not everyone who experiences sexual harassment in the workplace formally reports it. </w:t>
      </w:r>
    </w:p>
    <w:p w14:paraId="754336C4" w14:textId="77777777" w:rsidR="00541698" w:rsidRDefault="00541698" w:rsidP="007A00EA">
      <w:pPr>
        <w:pStyle w:val="Bodyafterbullets"/>
      </w:pPr>
      <w:r>
        <w:t>Some people do not report sexual harassment because they don’t know how to. Others don’t trust that the issue will be dealt with fairly.</w:t>
      </w:r>
    </w:p>
    <w:p w14:paraId="2E98E1D5" w14:textId="77777777" w:rsidR="00541698" w:rsidRDefault="00541698" w:rsidP="0078531C">
      <w:pPr>
        <w:pStyle w:val="BodyText"/>
      </w:pPr>
      <w:r w:rsidRPr="00CF317E">
        <w:t>In some cases, a person discloses to their manager, but the disclosure is never formally recorded or escalated.</w:t>
      </w:r>
    </w:p>
    <w:p w14:paraId="3A1C801F" w14:textId="77777777" w:rsidR="00541698" w:rsidRDefault="00541698" w:rsidP="007A00EA">
      <w:pPr>
        <w:pStyle w:val="Bodyafterbullets"/>
      </w:pPr>
      <w:r>
        <w:t xml:space="preserve">When sexual harassment happens, but is not formally reported, it causes reporting gaps. Reporting gaps mean that </w:t>
      </w:r>
      <w:r w:rsidRPr="0069275F">
        <w:t>leaders are making decisions on an incomplete picture of the risk in their organisation</w:t>
      </w:r>
      <w:r>
        <w:t>. They also mean p</w:t>
      </w:r>
      <w:r w:rsidRPr="0069275F">
        <w:t xml:space="preserve">eople who have spoken up </w:t>
      </w:r>
      <w:r>
        <w:t xml:space="preserve">about sexual harassment to their manager </w:t>
      </w:r>
      <w:r w:rsidRPr="0069275F">
        <w:t xml:space="preserve">may not be </w:t>
      </w:r>
      <w:r>
        <w:t>appropriately</w:t>
      </w:r>
      <w:r w:rsidRPr="0069275F">
        <w:t xml:space="preserve"> supported</w:t>
      </w:r>
      <w:r>
        <w:t>, and perpetrator behaviour may not be properly addressed</w:t>
      </w:r>
      <w:r w:rsidRPr="0069275F">
        <w:t>.</w:t>
      </w:r>
      <w:r>
        <w:t xml:space="preserve"> </w:t>
      </w:r>
    </w:p>
    <w:p w14:paraId="726BF3A2" w14:textId="77777777" w:rsidR="00541698" w:rsidRDefault="00541698" w:rsidP="007A00EA">
      <w:pPr>
        <w:pStyle w:val="Figurecaption"/>
      </w:pPr>
      <w:r>
        <w:t xml:space="preserve">Figure </w:t>
      </w:r>
      <w:fldSimple w:instr=" SEQ Figure \* ARABIC ">
        <w:r>
          <w:rPr>
            <w:noProof/>
          </w:rPr>
          <w:t>8</w:t>
        </w:r>
      </w:fldSimple>
      <w:r>
        <w:t>: Sexual harassment experience and reporting rates (employee experience survey data, 2025)</w:t>
      </w:r>
      <w:r w:rsidRPr="00A277F4" w:rsidDel="00A277F4">
        <w:t xml:space="preserve"> </w:t>
      </w:r>
    </w:p>
    <w:p w14:paraId="326E8DE8" w14:textId="5C854365" w:rsidR="00541698" w:rsidRDefault="00DC2058" w:rsidP="007A00EA">
      <w:pPr>
        <w:pStyle w:val="Bodyafterbullets"/>
      </w:pPr>
      <w:r>
        <w:rPr>
          <w:noProof/>
        </w:rPr>
        <w:drawing>
          <wp:inline distT="0" distB="0" distL="0" distR="0" wp14:anchorId="7F777013" wp14:editId="23E0DDB9">
            <wp:extent cx="5797296" cy="3532632"/>
            <wp:effectExtent l="0" t="0" r="0" b="0"/>
            <wp:docPr id="315655101" name="Picture 14" descr="A funnel chart displays sexual harassment survey data segmented by gender categories: women, men, and self-described. It highlights respondent counts, percentages experiencing harassment, and reporting rates, with women showing the highest number of respondents and reports, and self-described individuals having the highest harassment experience rate at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5101" name="Picture 14" descr="A funnel chart displays sexual harassment survey data segmented by gender categories: women, men, and self-described. It highlights respondent counts, percentages experiencing harassment, and reporting rates, with women showing the highest number of respondents and reports, and self-described individuals having the highest harassment experience rate at 16.9%."/>
                    <pic:cNvPicPr/>
                  </pic:nvPicPr>
                  <pic:blipFill>
                    <a:blip r:embed="rId47"/>
                    <a:stretch>
                      <a:fillRect/>
                    </a:stretch>
                  </pic:blipFill>
                  <pic:spPr>
                    <a:xfrm>
                      <a:off x="0" y="0"/>
                      <a:ext cx="5797296" cy="3532632"/>
                    </a:xfrm>
                    <a:prstGeom prst="rect">
                      <a:avLst/>
                    </a:prstGeom>
                  </pic:spPr>
                </pic:pic>
              </a:graphicData>
            </a:graphic>
          </wp:inline>
        </w:drawing>
      </w:r>
    </w:p>
    <w:p w14:paraId="5646C117" w14:textId="77777777" w:rsidR="00541698" w:rsidRDefault="00541698" w:rsidP="00D8120C">
      <w:pPr>
        <w:pStyle w:val="Tablefigurenote"/>
      </w:pPr>
      <w:r w:rsidRPr="006C41AA">
        <w:t>Source: People matter survey data, 2025</w:t>
      </w:r>
    </w:p>
    <w:p w14:paraId="736A77F4" w14:textId="77777777" w:rsidR="00541698" w:rsidRPr="0023183E" w:rsidRDefault="00541698" w:rsidP="0023183E">
      <w:pPr>
        <w:pStyle w:val="Bodyaftertablefigure"/>
        <w:rPr>
          <w:b/>
          <w:bCs/>
        </w:rPr>
      </w:pPr>
      <w:r w:rsidRPr="0023183E">
        <w:rPr>
          <w:b/>
          <w:bCs/>
        </w:rPr>
        <w:t xml:space="preserve">Reporting gaps vary across industries </w:t>
      </w:r>
    </w:p>
    <w:p w14:paraId="5688BB5C" w14:textId="77777777" w:rsidR="00541698" w:rsidRDefault="00541698" w:rsidP="009D540D">
      <w:pPr>
        <w:pStyle w:val="BodyText"/>
      </w:pPr>
      <w:r>
        <w:t xml:space="preserve">Of the respondents who said they experienced sexual harassment, the proportion who also said they reported it was </w:t>
      </w:r>
      <w:r w:rsidRPr="00D8120C">
        <w:rPr>
          <w:b/>
        </w:rPr>
        <w:t>highest</w:t>
      </w:r>
      <w:r>
        <w:t xml:space="preserve"> in:</w:t>
      </w:r>
    </w:p>
    <w:p w14:paraId="4F62F164" w14:textId="77777777" w:rsidR="00541698" w:rsidRDefault="00541698" w:rsidP="00D8120C">
      <w:pPr>
        <w:pStyle w:val="Bullet1"/>
      </w:pPr>
      <w:r>
        <w:t>TAFE and other education: 7.6%</w:t>
      </w:r>
    </w:p>
    <w:p w14:paraId="21D3741A" w14:textId="4FD0C29E" w:rsidR="00541698" w:rsidRDefault="0076185B" w:rsidP="00D8120C">
      <w:pPr>
        <w:pStyle w:val="Bullet1"/>
      </w:pPr>
      <w:r>
        <w:t>p</w:t>
      </w:r>
      <w:r w:rsidR="00541698">
        <w:t>ublic health care: 7.5%</w:t>
      </w:r>
    </w:p>
    <w:p w14:paraId="4819DD11" w14:textId="1C90AC93" w:rsidR="00541698" w:rsidRDefault="0076185B" w:rsidP="00D8120C">
      <w:pPr>
        <w:pStyle w:val="Bullet1"/>
      </w:pPr>
      <w:r>
        <w:t>co</w:t>
      </w:r>
      <w:r w:rsidR="00541698">
        <w:t>mmunity and cultural services: 7.5%</w:t>
      </w:r>
    </w:p>
    <w:p w14:paraId="2342A3ED" w14:textId="77777777" w:rsidR="00541698" w:rsidRPr="00990DC1" w:rsidRDefault="00541698" w:rsidP="00D8120C">
      <w:pPr>
        <w:pStyle w:val="Bullet1"/>
      </w:pPr>
      <w:r>
        <w:t>Victorian Public Service: 6.7%</w:t>
      </w:r>
    </w:p>
    <w:p w14:paraId="4E979144" w14:textId="77777777" w:rsidR="00541698" w:rsidRDefault="00541698" w:rsidP="00894F0C">
      <w:pPr>
        <w:pStyle w:val="Bodyafterbullets"/>
      </w:pPr>
      <w:r>
        <w:t xml:space="preserve">Of the respondents who said they experienced sexual harassment, the proportion who also said they reported it was </w:t>
      </w:r>
      <w:r>
        <w:rPr>
          <w:b/>
          <w:bCs/>
        </w:rPr>
        <w:t>lowest</w:t>
      </w:r>
      <w:r>
        <w:t xml:space="preserve"> in:</w:t>
      </w:r>
    </w:p>
    <w:p w14:paraId="276368AC" w14:textId="673AD0B9" w:rsidR="00541698" w:rsidRDefault="0076185B" w:rsidP="00D8120C">
      <w:pPr>
        <w:pStyle w:val="Bullet1"/>
      </w:pPr>
      <w:r>
        <w:t>f</w:t>
      </w:r>
      <w:r w:rsidR="00541698">
        <w:t>inance and insurance: 1.5%</w:t>
      </w:r>
    </w:p>
    <w:p w14:paraId="2BB34A5B" w14:textId="3A6CF97F" w:rsidR="00541698" w:rsidRDefault="0076185B" w:rsidP="00D8120C">
      <w:pPr>
        <w:pStyle w:val="Bullet1"/>
      </w:pPr>
      <w:r>
        <w:t>o</w:t>
      </w:r>
      <w:r w:rsidR="00541698">
        <w:t>ther: 3.4%</w:t>
      </w:r>
    </w:p>
    <w:p w14:paraId="18383D8F" w14:textId="3C046480" w:rsidR="00541698" w:rsidRDefault="0076185B" w:rsidP="00D8120C">
      <w:pPr>
        <w:pStyle w:val="Bullet1"/>
      </w:pPr>
      <w:r>
        <w:t>w</w:t>
      </w:r>
      <w:r w:rsidR="00541698">
        <w:t>ater and land management: 5.1%</w:t>
      </w:r>
    </w:p>
    <w:p w14:paraId="409E48C7" w14:textId="5F5A3578" w:rsidR="00541698" w:rsidRDefault="0076185B" w:rsidP="002F25E7">
      <w:pPr>
        <w:pStyle w:val="Bullet1"/>
      </w:pPr>
      <w:r>
        <w:t>t</w:t>
      </w:r>
      <w:r w:rsidR="00541698">
        <w:t>ransport: 5.2%</w:t>
      </w:r>
    </w:p>
    <w:p w14:paraId="135ACC1E" w14:textId="1DCB621D" w:rsidR="00541698" w:rsidRPr="006B7C8E" w:rsidRDefault="00541698" w:rsidP="006B7C8E">
      <w:pPr>
        <w:pStyle w:val="Bodyafterbullets"/>
        <w:rPr>
          <w:b/>
          <w:bCs/>
        </w:rPr>
      </w:pPr>
      <w:r w:rsidRPr="006B7C8E">
        <w:rPr>
          <w:b/>
          <w:bCs/>
        </w:rPr>
        <w:t>Reporting and experience rates considered together</w:t>
      </w:r>
    </w:p>
    <w:p w14:paraId="1D555BDD" w14:textId="77777777" w:rsidR="00541698" w:rsidRDefault="00541698" w:rsidP="00D8120C">
      <w:pPr>
        <w:pStyle w:val="Bullet1"/>
        <w:numPr>
          <w:ilvl w:val="0"/>
          <w:numId w:val="0"/>
        </w:numPr>
      </w:pPr>
      <w:r w:rsidRPr="0062360B">
        <w:t xml:space="preserve">TAFE and other education </w:t>
      </w:r>
      <w:r>
        <w:t>and the Victorian Public Service have</w:t>
      </w:r>
      <w:r w:rsidRPr="0062360B">
        <w:t xml:space="preserve"> low</w:t>
      </w:r>
      <w:r>
        <w:t>er</w:t>
      </w:r>
      <w:r w:rsidRPr="0062360B">
        <w:t xml:space="preserve"> experience rate</w:t>
      </w:r>
      <w:r>
        <w:t>s (3.8% for TAFE, 3.2% for VPS)</w:t>
      </w:r>
      <w:r w:rsidRPr="0062360B">
        <w:t xml:space="preserve"> and highe</w:t>
      </w:r>
      <w:r>
        <w:t>r</w:t>
      </w:r>
      <w:r w:rsidRPr="0062360B">
        <w:t xml:space="preserve"> reporting rate</w:t>
      </w:r>
      <w:r>
        <w:t>s</w:t>
      </w:r>
      <w:r w:rsidRPr="0062360B">
        <w:t xml:space="preserve"> </w:t>
      </w:r>
      <w:r>
        <w:t xml:space="preserve">(7.6% for TAFE, 6.7% for VPS) </w:t>
      </w:r>
      <w:r w:rsidRPr="0062360B">
        <w:t xml:space="preserve">according to </w:t>
      </w:r>
      <w:r>
        <w:t>employee survey data</w:t>
      </w:r>
      <w:r w:rsidRPr="0062360B">
        <w:t>. Th</w:t>
      </w:r>
      <w:r>
        <w:t>ese</w:t>
      </w:r>
      <w:r w:rsidRPr="0062360B">
        <w:t xml:space="preserve"> </w:t>
      </w:r>
      <w:r>
        <w:t>industries have the strongest result when looking at both measures together.</w:t>
      </w:r>
    </w:p>
    <w:p w14:paraId="6EB1F344" w14:textId="77777777" w:rsidR="00541698" w:rsidRDefault="00541698" w:rsidP="004444B7">
      <w:pPr>
        <w:pStyle w:val="Figurecaption"/>
      </w:pPr>
      <w:r>
        <w:t xml:space="preserve">Figure </w:t>
      </w:r>
      <w:fldSimple w:instr=" SEQ Figure \* ARABIC ">
        <w:r>
          <w:rPr>
            <w:noProof/>
          </w:rPr>
          <w:t>9</w:t>
        </w:r>
      </w:fldSimple>
      <w:r>
        <w:t>: Sexual harassment experience and reporting rates by industry (survey data, 2025)</w:t>
      </w:r>
    </w:p>
    <w:p w14:paraId="3BCE6A92" w14:textId="4D26E620" w:rsidR="00541698" w:rsidRDefault="00DC2058" w:rsidP="00FD4C5D">
      <w:pPr>
        <w:pStyle w:val="BodyText"/>
      </w:pPr>
      <w:r>
        <w:rPr>
          <w:noProof/>
        </w:rPr>
        <w:drawing>
          <wp:inline distT="0" distB="0" distL="0" distR="0" wp14:anchorId="685748E4" wp14:editId="287F0E1C">
            <wp:extent cx="5797296" cy="4715256"/>
            <wp:effectExtent l="0" t="0" r="0" b="9525"/>
            <wp:docPr id="1986669698" name="Picture 15" descr="Scatter plot showing survey respondents who experienced and reported sexual harassment at work, categorized by industry sectors with bubble sizes representing respondent numbers. The plot is divided into four quadrants indicating levels of experience and reporting, with notable clusters in high experience and high reporting (e.g., Community &amp; Cultural Services, Finance &amp; Insurance) and low experience and low reporting (e.g., Police and Emergenc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69698" name="Picture 15" descr="Scatter plot showing survey respondents who experienced and reported sexual harassment at work, categorized by industry sectors with bubble sizes representing respondent numbers. The plot is divided into four quadrants indicating levels of experience and reporting, with notable clusters in high experience and high reporting (e.g., Community &amp; Cultural Services, Finance &amp; Insurance) and low experience and low reporting (e.g., Police and Emergency Services)."/>
                    <pic:cNvPicPr/>
                  </pic:nvPicPr>
                  <pic:blipFill>
                    <a:blip r:embed="rId48"/>
                    <a:stretch>
                      <a:fillRect/>
                    </a:stretch>
                  </pic:blipFill>
                  <pic:spPr>
                    <a:xfrm>
                      <a:off x="0" y="0"/>
                      <a:ext cx="5797296" cy="4715256"/>
                    </a:xfrm>
                    <a:prstGeom prst="rect">
                      <a:avLst/>
                    </a:prstGeom>
                  </pic:spPr>
                </pic:pic>
              </a:graphicData>
            </a:graphic>
          </wp:inline>
        </w:drawing>
      </w:r>
    </w:p>
    <w:p w14:paraId="78DB280B" w14:textId="77777777" w:rsidR="00541698" w:rsidRDefault="00541698" w:rsidP="00D40365">
      <w:pPr>
        <w:pStyle w:val="Tablefigurenote"/>
      </w:pPr>
      <w:r w:rsidRPr="006C41AA">
        <w:t>Source:</w:t>
      </w:r>
      <w:r>
        <w:t xml:space="preserve"> People matter survey data</w:t>
      </w:r>
      <w:r w:rsidRPr="006C41AA">
        <w:t>, 2025</w:t>
      </w:r>
    </w:p>
    <w:p w14:paraId="0A9C395E" w14:textId="77777777" w:rsidR="00541698" w:rsidRDefault="00541698">
      <w:pPr>
        <w:pStyle w:val="Tablefigurenote"/>
        <w:rPr>
          <w:lang w:eastAsia="en-AU"/>
        </w:rPr>
      </w:pPr>
      <w:r>
        <w:t>Note: Universities are not represented because most do not participate in the People matter survey.</w:t>
      </w:r>
    </w:p>
    <w:p w14:paraId="03D2C3F5" w14:textId="21CCAD3B" w:rsidR="00BA3693" w:rsidRDefault="00BA3693" w:rsidP="00BA3693">
      <w:pPr>
        <w:pStyle w:val="Heading1"/>
      </w:pPr>
      <w:bookmarkStart w:id="46" w:name="_Toc237259538"/>
      <w:r>
        <w:t>Indicator 5</w:t>
      </w:r>
      <w:r w:rsidRPr="009C57F5">
        <w:t xml:space="preserve">: </w:t>
      </w:r>
      <w:r w:rsidR="00071AD5">
        <w:t>Recruitment and promotion</w:t>
      </w:r>
      <w:bookmarkEnd w:id="46"/>
    </w:p>
    <w:p w14:paraId="47B43D49" w14:textId="41054D9B" w:rsidR="00BA3693" w:rsidRDefault="00BA3693" w:rsidP="00BA3693">
      <w:pPr>
        <w:pStyle w:val="Heading2"/>
      </w:pPr>
      <w:bookmarkStart w:id="47" w:name="_Toc237259539"/>
      <w:r>
        <w:t>Why this matters</w:t>
      </w:r>
      <w:bookmarkEnd w:id="47"/>
    </w:p>
    <w:p w14:paraId="0B82C147" w14:textId="026DB00F" w:rsidR="007A0EAB" w:rsidRDefault="007A0EAB" w:rsidP="0078531C">
      <w:pPr>
        <w:pStyle w:val="BodyText"/>
      </w:pPr>
      <w:r>
        <w:t xml:space="preserve">Gender equitable recruitment and promotion practices are central to gender equality. </w:t>
      </w:r>
      <w:r w:rsidR="007E59AA" w:rsidRPr="00396FC1">
        <w:t>Recruitment and promotion are pivotal moments that shape pay, progression and the gender composition of the workforce, so where access is unequal, the effects compound across careers.</w:t>
      </w:r>
    </w:p>
    <w:p w14:paraId="22C2E38F" w14:textId="0A7EB18F" w:rsidR="0078795F" w:rsidRPr="0078795F" w:rsidRDefault="0078795F" w:rsidP="0078531C">
      <w:pPr>
        <w:pStyle w:val="BodyText"/>
      </w:pPr>
      <w:r w:rsidRPr="0078795F">
        <w:t xml:space="preserve">Gender bias and stereotypes can shape recruitment, promotion and career progression, </w:t>
      </w:r>
      <w:r w:rsidR="00F40454">
        <w:t>meaning</w:t>
      </w:r>
      <w:r w:rsidRPr="0078795F">
        <w:t xml:space="preserve"> women do not always have the same access to opportunities as men</w:t>
      </w:r>
      <w:r w:rsidR="00231E70">
        <w:t>. This is</w:t>
      </w:r>
      <w:r w:rsidRPr="0078795F">
        <w:t xml:space="preserve"> often because particular industries or occupations have long been associated with </w:t>
      </w:r>
      <w:r w:rsidR="00A77E40">
        <w:t>a particular</w:t>
      </w:r>
      <w:r w:rsidRPr="0078795F">
        <w:t xml:space="preserve"> gender.</w:t>
      </w:r>
    </w:p>
    <w:p w14:paraId="29A0A2EB" w14:textId="6D1FC754" w:rsidR="0078795F" w:rsidRPr="0078795F" w:rsidRDefault="0078795F" w:rsidP="0078531C">
      <w:pPr>
        <w:pStyle w:val="BodyText"/>
      </w:pPr>
      <w:r w:rsidRPr="0078795F">
        <w:t xml:space="preserve">Many jobs are still designed around an </w:t>
      </w:r>
      <w:r w:rsidR="00F43DBC">
        <w:t>‘</w:t>
      </w:r>
      <w:r w:rsidRPr="0078795F">
        <w:t>ideal worker</w:t>
      </w:r>
      <w:r w:rsidR="00F43DBC">
        <w:t>’</w:t>
      </w:r>
      <w:r w:rsidRPr="0078795F">
        <w:t xml:space="preserve"> who </w:t>
      </w:r>
      <w:r w:rsidR="00580744">
        <w:t>does not have</w:t>
      </w:r>
      <w:r w:rsidRPr="0078795F">
        <w:t xml:space="preserve"> caring responsibilities. Women can be discouraged from applying </w:t>
      </w:r>
      <w:r w:rsidR="00580744">
        <w:t xml:space="preserve">for </w:t>
      </w:r>
      <w:r w:rsidR="00270499">
        <w:t xml:space="preserve">roles </w:t>
      </w:r>
      <w:r w:rsidRPr="0078795F">
        <w:t xml:space="preserve">by arbitrary requirements in job advertisements, gendered language in position descriptions, and unexamined assumptions about when and where work must be done. Other practices mean women </w:t>
      </w:r>
      <w:r w:rsidR="00384617">
        <w:t>can</w:t>
      </w:r>
      <w:r w:rsidRPr="0078795F">
        <w:t xml:space="preserve"> miss out on an interview or a role because of bias and dominant social norms. Recruitment is therefore a key point at which organisations can either entrench gender concentration or begin to shift it.</w:t>
      </w:r>
    </w:p>
    <w:p w14:paraId="1296CD2B" w14:textId="421C6AC1" w:rsidR="0078795F" w:rsidRPr="0078795F" w:rsidRDefault="0078795F" w:rsidP="0078531C">
      <w:pPr>
        <w:pStyle w:val="BodyText"/>
      </w:pPr>
      <w:r w:rsidRPr="0078795F">
        <w:t>Bias does not stop at hiring. Women who take leave for caring responsibilities, or who work part time or flexibly, are often seen as less committed</w:t>
      </w:r>
      <w:r w:rsidR="006D6D58">
        <w:t>.</w:t>
      </w:r>
      <w:r w:rsidRPr="0078795F">
        <w:t xml:space="preserve"> </w:t>
      </w:r>
      <w:r w:rsidR="006D6D58">
        <w:t>B</w:t>
      </w:r>
      <w:r w:rsidRPr="0078795F">
        <w:t xml:space="preserve">eing denied equal access to promotion and training is </w:t>
      </w:r>
      <w:r w:rsidR="005F5CBC">
        <w:t>also</w:t>
      </w:r>
      <w:r w:rsidRPr="0078795F">
        <w:t xml:space="preserve"> a key driver of the gender pay gap, because it constrains progression into </w:t>
      </w:r>
      <w:r w:rsidR="004149CA">
        <w:t xml:space="preserve">more </w:t>
      </w:r>
      <w:r w:rsidRPr="0078795F">
        <w:t>senior, better-paid roles.</w:t>
      </w:r>
    </w:p>
    <w:p w14:paraId="485698BE" w14:textId="2241CEF0" w:rsidR="007E59AA" w:rsidRDefault="00A16313" w:rsidP="0078531C">
      <w:pPr>
        <w:pStyle w:val="BodyText"/>
      </w:pPr>
      <w:r w:rsidRPr="00D17F4C">
        <w:t xml:space="preserve">Data on recruitment and promotion outcomes </w:t>
      </w:r>
      <w:r w:rsidR="0078795F" w:rsidRPr="0078795F">
        <w:t xml:space="preserve">shows </w:t>
      </w:r>
      <w:r w:rsidRPr="00D17F4C">
        <w:t xml:space="preserve">where careers </w:t>
      </w:r>
      <w:r>
        <w:t>may be</w:t>
      </w:r>
      <w:r w:rsidRPr="00D17F4C">
        <w:t xml:space="preserve"> stalling</w:t>
      </w:r>
      <w:r>
        <w:t xml:space="preserve"> </w:t>
      </w:r>
      <w:r w:rsidRPr="00D17F4C">
        <w:t xml:space="preserve">and </w:t>
      </w:r>
      <w:r w:rsidR="0078795F" w:rsidRPr="0078795F">
        <w:t>helps organisations design fairer</w:t>
      </w:r>
      <w:r w:rsidRPr="00D17F4C">
        <w:t xml:space="preserve"> opportunities.</w:t>
      </w:r>
      <w:r w:rsidR="00524307" w:rsidRPr="00C27278">
        <w:t xml:space="preserve"> </w:t>
      </w:r>
      <w:r w:rsidR="00352CB7">
        <w:t xml:space="preserve">This helps </w:t>
      </w:r>
      <w:r w:rsidR="0017038E" w:rsidRPr="00C27278">
        <w:t>organisation</w:t>
      </w:r>
      <w:r w:rsidR="00065CEA" w:rsidRPr="00C27278">
        <w:t>s</w:t>
      </w:r>
      <w:r w:rsidR="008C1B00" w:rsidRPr="00C27278">
        <w:t xml:space="preserve"> </w:t>
      </w:r>
      <w:r w:rsidR="0017038E">
        <w:t xml:space="preserve">improve </w:t>
      </w:r>
      <w:r w:rsidR="00707E4E">
        <w:t xml:space="preserve">gender </w:t>
      </w:r>
      <w:r w:rsidR="0017038E">
        <w:t xml:space="preserve">composition </w:t>
      </w:r>
      <w:r w:rsidR="0078795F" w:rsidRPr="0078795F">
        <w:t xml:space="preserve">across the workforce and within </w:t>
      </w:r>
      <w:r w:rsidR="008C1B00" w:rsidRPr="00C27278">
        <w:t>specific areas</w:t>
      </w:r>
      <w:r w:rsidR="0078795F" w:rsidRPr="0078795F">
        <w:t>.</w:t>
      </w:r>
      <w:r w:rsidR="00F11415">
        <w:t xml:space="preserve"> You can read more in the </w:t>
      </w:r>
      <w:hyperlink r:id="rId49" w:history="1">
        <w:r w:rsidR="00F11415" w:rsidRPr="000D3DB5">
          <w:rPr>
            <w:rStyle w:val="Hyperlink"/>
            <w:rFonts w:cs="Times New Roman"/>
          </w:rPr>
          <w:t>Baseline report</w:t>
        </w:r>
      </w:hyperlink>
      <w:r w:rsidR="00F11415">
        <w:t xml:space="preserve"> (2021, pp. </w:t>
      </w:r>
      <w:r w:rsidR="00151133">
        <w:t>73</w:t>
      </w:r>
      <w:r w:rsidR="00F11415">
        <w:t>-</w:t>
      </w:r>
      <w:r w:rsidR="00151133">
        <w:t>74</w:t>
      </w:r>
      <w:r w:rsidR="00F11415">
        <w:t>).</w:t>
      </w:r>
      <w:r w:rsidR="007E59AA" w:rsidRPr="007E59AA">
        <w:t xml:space="preserve"> </w:t>
      </w:r>
    </w:p>
    <w:p w14:paraId="59119B92" w14:textId="51AD19A3" w:rsidR="00BA3693" w:rsidRDefault="00BA3693" w:rsidP="004444B7">
      <w:pPr>
        <w:pStyle w:val="Heading2"/>
      </w:pPr>
      <w:bookmarkStart w:id="48" w:name="_Toc237259540"/>
      <w:r>
        <w:t>How we define progress</w:t>
      </w:r>
      <w:bookmarkEnd w:id="48"/>
    </w:p>
    <w:p w14:paraId="0024CA8C" w14:textId="77777777" w:rsidR="00D33D5A" w:rsidRDefault="006D7091" w:rsidP="0078531C">
      <w:pPr>
        <w:pStyle w:val="BodyText"/>
      </w:pPr>
      <w:r>
        <w:t xml:space="preserve">In </w:t>
      </w:r>
      <w:r w:rsidR="008C75AF" w:rsidRPr="008C75AF">
        <w:t>recruitment, context determines what progress looks like. The goal is movement towards</w:t>
      </w:r>
      <w:r w:rsidR="00A04A40">
        <w:t xml:space="preserve"> a more</w:t>
      </w:r>
      <w:r w:rsidR="008C75AF" w:rsidRPr="008C75AF">
        <w:t xml:space="preserve"> gender balance</w:t>
      </w:r>
      <w:r w:rsidR="00A04A40">
        <w:t>d workforce</w:t>
      </w:r>
      <w:r w:rsidR="00074967">
        <w:t>.</w:t>
      </w:r>
      <w:r w:rsidR="008C75AF" w:rsidRPr="008C75AF">
        <w:t xml:space="preserve"> </w:t>
      </w:r>
      <w:r w:rsidR="00074967">
        <w:t>I</w:t>
      </w:r>
      <w:r w:rsidR="008C75AF" w:rsidRPr="008C75AF">
        <w:t>n a women-concentrated organisation (</w:t>
      </w:r>
      <w:r w:rsidR="0077172D" w:rsidRPr="0077172D">
        <w:t>for example, one where 70% of employees are women</w:t>
      </w:r>
      <w:r w:rsidR="008C75AF" w:rsidRPr="008C75AF">
        <w:t xml:space="preserve">), </w:t>
      </w:r>
      <w:r w:rsidR="00964E1A">
        <w:t>r</w:t>
      </w:r>
      <w:r w:rsidR="00964E1A" w:rsidRPr="00964E1A">
        <w:t>ecruiting more women is unlikely to represent progress unless they are being recruited into occupations, roles or parts of the organisation where women are currently underrepresented. In these organisations, progress will often mean attracting, recruiting and retaining more men in women-concentrated roles and areas of the workforce. Equally, organisations should ensure that men are not recruited predominantly into senior or traditionally masculine roles, as this would reinforce existing inequalities rather than reduce</w:t>
      </w:r>
      <w:r w:rsidR="00964E1A">
        <w:t xml:space="preserve"> them.</w:t>
      </w:r>
    </w:p>
    <w:p w14:paraId="0100421F" w14:textId="66FA8A65" w:rsidR="00B91D7D" w:rsidRDefault="008C75AF" w:rsidP="0078531C">
      <w:pPr>
        <w:pStyle w:val="BodyText"/>
      </w:pPr>
      <w:r w:rsidRPr="008C75AF">
        <w:t xml:space="preserve">For promotion, the </w:t>
      </w:r>
      <w:r w:rsidR="00D33D5A">
        <w:t>key</w:t>
      </w:r>
      <w:r w:rsidRPr="008C75AF">
        <w:t xml:space="preserve"> question is whether those promoted reflect the </w:t>
      </w:r>
      <w:r w:rsidR="00754474">
        <w:t xml:space="preserve">gender </w:t>
      </w:r>
      <w:r w:rsidRPr="008C75AF">
        <w:t>composition of the workforce. If women make up</w:t>
      </w:r>
      <w:r w:rsidR="00250863">
        <w:t xml:space="preserve"> 70% of </w:t>
      </w:r>
      <w:r w:rsidR="00B91D7D">
        <w:t>an</w:t>
      </w:r>
      <w:r w:rsidR="00250863">
        <w:t xml:space="preserve"> organisation, they </w:t>
      </w:r>
      <w:r w:rsidR="00B913C4" w:rsidRPr="00B913C4">
        <w:t xml:space="preserve">would generally be expected to </w:t>
      </w:r>
      <w:r w:rsidR="00250863">
        <w:t>receiv</w:t>
      </w:r>
      <w:r w:rsidR="006A4CA2">
        <w:t>e</w:t>
      </w:r>
      <w:r w:rsidR="00250863">
        <w:t xml:space="preserve"> </w:t>
      </w:r>
      <w:r w:rsidR="00B913C4" w:rsidRPr="00B913C4">
        <w:t>around</w:t>
      </w:r>
      <w:r w:rsidR="00250863">
        <w:t xml:space="preserve"> 70% of promotions</w:t>
      </w:r>
      <w:r w:rsidR="00F85B61">
        <w:t>.</w:t>
      </w:r>
      <w:r w:rsidRPr="008C75AF">
        <w:t xml:space="preserve"> </w:t>
      </w:r>
      <w:r w:rsidR="00F85B61">
        <w:t>I</w:t>
      </w:r>
      <w:r w:rsidRPr="008C75AF">
        <w:t>f they</w:t>
      </w:r>
      <w:r w:rsidR="009537AD">
        <w:t xml:space="preserve"> </w:t>
      </w:r>
      <w:r w:rsidR="00250863">
        <w:t>receiv</w:t>
      </w:r>
      <w:r w:rsidR="00505240">
        <w:t>e</w:t>
      </w:r>
      <w:r w:rsidR="00250863">
        <w:t xml:space="preserve"> </w:t>
      </w:r>
      <w:r w:rsidR="00B913C4" w:rsidRPr="00B913C4">
        <w:t>substantially fewer</w:t>
      </w:r>
      <w:r w:rsidRPr="008C75AF">
        <w:t>,</w:t>
      </w:r>
      <w:r w:rsidR="00B91D7D">
        <w:t xml:space="preserve"> men </w:t>
      </w:r>
      <w:r w:rsidR="00505240">
        <w:t xml:space="preserve">are </w:t>
      </w:r>
      <w:r w:rsidRPr="008C75AF">
        <w:t xml:space="preserve">being promoted </w:t>
      </w:r>
      <w:r w:rsidR="00505240">
        <w:t>disproportionately</w:t>
      </w:r>
      <w:r w:rsidRPr="008C75AF">
        <w:t xml:space="preserve">. </w:t>
      </w:r>
      <w:r w:rsidR="00B913C4" w:rsidRPr="00B913C4">
        <w:t>Progress therefore</w:t>
      </w:r>
      <w:r w:rsidR="00B91D7D">
        <w:t xml:space="preserve"> </w:t>
      </w:r>
      <w:r w:rsidR="00505240">
        <w:t>means</w:t>
      </w:r>
      <w:r w:rsidR="00B91D7D">
        <w:t xml:space="preserve"> moving towards </w:t>
      </w:r>
      <w:r w:rsidRPr="008C75AF">
        <w:t xml:space="preserve">promotion </w:t>
      </w:r>
      <w:r w:rsidR="00B913C4" w:rsidRPr="00B913C4">
        <w:t>outcomes</w:t>
      </w:r>
      <w:r w:rsidR="00B91D7D">
        <w:t xml:space="preserve"> that </w:t>
      </w:r>
      <w:r w:rsidR="00B913C4" w:rsidRPr="00B913C4">
        <w:t>reflect</w:t>
      </w:r>
      <w:r w:rsidR="00B91D7D">
        <w:t xml:space="preserve"> the workforce</w:t>
      </w:r>
      <w:r w:rsidR="00B913C4" w:rsidRPr="00B913C4">
        <w:t xml:space="preserve"> composition</w:t>
      </w:r>
      <w:r w:rsidR="00B91D7D">
        <w:t xml:space="preserve">. </w:t>
      </w:r>
      <w:r w:rsidRPr="008C75AF">
        <w:t>As</w:t>
      </w:r>
      <w:r w:rsidR="00273759" w:rsidRPr="00273759">
        <w:t xml:space="preserve"> discussed under </w:t>
      </w:r>
      <w:hyperlink w:anchor="_Indicator_1:_Gender" w:history="1">
        <w:r w:rsidR="00273759" w:rsidRPr="00670CC7">
          <w:rPr>
            <w:rStyle w:val="Hyperlink"/>
            <w:rFonts w:cs="Times New Roman"/>
          </w:rPr>
          <w:t>Indicator 1</w:t>
        </w:r>
        <w:r w:rsidR="006C2CFE" w:rsidRPr="00670CC7">
          <w:rPr>
            <w:rStyle w:val="Hyperlink"/>
            <w:rFonts w:cs="Times New Roman"/>
          </w:rPr>
          <w:t>: Gender composition of the workforce</w:t>
        </w:r>
      </w:hyperlink>
      <w:r w:rsidR="00273759" w:rsidRPr="00273759">
        <w:t xml:space="preserve">, </w:t>
      </w:r>
      <w:r w:rsidRPr="008C75AF">
        <w:t xml:space="preserve">organisations in men-concentrated </w:t>
      </w:r>
      <w:r w:rsidR="00A50C1F">
        <w:t>industries</w:t>
      </w:r>
      <w:r w:rsidR="00273759" w:rsidRPr="00273759">
        <w:t xml:space="preserve"> may </w:t>
      </w:r>
      <w:r w:rsidRPr="008C75AF">
        <w:t xml:space="preserve">also </w:t>
      </w:r>
      <w:r w:rsidR="00273759" w:rsidRPr="00273759">
        <w:t xml:space="preserve">choose to promote more women </w:t>
      </w:r>
      <w:r w:rsidRPr="008C75AF">
        <w:t xml:space="preserve">deliberately to </w:t>
      </w:r>
      <w:r w:rsidR="00B913C4" w:rsidRPr="00B913C4">
        <w:t>increase women</w:t>
      </w:r>
      <w:r w:rsidR="00A50C1F">
        <w:t>’</w:t>
      </w:r>
      <w:r w:rsidR="00B913C4" w:rsidRPr="00B913C4">
        <w:t>s</w:t>
      </w:r>
      <w:r w:rsidRPr="008C75AF">
        <w:t xml:space="preserve"> representation </w:t>
      </w:r>
      <w:r w:rsidR="00331A21">
        <w:t>at all levels</w:t>
      </w:r>
      <w:r w:rsidR="00273759" w:rsidRPr="00273759">
        <w:t xml:space="preserve"> (</w:t>
      </w:r>
      <w:r w:rsidR="00273759" w:rsidRPr="00A50C1F">
        <w:t xml:space="preserve">Gould </w:t>
      </w:r>
      <w:r w:rsidR="00E30FE4" w:rsidRPr="00A50C1F">
        <w:t>et al.</w:t>
      </w:r>
      <w:r w:rsidR="00273759" w:rsidRPr="00A50C1F">
        <w:t xml:space="preserve"> 2018</w:t>
      </w:r>
      <w:r w:rsidR="00273759" w:rsidRPr="00273759">
        <w:t>). </w:t>
      </w:r>
    </w:p>
    <w:p w14:paraId="4A8D73F3" w14:textId="1E3EF675" w:rsidR="004C04BF" w:rsidRPr="00C94499" w:rsidRDefault="00B05A23" w:rsidP="0078531C">
      <w:pPr>
        <w:pStyle w:val="BodyText"/>
      </w:pPr>
      <w:r>
        <w:t>Organisations</w:t>
      </w:r>
      <w:r w:rsidR="00AE407A">
        <w:t xml:space="preserve"> </w:t>
      </w:r>
      <w:r w:rsidR="005D5A2B" w:rsidRPr="005D5A2B">
        <w:t>should</w:t>
      </w:r>
      <w:r w:rsidR="00AE407A">
        <w:t xml:space="preserve"> analyse their employee </w:t>
      </w:r>
      <w:r w:rsidR="005D5A2B" w:rsidRPr="005D5A2B">
        <w:t xml:space="preserve">experience </w:t>
      </w:r>
      <w:r w:rsidR="00AE407A">
        <w:t xml:space="preserve">survey data to </w:t>
      </w:r>
      <w:r w:rsidR="005D5A2B" w:rsidRPr="005D5A2B">
        <w:t>understand</w:t>
      </w:r>
      <w:r w:rsidR="00AE407A">
        <w:t xml:space="preserve"> whether </w:t>
      </w:r>
      <w:r w:rsidR="00EE5EA9">
        <w:t xml:space="preserve">perceptions of recruitment and promotion </w:t>
      </w:r>
      <w:r w:rsidR="005D5A2B" w:rsidRPr="005D5A2B">
        <w:t>processes differ by gender. This can help identify barriers that may not be apparent from workforce data alone</w:t>
      </w:r>
      <w:r w:rsidR="00EE5EA9">
        <w:t>.</w:t>
      </w:r>
    </w:p>
    <w:p w14:paraId="04164E71" w14:textId="037F0B0E" w:rsidR="0046279A" w:rsidRPr="00C27278" w:rsidRDefault="0046279A" w:rsidP="0046279A">
      <w:pPr>
        <w:pStyle w:val="Heading2"/>
      </w:pPr>
      <w:bookmarkStart w:id="49" w:name="_Toc237259541"/>
      <w:r w:rsidRPr="00C27278">
        <w:t xml:space="preserve">Progress </w:t>
      </w:r>
      <w:r>
        <w:t>between</w:t>
      </w:r>
      <w:r w:rsidRPr="00C27278">
        <w:t xml:space="preserve"> 2021</w:t>
      </w:r>
      <w:r>
        <w:t xml:space="preserve"> and 2025</w:t>
      </w:r>
      <w:bookmarkEnd w:id="49"/>
    </w:p>
    <w:p w14:paraId="3352C030" w14:textId="3F1A8511" w:rsidR="00396FC1" w:rsidRPr="00396FC1" w:rsidRDefault="00396FC1" w:rsidP="0078531C">
      <w:pPr>
        <w:pStyle w:val="BodyText"/>
      </w:pPr>
      <w:r w:rsidRPr="00396FC1">
        <w:t xml:space="preserve">The Victorian public sector </w:t>
      </w:r>
      <w:r w:rsidR="005D5A2B">
        <w:t xml:space="preserve">has </w:t>
      </w:r>
      <w:r w:rsidRPr="00396FC1">
        <w:t>improved access to promotion and development for people of all genders since 2021</w:t>
      </w:r>
      <w:r w:rsidR="005A5197">
        <w:t>. P</w:t>
      </w:r>
      <w:r w:rsidRPr="00396FC1">
        <w:t xml:space="preserve">erceptions of recruitment fairness </w:t>
      </w:r>
      <w:r w:rsidR="005D5A2B">
        <w:t xml:space="preserve">also </w:t>
      </w:r>
      <w:r w:rsidRPr="00396FC1">
        <w:t>rose across the board. These are real gains.</w:t>
      </w:r>
    </w:p>
    <w:p w14:paraId="08A3C822" w14:textId="41C8ED47" w:rsidR="00396FC1" w:rsidRPr="00396FC1" w:rsidRDefault="00396FC1" w:rsidP="0078531C">
      <w:pPr>
        <w:pStyle w:val="BodyText"/>
      </w:pPr>
      <w:r w:rsidRPr="00396FC1">
        <w:t>They are not evenly shared, however. Two findings warrant close attention: the gap in access to development opportunities widened in favour of men, and gender-diverse employees report</w:t>
      </w:r>
      <w:r w:rsidR="00320C53">
        <w:t>ed</w:t>
      </w:r>
      <w:r w:rsidRPr="00396FC1">
        <w:t xml:space="preserve"> barriers to career advancement at more than twice the rate of men</w:t>
      </w:r>
      <w:r w:rsidR="005E02FD">
        <w:t>.</w:t>
      </w:r>
      <w:r w:rsidRPr="00396FC1">
        <w:t xml:space="preserve"> </w:t>
      </w:r>
      <w:r w:rsidR="00D91B1F">
        <w:t>At</w:t>
      </w:r>
      <w:r w:rsidRPr="00396FC1">
        <w:t xml:space="preserve"> the </w:t>
      </w:r>
      <w:r w:rsidR="00D91B1F">
        <w:t>same time, the proportion of men reporting barriers reduced</w:t>
      </w:r>
      <w:r w:rsidR="00541AB2">
        <w:t>, widening the gap</w:t>
      </w:r>
      <w:r w:rsidR="00057B1A">
        <w:t xml:space="preserve"> with gender-diverse</w:t>
      </w:r>
      <w:r w:rsidR="00203FB1">
        <w:t xml:space="preserve"> </w:t>
      </w:r>
      <w:r w:rsidR="004E70A7">
        <w:t>employees</w:t>
      </w:r>
      <w:r w:rsidR="00D91B1F">
        <w:t>.</w:t>
      </w:r>
      <w:r w:rsidRPr="00396FC1">
        <w:t xml:space="preserve"> </w:t>
      </w:r>
    </w:p>
    <w:p w14:paraId="176AB6B6" w14:textId="58334A93" w:rsidR="00AE535D" w:rsidRDefault="00AE535D" w:rsidP="0078531C">
      <w:pPr>
        <w:pStyle w:val="BodyText"/>
        <w:rPr>
          <w:lang w:eastAsia="en-AU"/>
        </w:rPr>
      </w:pPr>
      <w:r w:rsidRPr="006A1DB5">
        <w:rPr>
          <w:lang w:eastAsia="en-AU"/>
        </w:rPr>
        <w:t xml:space="preserve">Key data measures are presented in Tables </w:t>
      </w:r>
      <w:r w:rsidRPr="00062527">
        <w:rPr>
          <w:lang w:eastAsia="en-AU"/>
        </w:rPr>
        <w:t>5.1 to 5.4</w:t>
      </w:r>
      <w:r w:rsidRPr="006A1DB5">
        <w:rPr>
          <w:lang w:eastAsia="en-AU"/>
        </w:rPr>
        <w:t>. Findings are discussed in further detail after the tables</w:t>
      </w:r>
      <w:r>
        <w:rPr>
          <w:lang w:eastAsia="en-AU"/>
        </w:rPr>
        <w:t>.</w:t>
      </w:r>
    </w:p>
    <w:p w14:paraId="69BFEA69" w14:textId="4A849CA8" w:rsidR="007B2EB6" w:rsidRPr="005E1B45" w:rsidRDefault="007B2EB6" w:rsidP="00B15467">
      <w:pPr>
        <w:pStyle w:val="Tablecaption"/>
        <w:rPr>
          <w:b w:val="0"/>
          <w:bCs/>
          <w:lang w:eastAsia="en-AU"/>
        </w:rPr>
      </w:pPr>
      <w:r w:rsidRPr="005E1B45">
        <w:rPr>
          <w:lang w:eastAsia="en-AU"/>
        </w:rPr>
        <w:t>Table 5.</w:t>
      </w:r>
      <w:r w:rsidR="007A1B60" w:rsidRPr="0062499A">
        <w:rPr>
          <w:lang w:eastAsia="en-AU"/>
        </w:rPr>
        <w:t>1</w:t>
      </w:r>
      <w:r w:rsidRPr="0062499A">
        <w:rPr>
          <w:lang w:eastAsia="en-AU"/>
        </w:rPr>
        <w:t xml:space="preserve">: Development and </w:t>
      </w:r>
      <w:r w:rsidR="0062499A">
        <w:rPr>
          <w:bCs/>
          <w:lang w:eastAsia="en-AU"/>
        </w:rPr>
        <w:t>p</w:t>
      </w:r>
      <w:r w:rsidRPr="0062499A">
        <w:rPr>
          <w:bCs/>
          <w:lang w:eastAsia="en-AU"/>
        </w:rPr>
        <w:t xml:space="preserve">romotion </w:t>
      </w:r>
      <w:r w:rsidR="0062499A">
        <w:rPr>
          <w:bCs/>
          <w:lang w:eastAsia="en-AU"/>
        </w:rPr>
        <w:t>t</w:t>
      </w:r>
      <w:r w:rsidRPr="0062499A">
        <w:rPr>
          <w:bCs/>
          <w:lang w:eastAsia="en-AU"/>
        </w:rPr>
        <w:t>rends</w:t>
      </w:r>
      <w:r>
        <w:rPr>
          <w:rStyle w:val="FootnoteReference"/>
          <w:b w:val="0"/>
          <w:bCs/>
          <w:lang w:eastAsia="en-AU"/>
        </w:rPr>
        <w:footnoteReference w:id="6"/>
      </w:r>
    </w:p>
    <w:tbl>
      <w:tblPr>
        <w:tblStyle w:val="CGEPStable"/>
        <w:tblW w:w="0" w:type="auto"/>
        <w:tblLook w:val="04A0" w:firstRow="1" w:lastRow="0" w:firstColumn="1" w:lastColumn="0" w:noHBand="0" w:noVBand="1"/>
      </w:tblPr>
      <w:tblGrid>
        <w:gridCol w:w="3282"/>
        <w:gridCol w:w="960"/>
        <w:gridCol w:w="960"/>
        <w:gridCol w:w="960"/>
        <w:gridCol w:w="1662"/>
        <w:gridCol w:w="1474"/>
      </w:tblGrid>
      <w:tr w:rsidR="007B2EB6" w:rsidRPr="003365E2" w14:paraId="7E2C6A8C" w14:textId="77777777" w:rsidTr="001F1DBB">
        <w:trPr>
          <w:cnfStyle w:val="100000000000" w:firstRow="1" w:lastRow="0" w:firstColumn="0" w:lastColumn="0" w:oddVBand="0" w:evenVBand="0" w:oddHBand="0" w:evenHBand="0" w:firstRowFirstColumn="0" w:firstRowLastColumn="0" w:lastRowFirstColumn="0" w:lastRowLastColumn="0"/>
        </w:trPr>
        <w:tc>
          <w:tcPr>
            <w:tcW w:w="0" w:type="auto"/>
            <w:hideMark/>
          </w:tcPr>
          <w:p w14:paraId="0290A254" w14:textId="77777777" w:rsidR="007B2EB6" w:rsidRPr="005E1B45" w:rsidRDefault="007B2EB6" w:rsidP="001F1DBB">
            <w:pPr>
              <w:pStyle w:val="Tablecolhead"/>
              <w:rPr>
                <w:lang w:eastAsia="en-AU"/>
              </w:rPr>
            </w:pPr>
            <w:r w:rsidRPr="005E1B45">
              <w:rPr>
                <w:lang w:eastAsia="en-AU"/>
              </w:rPr>
              <w:t>Measure</w:t>
            </w:r>
          </w:p>
        </w:tc>
        <w:tc>
          <w:tcPr>
            <w:tcW w:w="960" w:type="dxa"/>
            <w:hideMark/>
          </w:tcPr>
          <w:p w14:paraId="01B01E60" w14:textId="77777777" w:rsidR="007B2EB6" w:rsidRPr="005E1B45" w:rsidRDefault="007B2EB6" w:rsidP="001F1DBB">
            <w:pPr>
              <w:pStyle w:val="Tablecolhead"/>
              <w:rPr>
                <w:lang w:eastAsia="en-AU"/>
              </w:rPr>
            </w:pPr>
            <w:r w:rsidRPr="005E1B45">
              <w:rPr>
                <w:lang w:eastAsia="en-AU"/>
              </w:rPr>
              <w:t>2021</w:t>
            </w:r>
          </w:p>
        </w:tc>
        <w:tc>
          <w:tcPr>
            <w:tcW w:w="960" w:type="dxa"/>
            <w:hideMark/>
          </w:tcPr>
          <w:p w14:paraId="5C8A02A5" w14:textId="77777777" w:rsidR="007B2EB6" w:rsidRPr="005E1B45" w:rsidRDefault="007B2EB6" w:rsidP="001F1DBB">
            <w:pPr>
              <w:pStyle w:val="Tablecolhead"/>
              <w:rPr>
                <w:lang w:eastAsia="en-AU"/>
              </w:rPr>
            </w:pPr>
            <w:r w:rsidRPr="005E1B45">
              <w:rPr>
                <w:lang w:eastAsia="en-AU"/>
              </w:rPr>
              <w:t>2023</w:t>
            </w:r>
          </w:p>
        </w:tc>
        <w:tc>
          <w:tcPr>
            <w:tcW w:w="960" w:type="dxa"/>
            <w:hideMark/>
          </w:tcPr>
          <w:p w14:paraId="35946681" w14:textId="77777777" w:rsidR="007B2EB6" w:rsidRPr="005E1B45" w:rsidRDefault="007B2EB6" w:rsidP="001F1DBB">
            <w:pPr>
              <w:pStyle w:val="Tablecolhead"/>
              <w:rPr>
                <w:lang w:eastAsia="en-AU"/>
              </w:rPr>
            </w:pPr>
            <w:r w:rsidRPr="005E1B45">
              <w:rPr>
                <w:lang w:eastAsia="en-AU"/>
              </w:rPr>
              <w:t>2025</w:t>
            </w:r>
          </w:p>
        </w:tc>
        <w:tc>
          <w:tcPr>
            <w:tcW w:w="1662" w:type="dxa"/>
            <w:hideMark/>
          </w:tcPr>
          <w:p w14:paraId="192D2AA6" w14:textId="3C2E49FE" w:rsidR="007B2EB6" w:rsidRPr="005E1B45" w:rsidRDefault="007B2EB6" w:rsidP="001F1DBB">
            <w:pPr>
              <w:pStyle w:val="Tablecolhead"/>
              <w:rPr>
                <w:lang w:eastAsia="en-AU"/>
              </w:rPr>
            </w:pPr>
            <w:r>
              <w:rPr>
                <w:lang w:eastAsia="en-AU"/>
              </w:rPr>
              <w:t xml:space="preserve">Percentage </w:t>
            </w:r>
            <w:r w:rsidR="001F1DBB">
              <w:rPr>
                <w:lang w:eastAsia="en-AU"/>
              </w:rPr>
              <w:t>p</w:t>
            </w:r>
            <w:r>
              <w:rPr>
                <w:lang w:eastAsia="en-AU"/>
              </w:rPr>
              <w:t xml:space="preserve">oint </w:t>
            </w:r>
            <w:r w:rsidR="001F1DBB">
              <w:rPr>
                <w:lang w:eastAsia="en-AU"/>
              </w:rPr>
              <w:t>c</w:t>
            </w:r>
            <w:r w:rsidRPr="00AE5A1E">
              <w:rPr>
                <w:lang w:eastAsia="en-AU"/>
              </w:rPr>
              <w:t>hange</w:t>
            </w:r>
            <w:r>
              <w:rPr>
                <w:lang w:eastAsia="en-AU"/>
              </w:rPr>
              <w:t xml:space="preserve"> 2021</w:t>
            </w:r>
            <w:r w:rsidR="00BE46C0">
              <w:rPr>
                <w:lang w:eastAsia="en-AU"/>
              </w:rPr>
              <w:t>-</w:t>
            </w:r>
            <w:r>
              <w:rPr>
                <w:lang w:eastAsia="en-AU"/>
              </w:rPr>
              <w:t>2025</w:t>
            </w:r>
          </w:p>
        </w:tc>
        <w:tc>
          <w:tcPr>
            <w:tcW w:w="0" w:type="auto"/>
            <w:hideMark/>
          </w:tcPr>
          <w:p w14:paraId="74C9D63A" w14:textId="77777777" w:rsidR="007B2EB6" w:rsidRPr="005E1B45" w:rsidRDefault="007B2EB6" w:rsidP="001F1DBB">
            <w:pPr>
              <w:pStyle w:val="Tablecolhead"/>
              <w:rPr>
                <w:lang w:eastAsia="en-AU"/>
              </w:rPr>
            </w:pPr>
            <w:r>
              <w:rPr>
                <w:lang w:eastAsia="en-AU"/>
              </w:rPr>
              <w:t>Progress</w:t>
            </w:r>
          </w:p>
        </w:tc>
      </w:tr>
      <w:tr w:rsidR="007B2EB6" w:rsidRPr="003365E2" w14:paraId="1914FD0C" w14:textId="77777777" w:rsidTr="001F1DBB">
        <w:tc>
          <w:tcPr>
            <w:tcW w:w="0" w:type="auto"/>
          </w:tcPr>
          <w:p w14:paraId="09008A41" w14:textId="77777777" w:rsidR="007B2EB6" w:rsidRDefault="007B2EB6" w:rsidP="001F1DBB">
            <w:pPr>
              <w:pStyle w:val="Tabletext"/>
              <w:rPr>
                <w:lang w:eastAsia="en-AU"/>
              </w:rPr>
            </w:pPr>
            <w:r>
              <w:rPr>
                <w:lang w:eastAsia="en-AU"/>
              </w:rPr>
              <w:t>Proportion of women promoted</w:t>
            </w:r>
          </w:p>
        </w:tc>
        <w:tc>
          <w:tcPr>
            <w:tcW w:w="960" w:type="dxa"/>
          </w:tcPr>
          <w:p w14:paraId="74C489CC" w14:textId="77777777" w:rsidR="007B2EB6" w:rsidRDefault="007B2EB6" w:rsidP="001F1DBB">
            <w:pPr>
              <w:pStyle w:val="Tabletext"/>
              <w:rPr>
                <w:lang w:eastAsia="en-AU"/>
              </w:rPr>
            </w:pPr>
            <w:r>
              <w:rPr>
                <w:lang w:eastAsia="en-AU"/>
              </w:rPr>
              <w:t>2.3%</w:t>
            </w:r>
          </w:p>
        </w:tc>
        <w:tc>
          <w:tcPr>
            <w:tcW w:w="960" w:type="dxa"/>
          </w:tcPr>
          <w:p w14:paraId="32E73B11" w14:textId="77777777" w:rsidR="007B2EB6" w:rsidRDefault="007B2EB6" w:rsidP="001F1DBB">
            <w:pPr>
              <w:pStyle w:val="Tabletext"/>
              <w:rPr>
                <w:lang w:eastAsia="en-AU"/>
              </w:rPr>
            </w:pPr>
            <w:r>
              <w:rPr>
                <w:lang w:eastAsia="en-AU"/>
              </w:rPr>
              <w:t>4.0%</w:t>
            </w:r>
          </w:p>
        </w:tc>
        <w:tc>
          <w:tcPr>
            <w:tcW w:w="960" w:type="dxa"/>
          </w:tcPr>
          <w:p w14:paraId="6BD1BAA3" w14:textId="77777777" w:rsidR="007B2EB6" w:rsidRPr="003365E2" w:rsidRDefault="007B2EB6" w:rsidP="001F1DBB">
            <w:pPr>
              <w:pStyle w:val="Tabletext"/>
              <w:rPr>
                <w:lang w:eastAsia="en-AU"/>
              </w:rPr>
            </w:pPr>
            <w:r>
              <w:rPr>
                <w:lang w:eastAsia="en-AU"/>
              </w:rPr>
              <w:t>8.2%</w:t>
            </w:r>
          </w:p>
        </w:tc>
        <w:tc>
          <w:tcPr>
            <w:tcW w:w="1662" w:type="dxa"/>
          </w:tcPr>
          <w:p w14:paraId="67F1F9A5" w14:textId="77777777" w:rsidR="007B2EB6" w:rsidRPr="003365E2" w:rsidRDefault="007B2EB6" w:rsidP="001F1DBB">
            <w:pPr>
              <w:pStyle w:val="Tabletext"/>
              <w:rPr>
                <w:lang w:eastAsia="en-AU"/>
              </w:rPr>
            </w:pPr>
            <w:r>
              <w:rPr>
                <w:lang w:eastAsia="en-AU"/>
              </w:rPr>
              <w:t>+5.9pp</w:t>
            </w:r>
          </w:p>
        </w:tc>
        <w:tc>
          <w:tcPr>
            <w:tcW w:w="0" w:type="auto"/>
            <w:shd w:val="clear" w:color="auto" w:fill="BFBFBF" w:themeFill="background1" w:themeFillShade="BF"/>
          </w:tcPr>
          <w:p w14:paraId="490327A7" w14:textId="14BBB2CA" w:rsidR="007B2EB6" w:rsidRPr="003365E2" w:rsidRDefault="007B2EB6" w:rsidP="001F1DBB">
            <w:pPr>
              <w:pStyle w:val="Tabletext"/>
              <w:rPr>
                <w:lang w:eastAsia="en-AU"/>
              </w:rPr>
            </w:pPr>
            <w:r>
              <w:rPr>
                <w:lang w:eastAsia="en-AU"/>
              </w:rPr>
              <w:t>n</w:t>
            </w:r>
            <w:r>
              <w:t>/a</w:t>
            </w:r>
            <w:r w:rsidR="003D7E39">
              <w:rPr>
                <w:rStyle w:val="FootnoteReference"/>
              </w:rPr>
              <w:footnoteReference w:id="7"/>
            </w:r>
          </w:p>
        </w:tc>
      </w:tr>
      <w:tr w:rsidR="007B2EB6" w:rsidRPr="003365E2" w14:paraId="6368BEC8" w14:textId="77777777" w:rsidTr="001F1DBB">
        <w:tc>
          <w:tcPr>
            <w:tcW w:w="0" w:type="auto"/>
          </w:tcPr>
          <w:p w14:paraId="553C84DB" w14:textId="77777777" w:rsidR="007B2EB6" w:rsidRDefault="007B2EB6" w:rsidP="001F1DBB">
            <w:pPr>
              <w:pStyle w:val="Tabletext"/>
              <w:rPr>
                <w:lang w:eastAsia="en-AU"/>
              </w:rPr>
            </w:pPr>
            <w:r>
              <w:rPr>
                <w:lang w:eastAsia="en-AU"/>
              </w:rPr>
              <w:t>Proportion of men promoted</w:t>
            </w:r>
          </w:p>
        </w:tc>
        <w:tc>
          <w:tcPr>
            <w:tcW w:w="960" w:type="dxa"/>
          </w:tcPr>
          <w:p w14:paraId="0DC1BB0D" w14:textId="77777777" w:rsidR="007B2EB6" w:rsidRDefault="007B2EB6" w:rsidP="001F1DBB">
            <w:pPr>
              <w:pStyle w:val="Tabletext"/>
              <w:rPr>
                <w:lang w:eastAsia="en-AU"/>
              </w:rPr>
            </w:pPr>
            <w:r>
              <w:rPr>
                <w:lang w:eastAsia="en-AU"/>
              </w:rPr>
              <w:t>2.7%</w:t>
            </w:r>
          </w:p>
        </w:tc>
        <w:tc>
          <w:tcPr>
            <w:tcW w:w="960" w:type="dxa"/>
          </w:tcPr>
          <w:p w14:paraId="5C318E01" w14:textId="77777777" w:rsidR="007B2EB6" w:rsidRDefault="007B2EB6" w:rsidP="001F1DBB">
            <w:pPr>
              <w:pStyle w:val="Tabletext"/>
              <w:rPr>
                <w:lang w:eastAsia="en-AU"/>
              </w:rPr>
            </w:pPr>
            <w:r>
              <w:rPr>
                <w:lang w:eastAsia="en-AU"/>
              </w:rPr>
              <w:t>5.1%</w:t>
            </w:r>
          </w:p>
        </w:tc>
        <w:tc>
          <w:tcPr>
            <w:tcW w:w="960" w:type="dxa"/>
          </w:tcPr>
          <w:p w14:paraId="7421A39D" w14:textId="77777777" w:rsidR="007B2EB6" w:rsidRPr="003365E2" w:rsidRDefault="007B2EB6" w:rsidP="001F1DBB">
            <w:pPr>
              <w:pStyle w:val="Tabletext"/>
              <w:rPr>
                <w:lang w:eastAsia="en-AU"/>
              </w:rPr>
            </w:pPr>
            <w:r>
              <w:rPr>
                <w:lang w:eastAsia="en-AU"/>
              </w:rPr>
              <w:t>8.3%</w:t>
            </w:r>
          </w:p>
        </w:tc>
        <w:tc>
          <w:tcPr>
            <w:tcW w:w="1662" w:type="dxa"/>
          </w:tcPr>
          <w:p w14:paraId="498EA36A" w14:textId="77777777" w:rsidR="007B2EB6" w:rsidRPr="003365E2" w:rsidRDefault="007B2EB6" w:rsidP="001F1DBB">
            <w:pPr>
              <w:pStyle w:val="Tabletext"/>
              <w:rPr>
                <w:lang w:eastAsia="en-AU"/>
              </w:rPr>
            </w:pPr>
            <w:r>
              <w:rPr>
                <w:lang w:eastAsia="en-AU"/>
              </w:rPr>
              <w:t>+5.5pp</w:t>
            </w:r>
          </w:p>
        </w:tc>
        <w:tc>
          <w:tcPr>
            <w:tcW w:w="0" w:type="auto"/>
            <w:shd w:val="clear" w:color="auto" w:fill="BFBFBF" w:themeFill="background1" w:themeFillShade="BF"/>
          </w:tcPr>
          <w:p w14:paraId="001FEA36" w14:textId="77777777" w:rsidR="007B2EB6" w:rsidRPr="003365E2" w:rsidRDefault="007B2EB6" w:rsidP="001F1DBB">
            <w:pPr>
              <w:pStyle w:val="Tabletext"/>
              <w:rPr>
                <w:lang w:eastAsia="en-AU"/>
              </w:rPr>
            </w:pPr>
            <w:r>
              <w:rPr>
                <w:lang w:eastAsia="en-AU"/>
              </w:rPr>
              <w:t>n</w:t>
            </w:r>
            <w:r>
              <w:t>/a</w:t>
            </w:r>
          </w:p>
        </w:tc>
      </w:tr>
      <w:tr w:rsidR="007B2EB6" w:rsidRPr="003365E2" w14:paraId="3E398228" w14:textId="77777777" w:rsidTr="001F1DBB">
        <w:tc>
          <w:tcPr>
            <w:tcW w:w="0" w:type="auto"/>
            <w:hideMark/>
          </w:tcPr>
          <w:p w14:paraId="446BDC18" w14:textId="0E99D33D" w:rsidR="007B2EB6" w:rsidRPr="003365E2" w:rsidRDefault="007B2EB6" w:rsidP="001F1DBB">
            <w:pPr>
              <w:pStyle w:val="Tabletext"/>
              <w:rPr>
                <w:lang w:eastAsia="en-AU"/>
              </w:rPr>
            </w:pPr>
            <w:r>
              <w:rPr>
                <w:lang w:eastAsia="en-AU"/>
              </w:rPr>
              <w:t xml:space="preserve">Gender gap in promotions </w:t>
            </w:r>
          </w:p>
        </w:tc>
        <w:tc>
          <w:tcPr>
            <w:tcW w:w="960" w:type="dxa"/>
            <w:hideMark/>
          </w:tcPr>
          <w:p w14:paraId="78E759FC" w14:textId="48057A8F" w:rsidR="007B2EB6" w:rsidRPr="003365E2" w:rsidRDefault="007B2EB6" w:rsidP="001F1DBB">
            <w:pPr>
              <w:pStyle w:val="Tabletext"/>
              <w:rPr>
                <w:lang w:eastAsia="en-AU"/>
              </w:rPr>
            </w:pPr>
            <w:r>
              <w:rPr>
                <w:lang w:eastAsia="en-AU"/>
              </w:rPr>
              <w:t>0.4</w:t>
            </w:r>
            <w:r w:rsidR="00A86429">
              <w:rPr>
                <w:lang w:eastAsia="en-AU"/>
              </w:rPr>
              <w:t>%</w:t>
            </w:r>
          </w:p>
        </w:tc>
        <w:tc>
          <w:tcPr>
            <w:tcW w:w="960" w:type="dxa"/>
            <w:hideMark/>
          </w:tcPr>
          <w:p w14:paraId="253722E6" w14:textId="2D8FC923" w:rsidR="007B2EB6" w:rsidRPr="003365E2" w:rsidRDefault="007B2EB6" w:rsidP="001F1DBB">
            <w:pPr>
              <w:pStyle w:val="Tabletext"/>
              <w:rPr>
                <w:lang w:eastAsia="en-AU"/>
              </w:rPr>
            </w:pPr>
            <w:r>
              <w:rPr>
                <w:lang w:eastAsia="en-AU"/>
              </w:rPr>
              <w:t>1.1</w:t>
            </w:r>
            <w:r w:rsidR="00A86429">
              <w:rPr>
                <w:lang w:eastAsia="en-AU"/>
              </w:rPr>
              <w:t>%</w:t>
            </w:r>
          </w:p>
        </w:tc>
        <w:tc>
          <w:tcPr>
            <w:tcW w:w="960" w:type="dxa"/>
            <w:hideMark/>
          </w:tcPr>
          <w:p w14:paraId="4F428FE5" w14:textId="0477A34C" w:rsidR="007B2EB6" w:rsidRPr="003365E2" w:rsidRDefault="007B2EB6" w:rsidP="001F1DBB">
            <w:pPr>
              <w:pStyle w:val="Tabletext"/>
              <w:rPr>
                <w:lang w:eastAsia="en-AU"/>
              </w:rPr>
            </w:pPr>
            <w:r>
              <w:rPr>
                <w:lang w:eastAsia="en-AU"/>
              </w:rPr>
              <w:t>0.0</w:t>
            </w:r>
            <w:r w:rsidR="00A86429">
              <w:rPr>
                <w:lang w:eastAsia="en-AU"/>
              </w:rPr>
              <w:t>%</w:t>
            </w:r>
          </w:p>
        </w:tc>
        <w:tc>
          <w:tcPr>
            <w:tcW w:w="1662" w:type="dxa"/>
            <w:hideMark/>
          </w:tcPr>
          <w:p w14:paraId="479722D3" w14:textId="77777777" w:rsidR="007B2EB6" w:rsidRPr="003365E2" w:rsidRDefault="007B2EB6" w:rsidP="001F1DBB">
            <w:pPr>
              <w:pStyle w:val="Tabletext"/>
              <w:rPr>
                <w:lang w:eastAsia="en-AU"/>
              </w:rPr>
            </w:pPr>
            <w:r>
              <w:rPr>
                <w:lang w:eastAsia="en-AU"/>
              </w:rPr>
              <w:t>-0.4pp</w:t>
            </w:r>
          </w:p>
        </w:tc>
        <w:tc>
          <w:tcPr>
            <w:tcW w:w="0" w:type="auto"/>
            <w:hideMark/>
          </w:tcPr>
          <w:p w14:paraId="0C1FE24E" w14:textId="6029356A" w:rsidR="007B2EB6" w:rsidRPr="003365E2" w:rsidRDefault="007B2EB6" w:rsidP="001F1DBB">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rsidRPr="003365E2" w14:paraId="6C07DD15" w14:textId="77777777" w:rsidTr="001F1DBB">
        <w:tc>
          <w:tcPr>
            <w:tcW w:w="0" w:type="auto"/>
          </w:tcPr>
          <w:p w14:paraId="3F431EBC" w14:textId="77777777" w:rsidR="007B2EB6" w:rsidRDefault="007B2EB6" w:rsidP="001F1DBB">
            <w:pPr>
              <w:pStyle w:val="Tabletext"/>
              <w:rPr>
                <w:lang w:eastAsia="en-AU"/>
              </w:rPr>
            </w:pPr>
            <w:r>
              <w:rPr>
                <w:lang w:eastAsia="en-AU"/>
              </w:rPr>
              <w:t>Proportion of women accessing development opportunities</w:t>
            </w:r>
          </w:p>
        </w:tc>
        <w:tc>
          <w:tcPr>
            <w:tcW w:w="960" w:type="dxa"/>
            <w:shd w:val="clear" w:color="auto" w:fill="BFBFBF" w:themeFill="background1" w:themeFillShade="BF"/>
          </w:tcPr>
          <w:p w14:paraId="0CFEE2D9" w14:textId="77777777" w:rsidR="007B2EB6" w:rsidRDefault="007B2EB6" w:rsidP="001F1DBB">
            <w:pPr>
              <w:pStyle w:val="Tabletext"/>
              <w:rPr>
                <w:lang w:eastAsia="en-AU"/>
              </w:rPr>
            </w:pPr>
            <w:r>
              <w:rPr>
                <w:lang w:eastAsia="en-AU"/>
              </w:rPr>
              <w:t>n/a</w:t>
            </w:r>
          </w:p>
        </w:tc>
        <w:tc>
          <w:tcPr>
            <w:tcW w:w="960" w:type="dxa"/>
          </w:tcPr>
          <w:p w14:paraId="29515C6D" w14:textId="77777777" w:rsidR="007B2EB6" w:rsidRDefault="007B2EB6" w:rsidP="001F1DBB">
            <w:pPr>
              <w:pStyle w:val="Tabletext"/>
              <w:rPr>
                <w:lang w:eastAsia="en-AU"/>
              </w:rPr>
            </w:pPr>
            <w:r>
              <w:rPr>
                <w:lang w:eastAsia="en-AU"/>
              </w:rPr>
              <w:t>20.2%</w:t>
            </w:r>
          </w:p>
        </w:tc>
        <w:tc>
          <w:tcPr>
            <w:tcW w:w="960" w:type="dxa"/>
          </w:tcPr>
          <w:p w14:paraId="315380EA" w14:textId="77777777" w:rsidR="007B2EB6" w:rsidRPr="003365E2" w:rsidRDefault="007B2EB6" w:rsidP="001F1DBB">
            <w:pPr>
              <w:pStyle w:val="Tabletext"/>
              <w:rPr>
                <w:lang w:eastAsia="en-AU"/>
              </w:rPr>
            </w:pPr>
            <w:r>
              <w:rPr>
                <w:lang w:eastAsia="en-AU"/>
              </w:rPr>
              <w:t>27.5%</w:t>
            </w:r>
          </w:p>
        </w:tc>
        <w:tc>
          <w:tcPr>
            <w:tcW w:w="1662" w:type="dxa"/>
          </w:tcPr>
          <w:p w14:paraId="6B855723" w14:textId="77777777" w:rsidR="007B2EB6" w:rsidRPr="003365E2" w:rsidRDefault="007B2EB6" w:rsidP="001F1DBB">
            <w:pPr>
              <w:pStyle w:val="Tabletext"/>
              <w:rPr>
                <w:lang w:eastAsia="en-AU"/>
              </w:rPr>
            </w:pPr>
            <w:r>
              <w:rPr>
                <w:lang w:eastAsia="en-AU"/>
              </w:rPr>
              <w:t>+7.2pp</w:t>
            </w:r>
          </w:p>
        </w:tc>
        <w:tc>
          <w:tcPr>
            <w:tcW w:w="0" w:type="auto"/>
            <w:shd w:val="clear" w:color="auto" w:fill="BFBFBF" w:themeFill="background1" w:themeFillShade="BF"/>
          </w:tcPr>
          <w:p w14:paraId="756CDA83" w14:textId="1C99E2B1" w:rsidR="007B2EB6" w:rsidRPr="003365E2" w:rsidRDefault="007B2EB6" w:rsidP="001F1DBB">
            <w:pPr>
              <w:pStyle w:val="Tabletext"/>
              <w:rPr>
                <w:lang w:eastAsia="en-AU"/>
              </w:rPr>
            </w:pPr>
            <w:r>
              <w:rPr>
                <w:lang w:eastAsia="en-AU"/>
              </w:rPr>
              <w:t>n</w:t>
            </w:r>
            <w:r>
              <w:t>/a</w:t>
            </w:r>
          </w:p>
        </w:tc>
      </w:tr>
      <w:tr w:rsidR="007B2EB6" w:rsidRPr="003365E2" w14:paraId="2882F796" w14:textId="77777777" w:rsidTr="001F1DBB">
        <w:tc>
          <w:tcPr>
            <w:tcW w:w="0" w:type="auto"/>
          </w:tcPr>
          <w:p w14:paraId="04B95476" w14:textId="77777777" w:rsidR="007B2EB6" w:rsidRDefault="007B2EB6" w:rsidP="001F1DBB">
            <w:pPr>
              <w:pStyle w:val="Tabletext"/>
              <w:rPr>
                <w:lang w:eastAsia="en-AU"/>
              </w:rPr>
            </w:pPr>
            <w:r>
              <w:rPr>
                <w:lang w:eastAsia="en-AU"/>
              </w:rPr>
              <w:t>Proportion of men accessing development opportunities</w:t>
            </w:r>
          </w:p>
        </w:tc>
        <w:tc>
          <w:tcPr>
            <w:tcW w:w="960" w:type="dxa"/>
            <w:shd w:val="clear" w:color="auto" w:fill="BFBFBF" w:themeFill="background1" w:themeFillShade="BF"/>
          </w:tcPr>
          <w:p w14:paraId="54E9E0A6" w14:textId="77777777" w:rsidR="007B2EB6" w:rsidRDefault="007B2EB6" w:rsidP="001F1DBB">
            <w:pPr>
              <w:pStyle w:val="Tabletext"/>
              <w:rPr>
                <w:lang w:eastAsia="en-AU"/>
              </w:rPr>
            </w:pPr>
            <w:r>
              <w:rPr>
                <w:lang w:eastAsia="en-AU"/>
              </w:rPr>
              <w:t>n/a</w:t>
            </w:r>
          </w:p>
        </w:tc>
        <w:tc>
          <w:tcPr>
            <w:tcW w:w="960" w:type="dxa"/>
          </w:tcPr>
          <w:p w14:paraId="2B5C1979" w14:textId="77777777" w:rsidR="007B2EB6" w:rsidRDefault="007B2EB6" w:rsidP="001F1DBB">
            <w:pPr>
              <w:pStyle w:val="Tabletext"/>
              <w:rPr>
                <w:lang w:eastAsia="en-AU"/>
              </w:rPr>
            </w:pPr>
            <w:r>
              <w:rPr>
                <w:lang w:eastAsia="en-AU"/>
              </w:rPr>
              <w:t>26.5%</w:t>
            </w:r>
          </w:p>
        </w:tc>
        <w:tc>
          <w:tcPr>
            <w:tcW w:w="960" w:type="dxa"/>
          </w:tcPr>
          <w:p w14:paraId="0749F048" w14:textId="77777777" w:rsidR="007B2EB6" w:rsidRPr="003365E2" w:rsidRDefault="007B2EB6" w:rsidP="001F1DBB">
            <w:pPr>
              <w:pStyle w:val="Tabletext"/>
              <w:rPr>
                <w:lang w:eastAsia="en-AU"/>
              </w:rPr>
            </w:pPr>
            <w:r>
              <w:rPr>
                <w:lang w:eastAsia="en-AU"/>
              </w:rPr>
              <w:t>36.1%</w:t>
            </w:r>
          </w:p>
        </w:tc>
        <w:tc>
          <w:tcPr>
            <w:tcW w:w="1662" w:type="dxa"/>
          </w:tcPr>
          <w:p w14:paraId="3A93ABE9" w14:textId="77777777" w:rsidR="007B2EB6" w:rsidRPr="003365E2" w:rsidRDefault="007B2EB6" w:rsidP="001F1DBB">
            <w:pPr>
              <w:pStyle w:val="Tabletext"/>
              <w:rPr>
                <w:lang w:eastAsia="en-AU"/>
              </w:rPr>
            </w:pPr>
            <w:r>
              <w:rPr>
                <w:lang w:eastAsia="en-AU"/>
              </w:rPr>
              <w:t>+9.6pp</w:t>
            </w:r>
          </w:p>
        </w:tc>
        <w:tc>
          <w:tcPr>
            <w:tcW w:w="0" w:type="auto"/>
            <w:shd w:val="clear" w:color="auto" w:fill="BFBFBF" w:themeFill="background1" w:themeFillShade="BF"/>
          </w:tcPr>
          <w:p w14:paraId="4E36D47F" w14:textId="77777777" w:rsidR="007B2EB6" w:rsidRPr="003365E2" w:rsidRDefault="007B2EB6" w:rsidP="001F1DBB">
            <w:pPr>
              <w:pStyle w:val="Tabletext"/>
              <w:rPr>
                <w:lang w:eastAsia="en-AU"/>
              </w:rPr>
            </w:pPr>
            <w:r>
              <w:rPr>
                <w:lang w:eastAsia="en-AU"/>
              </w:rPr>
              <w:t>n</w:t>
            </w:r>
            <w:r>
              <w:t>/a</w:t>
            </w:r>
          </w:p>
        </w:tc>
      </w:tr>
      <w:tr w:rsidR="007B2EB6" w:rsidRPr="003365E2" w14:paraId="03553E0D" w14:textId="77777777" w:rsidTr="001F1DBB">
        <w:tc>
          <w:tcPr>
            <w:tcW w:w="0" w:type="auto"/>
          </w:tcPr>
          <w:p w14:paraId="4360FB1A" w14:textId="77777777" w:rsidR="007B2EB6" w:rsidRDefault="007B2EB6" w:rsidP="001F1DBB">
            <w:pPr>
              <w:pStyle w:val="Tabletext"/>
              <w:rPr>
                <w:lang w:eastAsia="en-AU"/>
              </w:rPr>
            </w:pPr>
            <w:r>
              <w:rPr>
                <w:lang w:eastAsia="en-AU"/>
              </w:rPr>
              <w:t>Proportion of people of self-described gender accessing development opportunities</w:t>
            </w:r>
          </w:p>
        </w:tc>
        <w:tc>
          <w:tcPr>
            <w:tcW w:w="960" w:type="dxa"/>
            <w:shd w:val="clear" w:color="auto" w:fill="BFBFBF" w:themeFill="background1" w:themeFillShade="BF"/>
          </w:tcPr>
          <w:p w14:paraId="7A8DE477" w14:textId="77777777" w:rsidR="007B2EB6" w:rsidRDefault="007B2EB6" w:rsidP="001F1DBB">
            <w:pPr>
              <w:pStyle w:val="Tabletext"/>
              <w:rPr>
                <w:lang w:eastAsia="en-AU"/>
              </w:rPr>
            </w:pPr>
            <w:r>
              <w:rPr>
                <w:lang w:eastAsia="en-AU"/>
              </w:rPr>
              <w:t>n/a</w:t>
            </w:r>
          </w:p>
        </w:tc>
        <w:tc>
          <w:tcPr>
            <w:tcW w:w="960" w:type="dxa"/>
          </w:tcPr>
          <w:p w14:paraId="3082A922" w14:textId="77777777" w:rsidR="007B2EB6" w:rsidRDefault="007B2EB6" w:rsidP="001F1DBB">
            <w:pPr>
              <w:pStyle w:val="Tabletext"/>
              <w:rPr>
                <w:lang w:eastAsia="en-AU"/>
              </w:rPr>
            </w:pPr>
            <w:r>
              <w:rPr>
                <w:lang w:eastAsia="en-AU"/>
              </w:rPr>
              <w:t>11.9%</w:t>
            </w:r>
          </w:p>
        </w:tc>
        <w:tc>
          <w:tcPr>
            <w:tcW w:w="960" w:type="dxa"/>
          </w:tcPr>
          <w:p w14:paraId="1F9F5997" w14:textId="77777777" w:rsidR="007B2EB6" w:rsidRPr="003365E2" w:rsidRDefault="007B2EB6" w:rsidP="001F1DBB">
            <w:pPr>
              <w:pStyle w:val="Tabletext"/>
              <w:rPr>
                <w:lang w:eastAsia="en-AU"/>
              </w:rPr>
            </w:pPr>
            <w:r>
              <w:rPr>
                <w:lang w:eastAsia="en-AU"/>
              </w:rPr>
              <w:t>12.6%</w:t>
            </w:r>
          </w:p>
        </w:tc>
        <w:tc>
          <w:tcPr>
            <w:tcW w:w="1662" w:type="dxa"/>
          </w:tcPr>
          <w:p w14:paraId="3F3CC056" w14:textId="0F70F472" w:rsidR="007B2EB6" w:rsidRPr="003365E2" w:rsidRDefault="007B2EB6" w:rsidP="001F1DBB">
            <w:pPr>
              <w:pStyle w:val="Tabletext"/>
              <w:rPr>
                <w:lang w:eastAsia="en-AU"/>
              </w:rPr>
            </w:pPr>
            <w:r>
              <w:rPr>
                <w:lang w:eastAsia="en-AU"/>
              </w:rPr>
              <w:t>+0.8</w:t>
            </w:r>
            <w:r w:rsidR="00AE598E">
              <w:rPr>
                <w:lang w:eastAsia="en-AU"/>
              </w:rPr>
              <w:t>pp</w:t>
            </w:r>
          </w:p>
        </w:tc>
        <w:tc>
          <w:tcPr>
            <w:tcW w:w="0" w:type="auto"/>
            <w:shd w:val="clear" w:color="auto" w:fill="BFBFBF" w:themeFill="background1" w:themeFillShade="BF"/>
          </w:tcPr>
          <w:p w14:paraId="18AB6BDA" w14:textId="77777777" w:rsidR="007B2EB6" w:rsidRPr="003365E2" w:rsidRDefault="007B2EB6" w:rsidP="001F1DBB">
            <w:pPr>
              <w:pStyle w:val="Tabletext"/>
              <w:rPr>
                <w:lang w:eastAsia="en-AU"/>
              </w:rPr>
            </w:pPr>
            <w:r>
              <w:rPr>
                <w:lang w:eastAsia="en-AU"/>
              </w:rPr>
              <w:t>n</w:t>
            </w:r>
            <w:r>
              <w:t>/a</w:t>
            </w:r>
          </w:p>
        </w:tc>
      </w:tr>
      <w:tr w:rsidR="007B2EB6" w:rsidRPr="003365E2" w14:paraId="40CAAEA7" w14:textId="77777777" w:rsidTr="001F1DBB">
        <w:tc>
          <w:tcPr>
            <w:tcW w:w="0" w:type="auto"/>
            <w:hideMark/>
          </w:tcPr>
          <w:p w14:paraId="783A2082" w14:textId="77777777" w:rsidR="007B2EB6" w:rsidRPr="003365E2" w:rsidRDefault="007B2EB6" w:rsidP="001F1DBB">
            <w:pPr>
              <w:pStyle w:val="Tabletext"/>
              <w:rPr>
                <w:lang w:eastAsia="en-AU"/>
              </w:rPr>
            </w:pPr>
            <w:r>
              <w:rPr>
                <w:lang w:eastAsia="en-AU"/>
              </w:rPr>
              <w:t>Gender gap in development opportunities</w:t>
            </w:r>
            <w:r w:rsidRPr="003365E2">
              <w:rPr>
                <w:lang w:eastAsia="en-AU"/>
              </w:rPr>
              <w:t xml:space="preserve"> </w:t>
            </w:r>
            <w:r>
              <w:rPr>
                <w:lang w:eastAsia="en-AU"/>
              </w:rPr>
              <w:t>(percentage point)</w:t>
            </w:r>
          </w:p>
        </w:tc>
        <w:tc>
          <w:tcPr>
            <w:tcW w:w="960" w:type="dxa"/>
            <w:shd w:val="clear" w:color="auto" w:fill="BFBFBF" w:themeFill="background1" w:themeFillShade="BF"/>
            <w:hideMark/>
          </w:tcPr>
          <w:p w14:paraId="68FE0660" w14:textId="77777777" w:rsidR="007B2EB6" w:rsidRPr="003365E2" w:rsidRDefault="007B2EB6" w:rsidP="001F1DBB">
            <w:pPr>
              <w:pStyle w:val="Tabletext"/>
              <w:rPr>
                <w:lang w:eastAsia="en-AU"/>
              </w:rPr>
            </w:pPr>
            <w:r>
              <w:rPr>
                <w:lang w:eastAsia="en-AU"/>
              </w:rPr>
              <w:t>n/a</w:t>
            </w:r>
          </w:p>
        </w:tc>
        <w:tc>
          <w:tcPr>
            <w:tcW w:w="960" w:type="dxa"/>
            <w:hideMark/>
          </w:tcPr>
          <w:p w14:paraId="7447780C" w14:textId="0C7B0F8F" w:rsidR="007B2EB6" w:rsidRPr="003365E2" w:rsidRDefault="007B2EB6" w:rsidP="001F1DBB">
            <w:pPr>
              <w:pStyle w:val="Tabletext"/>
              <w:rPr>
                <w:lang w:eastAsia="en-AU"/>
              </w:rPr>
            </w:pPr>
            <w:r>
              <w:rPr>
                <w:lang w:eastAsia="en-AU"/>
              </w:rPr>
              <w:t>6.3</w:t>
            </w:r>
            <w:r w:rsidR="00AE598E">
              <w:rPr>
                <w:lang w:eastAsia="en-AU"/>
              </w:rPr>
              <w:t>%</w:t>
            </w:r>
          </w:p>
        </w:tc>
        <w:tc>
          <w:tcPr>
            <w:tcW w:w="960" w:type="dxa"/>
            <w:hideMark/>
          </w:tcPr>
          <w:p w14:paraId="74D56921" w14:textId="227652E7" w:rsidR="007B2EB6" w:rsidRPr="003365E2" w:rsidRDefault="007B2EB6" w:rsidP="001F1DBB">
            <w:pPr>
              <w:pStyle w:val="Tabletext"/>
              <w:rPr>
                <w:lang w:eastAsia="en-AU"/>
              </w:rPr>
            </w:pPr>
            <w:r>
              <w:rPr>
                <w:lang w:eastAsia="en-AU"/>
              </w:rPr>
              <w:t>8.6</w:t>
            </w:r>
            <w:r w:rsidR="00AE598E">
              <w:rPr>
                <w:lang w:eastAsia="en-AU"/>
              </w:rPr>
              <w:t>%</w:t>
            </w:r>
          </w:p>
        </w:tc>
        <w:tc>
          <w:tcPr>
            <w:tcW w:w="1662" w:type="dxa"/>
            <w:hideMark/>
          </w:tcPr>
          <w:p w14:paraId="3A2F1219" w14:textId="77777777" w:rsidR="007B2EB6" w:rsidRPr="003365E2" w:rsidRDefault="007B2EB6" w:rsidP="001F1DBB">
            <w:pPr>
              <w:pStyle w:val="Tabletext"/>
              <w:rPr>
                <w:lang w:eastAsia="en-AU"/>
              </w:rPr>
            </w:pPr>
            <w:r>
              <w:rPr>
                <w:lang w:eastAsia="en-AU"/>
              </w:rPr>
              <w:t>+2.4pp</w:t>
            </w:r>
          </w:p>
        </w:tc>
        <w:tc>
          <w:tcPr>
            <w:tcW w:w="0" w:type="auto"/>
            <w:hideMark/>
          </w:tcPr>
          <w:p w14:paraId="3AD60D58" w14:textId="7A4688B7" w:rsidR="007B2EB6" w:rsidRPr="003365E2" w:rsidRDefault="007B2EB6" w:rsidP="001F1DBB">
            <w:pPr>
              <w:pStyle w:val="Tabletext"/>
              <w:rPr>
                <w:lang w:eastAsia="en-AU"/>
              </w:rPr>
            </w:pPr>
            <w:r>
              <w:rPr>
                <w:lang w:eastAsia="en-AU"/>
              </w:rPr>
              <w:t>Moderate (12</w:t>
            </w:r>
            <w:r w:rsidR="00D25757">
              <w:rPr>
                <w:rFonts w:cs="Arial"/>
                <w:szCs w:val="21"/>
                <w:lang w:eastAsia="en-AU"/>
              </w:rPr>
              <w:t xml:space="preserve"> – Matrix</w:t>
            </w:r>
            <w:r>
              <w:rPr>
                <w:lang w:eastAsia="en-AU"/>
              </w:rPr>
              <w:t>)</w:t>
            </w:r>
          </w:p>
        </w:tc>
      </w:tr>
    </w:tbl>
    <w:p w14:paraId="3A9B13A9" w14:textId="77777777" w:rsidR="007B2EB6" w:rsidRDefault="007B2EB6" w:rsidP="007B2EB6">
      <w:pPr>
        <w:pStyle w:val="Tablefigurenote"/>
      </w:pPr>
      <w:r w:rsidRPr="00136D6E">
        <w:t>Source: Workplace gender audit workforce data, 2021</w:t>
      </w:r>
      <w:r>
        <w:t>, 2023 and 2025.</w:t>
      </w:r>
    </w:p>
    <w:p w14:paraId="4FC17B19" w14:textId="523489BE" w:rsidR="007B2EB6" w:rsidRPr="00153438" w:rsidRDefault="007B2EB6" w:rsidP="007B2EB6">
      <w:pPr>
        <w:pStyle w:val="Tablefigurenote"/>
      </w:pPr>
      <w:r w:rsidRPr="00C27278">
        <w:t xml:space="preserve">Notes: To understand how to interpret the different types of progress ratings, see </w:t>
      </w:r>
      <w:hyperlink w:anchor="_Data_measures" w:history="1">
        <w:r w:rsidR="004B0BA8">
          <w:rPr>
            <w:rStyle w:val="Hyperlink"/>
            <w:rFonts w:cs="Times New Roman"/>
          </w:rPr>
          <w:t>Data measures</w:t>
        </w:r>
      </w:hyperlink>
      <w:r w:rsidR="004B0BA8">
        <w:t xml:space="preserve"> in </w:t>
      </w:r>
      <w:r w:rsidR="004B0BA8" w:rsidRPr="00A2089E">
        <w:t>Appendix 1</w:t>
      </w:r>
      <w:r w:rsidR="004B0BA8">
        <w:t>.</w:t>
      </w:r>
      <w:r w:rsidRPr="00C27278">
        <w:t xml:space="preserve"> To read more about how the Commission calculates gender gaps, see </w:t>
      </w:r>
      <w:hyperlink w:anchor="_Gender_gaps" w:history="1">
        <w:r w:rsidR="00883939" w:rsidRPr="004444B7">
          <w:rPr>
            <w:rStyle w:val="Hyperlink"/>
            <w:rFonts w:cs="Times New Roman"/>
          </w:rPr>
          <w:t>Gender gaps</w:t>
        </w:r>
      </w:hyperlink>
      <w:r w:rsidR="00883939" w:rsidRPr="004444B7">
        <w:t xml:space="preserve"> in Appendix 1</w:t>
      </w:r>
      <w:r w:rsidRPr="00883939">
        <w:t>.</w:t>
      </w:r>
      <w:r w:rsidRPr="00C27278">
        <w:t xml:space="preserve"> Gender gaps are always calculated between men and women. </w:t>
      </w:r>
      <w:r w:rsidR="00A33093" w:rsidRPr="00C27278">
        <w:t>A</w:t>
      </w:r>
      <w:r w:rsidRPr="00C27278">
        <w:t xml:space="preserve"> gap </w:t>
      </w:r>
      <w:r w:rsidR="00A33093">
        <w:rPr>
          <w:lang w:eastAsia="en-AU"/>
        </w:rPr>
        <w:t>greater than zero</w:t>
      </w:r>
      <w:r w:rsidR="00A33093" w:rsidRPr="00C27278">
        <w:t xml:space="preserve"> </w:t>
      </w:r>
      <w:r w:rsidRPr="00C27278">
        <w:t xml:space="preserve">is in favour of men, and a gap </w:t>
      </w:r>
      <w:r w:rsidR="00A33093">
        <w:t>less than zero</w:t>
      </w:r>
      <w:r w:rsidR="00A33093" w:rsidRPr="00C27278">
        <w:t xml:space="preserve"> </w:t>
      </w:r>
      <w:r w:rsidRPr="00C27278">
        <w:t>is in favour of women.</w:t>
      </w:r>
      <w:r w:rsidR="006210C1">
        <w:t xml:space="preserve"> </w:t>
      </w:r>
      <w:r w:rsidR="006210C1" w:rsidRPr="00AE1037">
        <w:t xml:space="preserve">The </w:t>
      </w:r>
      <w:r w:rsidR="006210C1">
        <w:t xml:space="preserve">percentage point </w:t>
      </w:r>
      <w:r w:rsidR="006210C1" w:rsidRPr="00AE1037">
        <w:t>change column may not always reflect the exact difference between years due to rounding</w:t>
      </w:r>
      <w:r w:rsidR="006210C1">
        <w:t>.</w:t>
      </w:r>
    </w:p>
    <w:p w14:paraId="4C9C546F" w14:textId="1C7D9DFC" w:rsidR="007B2EB6" w:rsidRPr="00325903" w:rsidRDefault="007B2EB6" w:rsidP="00153438">
      <w:pPr>
        <w:pStyle w:val="Tablecaption"/>
        <w:rPr>
          <w:lang w:eastAsia="en-AU"/>
        </w:rPr>
      </w:pPr>
      <w:r w:rsidRPr="00325903">
        <w:rPr>
          <w:lang w:eastAsia="en-AU"/>
        </w:rPr>
        <w:t>Table 5.</w:t>
      </w:r>
      <w:r w:rsidR="007A1B60" w:rsidRPr="00325903">
        <w:rPr>
          <w:lang w:eastAsia="en-AU"/>
        </w:rPr>
        <w:t>2</w:t>
      </w:r>
      <w:r w:rsidRPr="00325903">
        <w:rPr>
          <w:lang w:eastAsia="en-AU"/>
        </w:rPr>
        <w:t xml:space="preserve">: Gender </w:t>
      </w:r>
      <w:r w:rsidR="00B9644D">
        <w:rPr>
          <w:lang w:eastAsia="en-AU"/>
        </w:rPr>
        <w:t>g</w:t>
      </w:r>
      <w:r w:rsidRPr="00325903">
        <w:rPr>
          <w:lang w:eastAsia="en-AU"/>
        </w:rPr>
        <w:t xml:space="preserve">ap in </w:t>
      </w:r>
      <w:r w:rsidR="00B9644D">
        <w:rPr>
          <w:lang w:eastAsia="en-AU"/>
        </w:rPr>
        <w:t>p</w:t>
      </w:r>
      <w:r w:rsidRPr="00325903">
        <w:rPr>
          <w:lang w:eastAsia="en-AU"/>
        </w:rPr>
        <w:t>romotion</w:t>
      </w:r>
      <w:r w:rsidR="00EC3B1A" w:rsidRPr="00325903">
        <w:rPr>
          <w:lang w:eastAsia="en-AU"/>
        </w:rPr>
        <w:t>s</w:t>
      </w:r>
      <w:r w:rsidRPr="00325903">
        <w:rPr>
          <w:lang w:eastAsia="en-AU"/>
        </w:rPr>
        <w:t xml:space="preserve"> by </w:t>
      </w:r>
      <w:r w:rsidR="00B9644D">
        <w:rPr>
          <w:lang w:eastAsia="en-AU"/>
        </w:rPr>
        <w:t>i</w:t>
      </w:r>
      <w:r w:rsidRPr="00325903">
        <w:rPr>
          <w:lang w:eastAsia="en-AU"/>
        </w:rPr>
        <w:t xml:space="preserve">ndustry </w:t>
      </w:r>
    </w:p>
    <w:tbl>
      <w:tblPr>
        <w:tblStyle w:val="CGEPStable"/>
        <w:tblW w:w="9356" w:type="dxa"/>
        <w:tblLook w:val="04A0" w:firstRow="1" w:lastRow="0" w:firstColumn="1" w:lastColumn="0" w:noHBand="0" w:noVBand="1"/>
      </w:tblPr>
      <w:tblGrid>
        <w:gridCol w:w="2670"/>
        <w:gridCol w:w="1089"/>
        <w:gridCol w:w="1089"/>
        <w:gridCol w:w="1090"/>
        <w:gridCol w:w="1527"/>
        <w:gridCol w:w="1891"/>
      </w:tblGrid>
      <w:tr w:rsidR="007B2EB6" w:rsidRPr="00CF0F27" w14:paraId="72BD6993" w14:textId="77777777" w:rsidTr="00BE46C0">
        <w:trPr>
          <w:cnfStyle w:val="100000000000" w:firstRow="1" w:lastRow="0" w:firstColumn="0" w:lastColumn="0" w:oddVBand="0" w:evenVBand="0" w:oddHBand="0" w:evenHBand="0" w:firstRowFirstColumn="0" w:firstRowLastColumn="0" w:lastRowFirstColumn="0" w:lastRowLastColumn="0"/>
        </w:trPr>
        <w:tc>
          <w:tcPr>
            <w:tcW w:w="2670" w:type="dxa"/>
            <w:hideMark/>
          </w:tcPr>
          <w:p w14:paraId="246004D0" w14:textId="77777777" w:rsidR="007B2EB6" w:rsidRPr="005E1B45" w:rsidRDefault="007B2EB6" w:rsidP="00153438">
            <w:pPr>
              <w:pStyle w:val="Tablecolhead"/>
              <w:rPr>
                <w:lang w:eastAsia="en-AU"/>
              </w:rPr>
            </w:pPr>
            <w:r>
              <w:rPr>
                <w:lang w:eastAsia="en-AU"/>
              </w:rPr>
              <w:t>Industry</w:t>
            </w:r>
          </w:p>
        </w:tc>
        <w:tc>
          <w:tcPr>
            <w:tcW w:w="1089" w:type="dxa"/>
            <w:hideMark/>
          </w:tcPr>
          <w:p w14:paraId="12A554EA" w14:textId="77777777" w:rsidR="007B2EB6" w:rsidRPr="005E1B45" w:rsidRDefault="007B2EB6" w:rsidP="00153438">
            <w:pPr>
              <w:pStyle w:val="Tablecolhead"/>
              <w:rPr>
                <w:lang w:eastAsia="en-AU"/>
              </w:rPr>
            </w:pPr>
            <w:r w:rsidRPr="005E1B45">
              <w:rPr>
                <w:lang w:eastAsia="en-AU"/>
              </w:rPr>
              <w:t>2021</w:t>
            </w:r>
          </w:p>
        </w:tc>
        <w:tc>
          <w:tcPr>
            <w:tcW w:w="1089" w:type="dxa"/>
            <w:hideMark/>
          </w:tcPr>
          <w:p w14:paraId="6BB75512" w14:textId="77777777" w:rsidR="007B2EB6" w:rsidRPr="005E1B45" w:rsidRDefault="007B2EB6" w:rsidP="00153438">
            <w:pPr>
              <w:pStyle w:val="Tablecolhead"/>
              <w:rPr>
                <w:lang w:eastAsia="en-AU"/>
              </w:rPr>
            </w:pPr>
            <w:r w:rsidRPr="005E1B45">
              <w:rPr>
                <w:lang w:eastAsia="en-AU"/>
              </w:rPr>
              <w:t>2023</w:t>
            </w:r>
          </w:p>
        </w:tc>
        <w:tc>
          <w:tcPr>
            <w:tcW w:w="1090" w:type="dxa"/>
            <w:hideMark/>
          </w:tcPr>
          <w:p w14:paraId="734778FD" w14:textId="77777777" w:rsidR="007B2EB6" w:rsidRPr="005E1B45" w:rsidRDefault="007B2EB6" w:rsidP="00153438">
            <w:pPr>
              <w:pStyle w:val="Tablecolhead"/>
              <w:rPr>
                <w:lang w:eastAsia="en-AU"/>
              </w:rPr>
            </w:pPr>
            <w:r w:rsidRPr="005E1B45">
              <w:rPr>
                <w:lang w:eastAsia="en-AU"/>
              </w:rPr>
              <w:t>2025</w:t>
            </w:r>
          </w:p>
        </w:tc>
        <w:tc>
          <w:tcPr>
            <w:tcW w:w="1527" w:type="dxa"/>
            <w:hideMark/>
          </w:tcPr>
          <w:p w14:paraId="17F98004" w14:textId="7209E415" w:rsidR="007B2EB6" w:rsidRPr="005E1B45" w:rsidRDefault="007B2EB6" w:rsidP="00153438">
            <w:pPr>
              <w:pStyle w:val="Tablecolhead"/>
              <w:rPr>
                <w:lang w:eastAsia="en-AU"/>
              </w:rPr>
            </w:pPr>
            <w:r>
              <w:rPr>
                <w:lang w:eastAsia="en-AU"/>
              </w:rPr>
              <w:t xml:space="preserve">Percentage </w:t>
            </w:r>
            <w:r w:rsidR="00153438">
              <w:rPr>
                <w:lang w:eastAsia="en-AU"/>
              </w:rPr>
              <w:t>p</w:t>
            </w:r>
            <w:r>
              <w:rPr>
                <w:lang w:eastAsia="en-AU"/>
              </w:rPr>
              <w:t xml:space="preserve">oint </w:t>
            </w:r>
            <w:r w:rsidR="00153438">
              <w:rPr>
                <w:lang w:eastAsia="en-AU"/>
              </w:rPr>
              <w:t>c</w:t>
            </w:r>
            <w:r w:rsidRPr="00AE5A1E">
              <w:rPr>
                <w:lang w:eastAsia="en-AU"/>
              </w:rPr>
              <w:t>hange</w:t>
            </w:r>
            <w:r>
              <w:rPr>
                <w:lang w:eastAsia="en-AU"/>
              </w:rPr>
              <w:t xml:space="preserve"> 2021</w:t>
            </w:r>
            <w:r w:rsidR="00BE46C0">
              <w:rPr>
                <w:lang w:eastAsia="en-AU"/>
              </w:rPr>
              <w:t>-</w:t>
            </w:r>
            <w:r>
              <w:rPr>
                <w:lang w:eastAsia="en-AU"/>
              </w:rPr>
              <w:t>2025</w:t>
            </w:r>
          </w:p>
        </w:tc>
        <w:tc>
          <w:tcPr>
            <w:tcW w:w="1891" w:type="dxa"/>
            <w:hideMark/>
          </w:tcPr>
          <w:p w14:paraId="59B0E7E7" w14:textId="77777777" w:rsidR="007B2EB6" w:rsidRPr="00CF0F27" w:rsidRDefault="007B2EB6" w:rsidP="00153438">
            <w:pPr>
              <w:pStyle w:val="Tablecolhead"/>
              <w:rPr>
                <w:lang w:eastAsia="en-AU"/>
              </w:rPr>
            </w:pPr>
            <w:r w:rsidRPr="00CF0F27">
              <w:rPr>
                <w:lang w:eastAsia="en-AU"/>
              </w:rPr>
              <w:t>P</w:t>
            </w:r>
            <w:r w:rsidRPr="00CF0F27">
              <w:t>rogress</w:t>
            </w:r>
          </w:p>
        </w:tc>
      </w:tr>
      <w:tr w:rsidR="007B2EB6" w:rsidRPr="003365E2" w14:paraId="1EEBE03B" w14:textId="77777777" w:rsidTr="00BE46C0">
        <w:tc>
          <w:tcPr>
            <w:tcW w:w="2670" w:type="dxa"/>
            <w:hideMark/>
          </w:tcPr>
          <w:p w14:paraId="67881261" w14:textId="77777777" w:rsidR="007B2EB6" w:rsidRPr="003365E2" w:rsidRDefault="007B2EB6" w:rsidP="00153438">
            <w:pPr>
              <w:pStyle w:val="Tabletext"/>
              <w:rPr>
                <w:lang w:eastAsia="en-AU"/>
              </w:rPr>
            </w:pPr>
            <w:r>
              <w:rPr>
                <w:lang w:eastAsia="en-AU"/>
              </w:rPr>
              <w:t>Community and cultural services</w:t>
            </w:r>
          </w:p>
        </w:tc>
        <w:tc>
          <w:tcPr>
            <w:tcW w:w="1089" w:type="dxa"/>
            <w:hideMark/>
          </w:tcPr>
          <w:p w14:paraId="6A35F551" w14:textId="512D773E" w:rsidR="007B2EB6" w:rsidRPr="003365E2" w:rsidRDefault="007B2EB6" w:rsidP="00153438">
            <w:pPr>
              <w:pStyle w:val="Tabletext"/>
              <w:rPr>
                <w:lang w:eastAsia="en-AU"/>
              </w:rPr>
            </w:pPr>
            <w:r>
              <w:rPr>
                <w:lang w:eastAsia="en-AU"/>
              </w:rPr>
              <w:t>-1.0</w:t>
            </w:r>
            <w:r w:rsidR="00102AD9">
              <w:rPr>
                <w:lang w:eastAsia="en-AU"/>
              </w:rPr>
              <w:t>%</w:t>
            </w:r>
          </w:p>
        </w:tc>
        <w:tc>
          <w:tcPr>
            <w:tcW w:w="1089" w:type="dxa"/>
            <w:hideMark/>
          </w:tcPr>
          <w:p w14:paraId="33111BB6" w14:textId="507BB66F" w:rsidR="007B2EB6" w:rsidRPr="003365E2" w:rsidRDefault="007B2EB6" w:rsidP="00153438">
            <w:pPr>
              <w:pStyle w:val="Tabletext"/>
              <w:rPr>
                <w:lang w:eastAsia="en-AU"/>
              </w:rPr>
            </w:pPr>
            <w:r>
              <w:rPr>
                <w:lang w:eastAsia="en-AU"/>
              </w:rPr>
              <w:t>-0.2</w:t>
            </w:r>
            <w:r w:rsidR="00102AD9">
              <w:rPr>
                <w:lang w:eastAsia="en-AU"/>
              </w:rPr>
              <w:t>%</w:t>
            </w:r>
          </w:p>
        </w:tc>
        <w:tc>
          <w:tcPr>
            <w:tcW w:w="1090" w:type="dxa"/>
            <w:hideMark/>
          </w:tcPr>
          <w:p w14:paraId="3260F58D" w14:textId="253B343C" w:rsidR="007B2EB6" w:rsidRPr="003365E2" w:rsidRDefault="007B2EB6" w:rsidP="00153438">
            <w:pPr>
              <w:pStyle w:val="Tabletext"/>
              <w:rPr>
                <w:lang w:eastAsia="en-AU"/>
              </w:rPr>
            </w:pPr>
            <w:r>
              <w:rPr>
                <w:lang w:eastAsia="en-AU"/>
              </w:rPr>
              <w:t>-0.5</w:t>
            </w:r>
            <w:r w:rsidR="00102AD9">
              <w:rPr>
                <w:lang w:eastAsia="en-AU"/>
              </w:rPr>
              <w:t>%</w:t>
            </w:r>
          </w:p>
        </w:tc>
        <w:tc>
          <w:tcPr>
            <w:tcW w:w="1527" w:type="dxa"/>
            <w:hideMark/>
          </w:tcPr>
          <w:p w14:paraId="4CB8F34B" w14:textId="77777777" w:rsidR="007B2EB6" w:rsidRPr="003365E2" w:rsidRDefault="007B2EB6" w:rsidP="00153438">
            <w:pPr>
              <w:pStyle w:val="Tabletext"/>
              <w:rPr>
                <w:lang w:eastAsia="en-AU"/>
              </w:rPr>
            </w:pPr>
            <w:r>
              <w:rPr>
                <w:lang w:eastAsia="en-AU"/>
              </w:rPr>
              <w:t>+0.5pp</w:t>
            </w:r>
          </w:p>
        </w:tc>
        <w:tc>
          <w:tcPr>
            <w:tcW w:w="1891" w:type="dxa"/>
            <w:hideMark/>
          </w:tcPr>
          <w:p w14:paraId="6E5A729D" w14:textId="28EC32BB" w:rsidR="007B2EB6" w:rsidRPr="003365E2"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rsidRPr="003365E2" w14:paraId="075674DE" w14:textId="77777777" w:rsidTr="00BE46C0">
        <w:tc>
          <w:tcPr>
            <w:tcW w:w="2670" w:type="dxa"/>
          </w:tcPr>
          <w:p w14:paraId="5A060030" w14:textId="77777777" w:rsidR="007B2EB6" w:rsidRDefault="007B2EB6" w:rsidP="00153438">
            <w:pPr>
              <w:pStyle w:val="Tabletext"/>
              <w:rPr>
                <w:lang w:eastAsia="en-AU"/>
              </w:rPr>
            </w:pPr>
            <w:r>
              <w:rPr>
                <w:lang w:eastAsia="en-AU"/>
              </w:rPr>
              <w:t>Finance and insurance</w:t>
            </w:r>
          </w:p>
        </w:tc>
        <w:tc>
          <w:tcPr>
            <w:tcW w:w="1089" w:type="dxa"/>
          </w:tcPr>
          <w:p w14:paraId="33421997" w14:textId="3ED36736" w:rsidR="007B2EB6" w:rsidRPr="003365E2" w:rsidRDefault="007B2EB6" w:rsidP="00153438">
            <w:pPr>
              <w:pStyle w:val="Tabletext"/>
              <w:rPr>
                <w:lang w:eastAsia="en-AU"/>
              </w:rPr>
            </w:pPr>
            <w:r>
              <w:rPr>
                <w:lang w:eastAsia="en-AU"/>
              </w:rPr>
              <w:t>0.0</w:t>
            </w:r>
            <w:r w:rsidR="00102AD9">
              <w:rPr>
                <w:lang w:eastAsia="en-AU"/>
              </w:rPr>
              <w:t>%</w:t>
            </w:r>
          </w:p>
        </w:tc>
        <w:tc>
          <w:tcPr>
            <w:tcW w:w="1089" w:type="dxa"/>
          </w:tcPr>
          <w:p w14:paraId="09DC7BC4" w14:textId="02F9AE99" w:rsidR="007B2EB6" w:rsidRPr="003365E2" w:rsidRDefault="007B2EB6" w:rsidP="00153438">
            <w:pPr>
              <w:pStyle w:val="Tabletext"/>
              <w:rPr>
                <w:lang w:eastAsia="en-AU"/>
              </w:rPr>
            </w:pPr>
            <w:r>
              <w:rPr>
                <w:lang w:eastAsia="en-AU"/>
              </w:rPr>
              <w:t>-1.3</w:t>
            </w:r>
            <w:r w:rsidR="00102AD9">
              <w:rPr>
                <w:lang w:eastAsia="en-AU"/>
              </w:rPr>
              <w:t>%</w:t>
            </w:r>
          </w:p>
        </w:tc>
        <w:tc>
          <w:tcPr>
            <w:tcW w:w="1090" w:type="dxa"/>
          </w:tcPr>
          <w:p w14:paraId="6A84D3BC" w14:textId="6960361B" w:rsidR="007B2EB6" w:rsidRPr="003365E2" w:rsidRDefault="007B2EB6" w:rsidP="00153438">
            <w:pPr>
              <w:pStyle w:val="Tabletext"/>
              <w:rPr>
                <w:lang w:eastAsia="en-AU"/>
              </w:rPr>
            </w:pPr>
            <w:r>
              <w:rPr>
                <w:lang w:eastAsia="en-AU"/>
              </w:rPr>
              <w:t>1.1</w:t>
            </w:r>
            <w:r w:rsidR="00102AD9">
              <w:rPr>
                <w:lang w:eastAsia="en-AU"/>
              </w:rPr>
              <w:t>%</w:t>
            </w:r>
          </w:p>
        </w:tc>
        <w:tc>
          <w:tcPr>
            <w:tcW w:w="1527" w:type="dxa"/>
          </w:tcPr>
          <w:p w14:paraId="04BBC2B8" w14:textId="77777777" w:rsidR="007B2EB6" w:rsidRPr="003365E2" w:rsidRDefault="007B2EB6" w:rsidP="00153438">
            <w:pPr>
              <w:pStyle w:val="Tabletext"/>
              <w:rPr>
                <w:lang w:eastAsia="en-AU"/>
              </w:rPr>
            </w:pPr>
            <w:r>
              <w:rPr>
                <w:lang w:eastAsia="en-AU"/>
              </w:rPr>
              <w:t>+1.1pp</w:t>
            </w:r>
          </w:p>
        </w:tc>
        <w:tc>
          <w:tcPr>
            <w:tcW w:w="1891" w:type="dxa"/>
          </w:tcPr>
          <w:p w14:paraId="3229C424" w14:textId="1580F330" w:rsidR="007B2EB6" w:rsidRPr="003365E2"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rsidRPr="003365E2" w14:paraId="48502BA1" w14:textId="77777777" w:rsidTr="00BE46C0">
        <w:tc>
          <w:tcPr>
            <w:tcW w:w="2670" w:type="dxa"/>
            <w:hideMark/>
          </w:tcPr>
          <w:p w14:paraId="1ACE2FAF" w14:textId="77777777" w:rsidR="007B2EB6" w:rsidRPr="003365E2" w:rsidRDefault="007B2EB6" w:rsidP="00153438">
            <w:pPr>
              <w:pStyle w:val="Tabletext"/>
              <w:rPr>
                <w:lang w:eastAsia="en-AU"/>
              </w:rPr>
            </w:pPr>
            <w:r w:rsidRPr="00406DA3">
              <w:rPr>
                <w:lang w:eastAsia="en-AU"/>
              </w:rPr>
              <w:t>Local government</w:t>
            </w:r>
          </w:p>
        </w:tc>
        <w:tc>
          <w:tcPr>
            <w:tcW w:w="1089" w:type="dxa"/>
            <w:hideMark/>
          </w:tcPr>
          <w:p w14:paraId="7308078A" w14:textId="4AAF86E5" w:rsidR="007B2EB6" w:rsidRDefault="007B2EB6" w:rsidP="00153438">
            <w:pPr>
              <w:pStyle w:val="Tabletext"/>
              <w:rPr>
                <w:lang w:eastAsia="en-AU"/>
              </w:rPr>
            </w:pPr>
            <w:r>
              <w:rPr>
                <w:lang w:eastAsia="en-AU"/>
              </w:rPr>
              <w:t>0.0</w:t>
            </w:r>
            <w:r w:rsidR="00102AD9">
              <w:rPr>
                <w:lang w:eastAsia="en-AU"/>
              </w:rPr>
              <w:t>%</w:t>
            </w:r>
          </w:p>
          <w:p w14:paraId="16163777" w14:textId="77777777" w:rsidR="007B2EB6" w:rsidRPr="003365E2" w:rsidRDefault="007B2EB6" w:rsidP="00153438">
            <w:pPr>
              <w:pStyle w:val="Tabletext"/>
              <w:rPr>
                <w:lang w:eastAsia="en-AU"/>
              </w:rPr>
            </w:pPr>
          </w:p>
        </w:tc>
        <w:tc>
          <w:tcPr>
            <w:tcW w:w="1089" w:type="dxa"/>
            <w:hideMark/>
          </w:tcPr>
          <w:p w14:paraId="6D5A8D4B" w14:textId="0773F84A" w:rsidR="007B2EB6" w:rsidRPr="003365E2" w:rsidRDefault="007B2EB6" w:rsidP="00153438">
            <w:pPr>
              <w:pStyle w:val="Tabletext"/>
              <w:rPr>
                <w:lang w:eastAsia="en-AU"/>
              </w:rPr>
            </w:pPr>
            <w:r>
              <w:rPr>
                <w:lang w:eastAsia="en-AU"/>
              </w:rPr>
              <w:t>-0.3</w:t>
            </w:r>
            <w:r w:rsidR="00102AD9">
              <w:rPr>
                <w:lang w:eastAsia="en-AU"/>
              </w:rPr>
              <w:t>%</w:t>
            </w:r>
          </w:p>
        </w:tc>
        <w:tc>
          <w:tcPr>
            <w:tcW w:w="1090" w:type="dxa"/>
            <w:hideMark/>
          </w:tcPr>
          <w:p w14:paraId="45EB77DF" w14:textId="2A8EE6CA" w:rsidR="007B2EB6" w:rsidRPr="003365E2" w:rsidRDefault="007B2EB6" w:rsidP="00153438">
            <w:pPr>
              <w:pStyle w:val="Tabletext"/>
              <w:rPr>
                <w:lang w:eastAsia="en-AU"/>
              </w:rPr>
            </w:pPr>
            <w:r>
              <w:rPr>
                <w:lang w:eastAsia="en-AU"/>
              </w:rPr>
              <w:t>-0.3</w:t>
            </w:r>
            <w:r w:rsidR="00102AD9">
              <w:rPr>
                <w:lang w:eastAsia="en-AU"/>
              </w:rPr>
              <w:t>%</w:t>
            </w:r>
          </w:p>
        </w:tc>
        <w:tc>
          <w:tcPr>
            <w:tcW w:w="1527" w:type="dxa"/>
            <w:hideMark/>
          </w:tcPr>
          <w:p w14:paraId="75628924" w14:textId="77777777" w:rsidR="007B2EB6" w:rsidRPr="003365E2" w:rsidRDefault="007B2EB6" w:rsidP="00153438">
            <w:pPr>
              <w:pStyle w:val="Tabletext"/>
              <w:rPr>
                <w:lang w:eastAsia="en-AU"/>
              </w:rPr>
            </w:pPr>
            <w:r>
              <w:rPr>
                <w:lang w:eastAsia="en-AU"/>
              </w:rPr>
              <w:t>-0.3pp</w:t>
            </w:r>
          </w:p>
        </w:tc>
        <w:tc>
          <w:tcPr>
            <w:tcW w:w="1891" w:type="dxa"/>
            <w:hideMark/>
          </w:tcPr>
          <w:p w14:paraId="60340FD4" w14:textId="184B2049" w:rsidR="007B2EB6" w:rsidRPr="003365E2"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rsidRPr="003365E2" w14:paraId="1A08733A" w14:textId="77777777" w:rsidTr="00BE46C0">
        <w:tc>
          <w:tcPr>
            <w:tcW w:w="2670" w:type="dxa"/>
          </w:tcPr>
          <w:p w14:paraId="46A6A3BE" w14:textId="77777777" w:rsidR="007B2EB6" w:rsidRDefault="007B2EB6" w:rsidP="00153438">
            <w:pPr>
              <w:pStyle w:val="Tabletext"/>
              <w:rPr>
                <w:lang w:eastAsia="en-AU"/>
              </w:rPr>
            </w:pPr>
            <w:r>
              <w:rPr>
                <w:lang w:eastAsia="en-AU"/>
              </w:rPr>
              <w:t>Other</w:t>
            </w:r>
          </w:p>
        </w:tc>
        <w:tc>
          <w:tcPr>
            <w:tcW w:w="1089" w:type="dxa"/>
          </w:tcPr>
          <w:p w14:paraId="01E48B37" w14:textId="30452E96" w:rsidR="007B2EB6" w:rsidRDefault="007B2EB6" w:rsidP="00153438">
            <w:pPr>
              <w:pStyle w:val="Tabletext"/>
              <w:rPr>
                <w:lang w:eastAsia="en-AU"/>
              </w:rPr>
            </w:pPr>
            <w:r>
              <w:rPr>
                <w:lang w:eastAsia="en-AU"/>
              </w:rPr>
              <w:t>-0.6</w:t>
            </w:r>
            <w:r w:rsidR="00102AD9">
              <w:rPr>
                <w:lang w:eastAsia="en-AU"/>
              </w:rPr>
              <w:t>%</w:t>
            </w:r>
          </w:p>
        </w:tc>
        <w:tc>
          <w:tcPr>
            <w:tcW w:w="1089" w:type="dxa"/>
          </w:tcPr>
          <w:p w14:paraId="37BD72A1" w14:textId="1708C760" w:rsidR="007B2EB6" w:rsidRDefault="007B2EB6" w:rsidP="00153438">
            <w:pPr>
              <w:pStyle w:val="Tabletext"/>
              <w:rPr>
                <w:lang w:eastAsia="en-AU"/>
              </w:rPr>
            </w:pPr>
            <w:r>
              <w:rPr>
                <w:lang w:eastAsia="en-AU"/>
              </w:rPr>
              <w:t>-1.6</w:t>
            </w:r>
            <w:r w:rsidR="00102AD9">
              <w:rPr>
                <w:lang w:eastAsia="en-AU"/>
              </w:rPr>
              <w:t>%</w:t>
            </w:r>
          </w:p>
        </w:tc>
        <w:tc>
          <w:tcPr>
            <w:tcW w:w="1090" w:type="dxa"/>
          </w:tcPr>
          <w:p w14:paraId="79E3666D" w14:textId="609A2092" w:rsidR="007B2EB6" w:rsidRPr="003365E2" w:rsidRDefault="007B2EB6" w:rsidP="00153438">
            <w:pPr>
              <w:pStyle w:val="Tabletext"/>
              <w:rPr>
                <w:lang w:eastAsia="en-AU"/>
              </w:rPr>
            </w:pPr>
            <w:r>
              <w:rPr>
                <w:lang w:eastAsia="en-AU"/>
              </w:rPr>
              <w:t>-0.8</w:t>
            </w:r>
            <w:r w:rsidR="00102AD9">
              <w:rPr>
                <w:lang w:eastAsia="en-AU"/>
              </w:rPr>
              <w:t>%</w:t>
            </w:r>
          </w:p>
        </w:tc>
        <w:tc>
          <w:tcPr>
            <w:tcW w:w="1527" w:type="dxa"/>
          </w:tcPr>
          <w:p w14:paraId="23DD4F92" w14:textId="77777777" w:rsidR="007B2EB6" w:rsidRPr="003365E2" w:rsidRDefault="007B2EB6" w:rsidP="00153438">
            <w:pPr>
              <w:pStyle w:val="Tabletext"/>
              <w:rPr>
                <w:lang w:eastAsia="en-AU"/>
              </w:rPr>
            </w:pPr>
            <w:r>
              <w:rPr>
                <w:lang w:eastAsia="en-AU"/>
              </w:rPr>
              <w:t>-0.2pp</w:t>
            </w:r>
          </w:p>
        </w:tc>
        <w:tc>
          <w:tcPr>
            <w:tcW w:w="1891" w:type="dxa"/>
          </w:tcPr>
          <w:p w14:paraId="7C426422" w14:textId="50313817" w:rsidR="007B2EB6" w:rsidRPr="003365E2"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33940536" w14:textId="77777777" w:rsidTr="00BE46C0">
        <w:tc>
          <w:tcPr>
            <w:tcW w:w="2670" w:type="dxa"/>
          </w:tcPr>
          <w:p w14:paraId="513929BF" w14:textId="77777777" w:rsidR="007B2EB6" w:rsidRDefault="007B2EB6" w:rsidP="00153438">
            <w:pPr>
              <w:pStyle w:val="Tabletext"/>
              <w:rPr>
                <w:lang w:eastAsia="en-AU"/>
              </w:rPr>
            </w:pPr>
            <w:r w:rsidRPr="00406DA3">
              <w:rPr>
                <w:lang w:eastAsia="en-AU"/>
              </w:rPr>
              <w:t>Police and emergency services</w:t>
            </w:r>
          </w:p>
        </w:tc>
        <w:tc>
          <w:tcPr>
            <w:tcW w:w="1089" w:type="dxa"/>
          </w:tcPr>
          <w:p w14:paraId="19036EA3" w14:textId="7FDC59FD" w:rsidR="007B2EB6" w:rsidRPr="003365E2" w:rsidRDefault="007B2EB6" w:rsidP="00153438">
            <w:pPr>
              <w:pStyle w:val="Tabletext"/>
              <w:rPr>
                <w:lang w:eastAsia="en-AU"/>
              </w:rPr>
            </w:pPr>
            <w:r>
              <w:rPr>
                <w:lang w:eastAsia="en-AU"/>
              </w:rPr>
              <w:t>0.0</w:t>
            </w:r>
            <w:r w:rsidR="00102AD9">
              <w:rPr>
                <w:lang w:eastAsia="en-AU"/>
              </w:rPr>
              <w:t>%</w:t>
            </w:r>
          </w:p>
        </w:tc>
        <w:tc>
          <w:tcPr>
            <w:tcW w:w="1089" w:type="dxa"/>
          </w:tcPr>
          <w:p w14:paraId="33B82C6C" w14:textId="0764A60E" w:rsidR="007B2EB6" w:rsidRPr="003365E2" w:rsidRDefault="007B2EB6" w:rsidP="00153438">
            <w:pPr>
              <w:pStyle w:val="Tabletext"/>
              <w:rPr>
                <w:lang w:eastAsia="en-AU"/>
              </w:rPr>
            </w:pPr>
            <w:r>
              <w:rPr>
                <w:lang w:eastAsia="en-AU"/>
              </w:rPr>
              <w:t>0.6</w:t>
            </w:r>
            <w:r w:rsidR="00102AD9">
              <w:rPr>
                <w:lang w:eastAsia="en-AU"/>
              </w:rPr>
              <w:t>%</w:t>
            </w:r>
          </w:p>
        </w:tc>
        <w:tc>
          <w:tcPr>
            <w:tcW w:w="1090" w:type="dxa"/>
          </w:tcPr>
          <w:p w14:paraId="3B8CF078" w14:textId="260781FE" w:rsidR="007B2EB6" w:rsidRPr="003365E2" w:rsidRDefault="007B2EB6" w:rsidP="00153438">
            <w:pPr>
              <w:pStyle w:val="Tabletext"/>
              <w:rPr>
                <w:lang w:eastAsia="en-AU"/>
              </w:rPr>
            </w:pPr>
            <w:r>
              <w:rPr>
                <w:lang w:eastAsia="en-AU"/>
              </w:rPr>
              <w:t>2.6</w:t>
            </w:r>
            <w:r w:rsidR="00102AD9">
              <w:rPr>
                <w:lang w:eastAsia="en-AU"/>
              </w:rPr>
              <w:t>%</w:t>
            </w:r>
          </w:p>
        </w:tc>
        <w:tc>
          <w:tcPr>
            <w:tcW w:w="1527" w:type="dxa"/>
          </w:tcPr>
          <w:p w14:paraId="28F1FF24" w14:textId="77777777" w:rsidR="007B2EB6" w:rsidRPr="003365E2" w:rsidRDefault="007B2EB6" w:rsidP="00153438">
            <w:pPr>
              <w:pStyle w:val="Tabletext"/>
              <w:rPr>
                <w:lang w:eastAsia="en-AU"/>
              </w:rPr>
            </w:pPr>
            <w:r>
              <w:rPr>
                <w:lang w:eastAsia="en-AU"/>
              </w:rPr>
              <w:t>+2.6pp</w:t>
            </w:r>
          </w:p>
        </w:tc>
        <w:tc>
          <w:tcPr>
            <w:tcW w:w="1891" w:type="dxa"/>
          </w:tcPr>
          <w:p w14:paraId="66D5CFDB" w14:textId="42C85D31"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216ACBF1" w14:textId="77777777" w:rsidTr="00BE46C0">
        <w:tc>
          <w:tcPr>
            <w:tcW w:w="2670" w:type="dxa"/>
          </w:tcPr>
          <w:p w14:paraId="5098BDBC" w14:textId="77777777" w:rsidR="007B2EB6" w:rsidRPr="00406DA3" w:rsidRDefault="007B2EB6" w:rsidP="00153438">
            <w:pPr>
              <w:pStyle w:val="Tabletext"/>
              <w:rPr>
                <w:lang w:eastAsia="en-AU"/>
              </w:rPr>
            </w:pPr>
            <w:r w:rsidRPr="00406DA3">
              <w:rPr>
                <w:lang w:eastAsia="en-AU"/>
              </w:rPr>
              <w:t>Public health care</w:t>
            </w:r>
          </w:p>
        </w:tc>
        <w:tc>
          <w:tcPr>
            <w:tcW w:w="1089" w:type="dxa"/>
          </w:tcPr>
          <w:p w14:paraId="0EB3BC54" w14:textId="0308F876" w:rsidR="007B2EB6" w:rsidRPr="003365E2" w:rsidRDefault="007B2EB6" w:rsidP="00153438">
            <w:pPr>
              <w:pStyle w:val="Tabletext"/>
              <w:rPr>
                <w:lang w:eastAsia="en-AU"/>
              </w:rPr>
            </w:pPr>
            <w:r>
              <w:rPr>
                <w:lang w:eastAsia="en-AU"/>
              </w:rPr>
              <w:t>-0.6</w:t>
            </w:r>
            <w:r w:rsidR="00102AD9">
              <w:rPr>
                <w:lang w:eastAsia="en-AU"/>
              </w:rPr>
              <w:t>%</w:t>
            </w:r>
          </w:p>
        </w:tc>
        <w:tc>
          <w:tcPr>
            <w:tcW w:w="1089" w:type="dxa"/>
          </w:tcPr>
          <w:p w14:paraId="204C8CA1" w14:textId="3BE346E5" w:rsidR="007B2EB6" w:rsidRPr="003365E2" w:rsidRDefault="007B2EB6" w:rsidP="00102AD9">
            <w:pPr>
              <w:pStyle w:val="Tabletext"/>
              <w:spacing w:line="360" w:lineRule="auto"/>
              <w:rPr>
                <w:lang w:eastAsia="en-AU"/>
              </w:rPr>
            </w:pPr>
            <w:r>
              <w:rPr>
                <w:lang w:eastAsia="en-AU"/>
              </w:rPr>
              <w:t>-0.2</w:t>
            </w:r>
            <w:r w:rsidR="00102AD9">
              <w:rPr>
                <w:lang w:eastAsia="en-AU"/>
              </w:rPr>
              <w:t>%</w:t>
            </w:r>
          </w:p>
        </w:tc>
        <w:tc>
          <w:tcPr>
            <w:tcW w:w="1090" w:type="dxa"/>
          </w:tcPr>
          <w:p w14:paraId="33BBB31D" w14:textId="2C5CE406" w:rsidR="007B2EB6" w:rsidRPr="003365E2" w:rsidRDefault="007B2EB6" w:rsidP="00153438">
            <w:pPr>
              <w:pStyle w:val="Tabletext"/>
              <w:rPr>
                <w:lang w:eastAsia="en-AU"/>
              </w:rPr>
            </w:pPr>
            <w:r>
              <w:rPr>
                <w:lang w:eastAsia="en-AU"/>
              </w:rPr>
              <w:t>-0.1</w:t>
            </w:r>
            <w:r w:rsidR="00102AD9">
              <w:rPr>
                <w:lang w:eastAsia="en-AU"/>
              </w:rPr>
              <w:t>%</w:t>
            </w:r>
          </w:p>
        </w:tc>
        <w:tc>
          <w:tcPr>
            <w:tcW w:w="1527" w:type="dxa"/>
          </w:tcPr>
          <w:p w14:paraId="42D322F9" w14:textId="77777777" w:rsidR="007B2EB6" w:rsidRPr="003365E2" w:rsidRDefault="007B2EB6" w:rsidP="00153438">
            <w:pPr>
              <w:pStyle w:val="Tabletext"/>
              <w:rPr>
                <w:lang w:eastAsia="en-AU"/>
              </w:rPr>
            </w:pPr>
            <w:r>
              <w:rPr>
                <w:lang w:eastAsia="en-AU"/>
              </w:rPr>
              <w:t>+0.6pp</w:t>
            </w:r>
          </w:p>
        </w:tc>
        <w:tc>
          <w:tcPr>
            <w:tcW w:w="1891" w:type="dxa"/>
          </w:tcPr>
          <w:p w14:paraId="38F17037" w14:textId="765AA064"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36BA8667" w14:textId="77777777" w:rsidTr="00BE46C0">
        <w:tc>
          <w:tcPr>
            <w:tcW w:w="2670" w:type="dxa"/>
          </w:tcPr>
          <w:p w14:paraId="191EADDA" w14:textId="77777777" w:rsidR="007B2EB6" w:rsidRPr="00406DA3" w:rsidRDefault="007B2EB6" w:rsidP="00153438">
            <w:pPr>
              <w:pStyle w:val="Tabletext"/>
              <w:rPr>
                <w:lang w:eastAsia="en-AU"/>
              </w:rPr>
            </w:pPr>
            <w:r w:rsidRPr="00406DA3">
              <w:rPr>
                <w:lang w:eastAsia="en-AU"/>
              </w:rPr>
              <w:t>TAFE and other education</w:t>
            </w:r>
          </w:p>
        </w:tc>
        <w:tc>
          <w:tcPr>
            <w:tcW w:w="1089" w:type="dxa"/>
          </w:tcPr>
          <w:p w14:paraId="49003ABE" w14:textId="02BDDD88" w:rsidR="007B2EB6" w:rsidRPr="003365E2" w:rsidRDefault="007B2EB6" w:rsidP="00153438">
            <w:pPr>
              <w:pStyle w:val="Tabletext"/>
              <w:rPr>
                <w:lang w:eastAsia="en-AU"/>
              </w:rPr>
            </w:pPr>
            <w:r>
              <w:rPr>
                <w:lang w:eastAsia="en-AU"/>
              </w:rPr>
              <w:t>-0.5</w:t>
            </w:r>
            <w:r w:rsidR="00102AD9">
              <w:rPr>
                <w:lang w:eastAsia="en-AU"/>
              </w:rPr>
              <w:t>%</w:t>
            </w:r>
          </w:p>
        </w:tc>
        <w:tc>
          <w:tcPr>
            <w:tcW w:w="1089" w:type="dxa"/>
          </w:tcPr>
          <w:p w14:paraId="28DA6DDB" w14:textId="053B041A" w:rsidR="007B2EB6" w:rsidRPr="003365E2" w:rsidRDefault="007B2EB6" w:rsidP="00153438">
            <w:pPr>
              <w:pStyle w:val="Tabletext"/>
              <w:rPr>
                <w:lang w:eastAsia="en-AU"/>
              </w:rPr>
            </w:pPr>
            <w:r>
              <w:rPr>
                <w:lang w:eastAsia="en-AU"/>
              </w:rPr>
              <w:t>-2.2</w:t>
            </w:r>
            <w:r w:rsidR="00102AD9">
              <w:rPr>
                <w:lang w:eastAsia="en-AU"/>
              </w:rPr>
              <w:t>%</w:t>
            </w:r>
          </w:p>
        </w:tc>
        <w:tc>
          <w:tcPr>
            <w:tcW w:w="1090" w:type="dxa"/>
          </w:tcPr>
          <w:p w14:paraId="5EB53470" w14:textId="7E175DC3" w:rsidR="007B2EB6" w:rsidRPr="003365E2" w:rsidRDefault="007B2EB6" w:rsidP="00153438">
            <w:pPr>
              <w:pStyle w:val="Tabletext"/>
              <w:rPr>
                <w:lang w:eastAsia="en-AU"/>
              </w:rPr>
            </w:pPr>
            <w:r>
              <w:rPr>
                <w:lang w:eastAsia="en-AU"/>
              </w:rPr>
              <w:t>-1.2</w:t>
            </w:r>
            <w:r w:rsidR="00102AD9">
              <w:rPr>
                <w:lang w:eastAsia="en-AU"/>
              </w:rPr>
              <w:t>%</w:t>
            </w:r>
          </w:p>
        </w:tc>
        <w:tc>
          <w:tcPr>
            <w:tcW w:w="1527" w:type="dxa"/>
          </w:tcPr>
          <w:p w14:paraId="68A98A45" w14:textId="77777777" w:rsidR="007B2EB6" w:rsidRPr="003365E2" w:rsidRDefault="007B2EB6" w:rsidP="00153438">
            <w:pPr>
              <w:pStyle w:val="Tabletext"/>
              <w:rPr>
                <w:lang w:eastAsia="en-AU"/>
              </w:rPr>
            </w:pPr>
            <w:r>
              <w:rPr>
                <w:lang w:eastAsia="en-AU"/>
              </w:rPr>
              <w:t>-0.7pp</w:t>
            </w:r>
          </w:p>
        </w:tc>
        <w:tc>
          <w:tcPr>
            <w:tcW w:w="1891" w:type="dxa"/>
          </w:tcPr>
          <w:p w14:paraId="4B2A7440" w14:textId="3F715358"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2DC01C5E" w14:textId="77777777" w:rsidTr="00BE46C0">
        <w:tc>
          <w:tcPr>
            <w:tcW w:w="2670" w:type="dxa"/>
          </w:tcPr>
          <w:p w14:paraId="2CC2FE60" w14:textId="77777777" w:rsidR="007B2EB6" w:rsidRPr="00406DA3" w:rsidRDefault="007B2EB6" w:rsidP="00153438">
            <w:pPr>
              <w:pStyle w:val="Tabletext"/>
              <w:rPr>
                <w:lang w:eastAsia="en-AU"/>
              </w:rPr>
            </w:pPr>
            <w:r>
              <w:rPr>
                <w:lang w:eastAsia="en-AU"/>
              </w:rPr>
              <w:t>Transport</w:t>
            </w:r>
          </w:p>
        </w:tc>
        <w:tc>
          <w:tcPr>
            <w:tcW w:w="1089" w:type="dxa"/>
          </w:tcPr>
          <w:p w14:paraId="4FA5845D" w14:textId="16A80E4F" w:rsidR="007B2EB6" w:rsidRPr="003365E2" w:rsidRDefault="007B2EB6" w:rsidP="00153438">
            <w:pPr>
              <w:pStyle w:val="Tabletext"/>
              <w:rPr>
                <w:lang w:eastAsia="en-AU"/>
              </w:rPr>
            </w:pPr>
            <w:r>
              <w:rPr>
                <w:lang w:eastAsia="en-AU"/>
              </w:rPr>
              <w:t>-2.1</w:t>
            </w:r>
            <w:r w:rsidR="00102AD9">
              <w:rPr>
                <w:lang w:eastAsia="en-AU"/>
              </w:rPr>
              <w:t>%</w:t>
            </w:r>
          </w:p>
        </w:tc>
        <w:tc>
          <w:tcPr>
            <w:tcW w:w="1089" w:type="dxa"/>
          </w:tcPr>
          <w:p w14:paraId="1BD3B54F" w14:textId="4FAE92EC" w:rsidR="007B2EB6" w:rsidRPr="003365E2" w:rsidRDefault="007B2EB6" w:rsidP="00153438">
            <w:pPr>
              <w:pStyle w:val="Tabletext"/>
              <w:rPr>
                <w:lang w:eastAsia="en-AU"/>
              </w:rPr>
            </w:pPr>
            <w:r>
              <w:rPr>
                <w:lang w:eastAsia="en-AU"/>
              </w:rPr>
              <w:t>-1.3</w:t>
            </w:r>
            <w:r w:rsidR="00102AD9">
              <w:rPr>
                <w:lang w:eastAsia="en-AU"/>
              </w:rPr>
              <w:t>%</w:t>
            </w:r>
          </w:p>
        </w:tc>
        <w:tc>
          <w:tcPr>
            <w:tcW w:w="1090" w:type="dxa"/>
          </w:tcPr>
          <w:p w14:paraId="23DF6327" w14:textId="601311B9" w:rsidR="007B2EB6" w:rsidRPr="003365E2" w:rsidRDefault="007B2EB6" w:rsidP="00153438">
            <w:pPr>
              <w:pStyle w:val="Tabletext"/>
              <w:rPr>
                <w:lang w:eastAsia="en-AU"/>
              </w:rPr>
            </w:pPr>
            <w:r>
              <w:rPr>
                <w:lang w:eastAsia="en-AU"/>
              </w:rPr>
              <w:t>-2.8</w:t>
            </w:r>
            <w:r w:rsidR="00102AD9">
              <w:rPr>
                <w:lang w:eastAsia="en-AU"/>
              </w:rPr>
              <w:t>%</w:t>
            </w:r>
          </w:p>
        </w:tc>
        <w:tc>
          <w:tcPr>
            <w:tcW w:w="1527" w:type="dxa"/>
          </w:tcPr>
          <w:p w14:paraId="4BEBA5A3" w14:textId="77777777" w:rsidR="007B2EB6" w:rsidRPr="003365E2" w:rsidRDefault="007B2EB6" w:rsidP="00153438">
            <w:pPr>
              <w:pStyle w:val="Tabletext"/>
              <w:rPr>
                <w:lang w:eastAsia="en-AU"/>
              </w:rPr>
            </w:pPr>
            <w:r>
              <w:rPr>
                <w:lang w:eastAsia="en-AU"/>
              </w:rPr>
              <w:t>-0.6pp</w:t>
            </w:r>
          </w:p>
        </w:tc>
        <w:tc>
          <w:tcPr>
            <w:tcW w:w="1891" w:type="dxa"/>
          </w:tcPr>
          <w:p w14:paraId="2A3E2938" w14:textId="4E089C41"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557C1968" w14:textId="77777777" w:rsidTr="00BE46C0">
        <w:tc>
          <w:tcPr>
            <w:tcW w:w="2670" w:type="dxa"/>
          </w:tcPr>
          <w:p w14:paraId="3E0CFF84" w14:textId="77777777" w:rsidR="007B2EB6" w:rsidRDefault="007B2EB6" w:rsidP="00153438">
            <w:pPr>
              <w:pStyle w:val="Tabletext"/>
              <w:rPr>
                <w:lang w:eastAsia="en-AU"/>
              </w:rPr>
            </w:pPr>
            <w:r w:rsidRPr="00406DA3">
              <w:rPr>
                <w:lang w:eastAsia="en-AU"/>
              </w:rPr>
              <w:t>Universities</w:t>
            </w:r>
          </w:p>
        </w:tc>
        <w:tc>
          <w:tcPr>
            <w:tcW w:w="1089" w:type="dxa"/>
          </w:tcPr>
          <w:p w14:paraId="13B33BBB" w14:textId="69C201FA" w:rsidR="007B2EB6" w:rsidRPr="003365E2" w:rsidRDefault="007B2EB6" w:rsidP="00153438">
            <w:pPr>
              <w:pStyle w:val="Tabletext"/>
              <w:rPr>
                <w:lang w:eastAsia="en-AU"/>
              </w:rPr>
            </w:pPr>
            <w:r>
              <w:rPr>
                <w:lang w:eastAsia="en-AU"/>
              </w:rPr>
              <w:t>-0.3</w:t>
            </w:r>
            <w:r w:rsidR="00102AD9">
              <w:rPr>
                <w:lang w:eastAsia="en-AU"/>
              </w:rPr>
              <w:t>%</w:t>
            </w:r>
          </w:p>
        </w:tc>
        <w:tc>
          <w:tcPr>
            <w:tcW w:w="1089" w:type="dxa"/>
          </w:tcPr>
          <w:p w14:paraId="5E072111" w14:textId="092C6176" w:rsidR="007B2EB6" w:rsidRPr="003365E2" w:rsidRDefault="007B2EB6" w:rsidP="00153438">
            <w:pPr>
              <w:pStyle w:val="Tabletext"/>
              <w:rPr>
                <w:lang w:eastAsia="en-AU"/>
              </w:rPr>
            </w:pPr>
            <w:r>
              <w:rPr>
                <w:lang w:eastAsia="en-AU"/>
              </w:rPr>
              <w:t>-0.1</w:t>
            </w:r>
            <w:r w:rsidR="00102AD9">
              <w:rPr>
                <w:lang w:eastAsia="en-AU"/>
              </w:rPr>
              <w:t>%</w:t>
            </w:r>
          </w:p>
        </w:tc>
        <w:tc>
          <w:tcPr>
            <w:tcW w:w="1090" w:type="dxa"/>
          </w:tcPr>
          <w:p w14:paraId="528C627D" w14:textId="31B2EC0E" w:rsidR="007B2EB6" w:rsidRPr="003365E2" w:rsidRDefault="007B2EB6" w:rsidP="00153438">
            <w:pPr>
              <w:pStyle w:val="Tabletext"/>
              <w:rPr>
                <w:lang w:eastAsia="en-AU"/>
              </w:rPr>
            </w:pPr>
            <w:r>
              <w:rPr>
                <w:lang w:eastAsia="en-AU"/>
              </w:rPr>
              <w:t>-0.3</w:t>
            </w:r>
            <w:r w:rsidR="00102AD9">
              <w:rPr>
                <w:lang w:eastAsia="en-AU"/>
              </w:rPr>
              <w:t>%</w:t>
            </w:r>
          </w:p>
        </w:tc>
        <w:tc>
          <w:tcPr>
            <w:tcW w:w="1527" w:type="dxa"/>
          </w:tcPr>
          <w:p w14:paraId="6EAB4307" w14:textId="77777777" w:rsidR="007B2EB6" w:rsidRPr="003365E2" w:rsidRDefault="007B2EB6" w:rsidP="00153438">
            <w:pPr>
              <w:pStyle w:val="Tabletext"/>
              <w:rPr>
                <w:lang w:eastAsia="en-AU"/>
              </w:rPr>
            </w:pPr>
            <w:r>
              <w:rPr>
                <w:lang w:eastAsia="en-AU"/>
              </w:rPr>
              <w:t>0.0pp</w:t>
            </w:r>
          </w:p>
        </w:tc>
        <w:tc>
          <w:tcPr>
            <w:tcW w:w="1891" w:type="dxa"/>
          </w:tcPr>
          <w:p w14:paraId="3B3759C8" w14:textId="734589CB"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244C9E48" w14:textId="77777777" w:rsidTr="00BE46C0">
        <w:tc>
          <w:tcPr>
            <w:tcW w:w="2670" w:type="dxa"/>
          </w:tcPr>
          <w:p w14:paraId="14E79D20" w14:textId="7172C14F" w:rsidR="007B2EB6" w:rsidRPr="00406DA3" w:rsidRDefault="007B2EB6" w:rsidP="00153438">
            <w:pPr>
              <w:pStyle w:val="Tabletext"/>
              <w:rPr>
                <w:lang w:eastAsia="en-AU"/>
              </w:rPr>
            </w:pPr>
            <w:r w:rsidRPr="00406DA3">
              <w:rPr>
                <w:lang w:eastAsia="en-AU"/>
              </w:rPr>
              <w:t xml:space="preserve">Victorian </w:t>
            </w:r>
            <w:r w:rsidR="006276DF">
              <w:rPr>
                <w:lang w:eastAsia="en-AU"/>
              </w:rPr>
              <w:t>P</w:t>
            </w:r>
            <w:r w:rsidRPr="00406DA3">
              <w:rPr>
                <w:lang w:eastAsia="en-AU"/>
              </w:rPr>
              <w:t xml:space="preserve">ublic </w:t>
            </w:r>
            <w:r w:rsidR="006276DF">
              <w:rPr>
                <w:lang w:eastAsia="en-AU"/>
              </w:rPr>
              <w:t>S</w:t>
            </w:r>
            <w:r w:rsidRPr="00406DA3">
              <w:rPr>
                <w:lang w:eastAsia="en-AU"/>
              </w:rPr>
              <w:t>ervice</w:t>
            </w:r>
          </w:p>
        </w:tc>
        <w:tc>
          <w:tcPr>
            <w:tcW w:w="1089" w:type="dxa"/>
          </w:tcPr>
          <w:p w14:paraId="14838F26" w14:textId="7BA70CA9" w:rsidR="007B2EB6" w:rsidRPr="003365E2" w:rsidRDefault="007B2EB6" w:rsidP="00153438">
            <w:pPr>
              <w:pStyle w:val="Tabletext"/>
              <w:rPr>
                <w:lang w:eastAsia="en-AU"/>
              </w:rPr>
            </w:pPr>
            <w:r>
              <w:rPr>
                <w:lang w:eastAsia="en-AU"/>
              </w:rPr>
              <w:t>0.0</w:t>
            </w:r>
            <w:r w:rsidR="00102AD9">
              <w:rPr>
                <w:lang w:eastAsia="en-AU"/>
              </w:rPr>
              <w:t>%</w:t>
            </w:r>
          </w:p>
        </w:tc>
        <w:tc>
          <w:tcPr>
            <w:tcW w:w="1089" w:type="dxa"/>
          </w:tcPr>
          <w:p w14:paraId="161752F7" w14:textId="16547344" w:rsidR="007B2EB6" w:rsidRPr="003365E2" w:rsidRDefault="007B2EB6" w:rsidP="00153438">
            <w:pPr>
              <w:pStyle w:val="Tabletext"/>
              <w:rPr>
                <w:lang w:eastAsia="en-AU"/>
              </w:rPr>
            </w:pPr>
            <w:r>
              <w:rPr>
                <w:lang w:eastAsia="en-AU"/>
              </w:rPr>
              <w:t>1.3</w:t>
            </w:r>
            <w:r w:rsidR="00102AD9">
              <w:rPr>
                <w:lang w:eastAsia="en-AU"/>
              </w:rPr>
              <w:t>%</w:t>
            </w:r>
          </w:p>
        </w:tc>
        <w:tc>
          <w:tcPr>
            <w:tcW w:w="1090" w:type="dxa"/>
          </w:tcPr>
          <w:p w14:paraId="17D67D03" w14:textId="42A571DF" w:rsidR="007B2EB6" w:rsidRPr="003365E2" w:rsidRDefault="007B2EB6" w:rsidP="00153438">
            <w:pPr>
              <w:pStyle w:val="Tabletext"/>
              <w:rPr>
                <w:lang w:eastAsia="en-AU"/>
              </w:rPr>
            </w:pPr>
            <w:r>
              <w:rPr>
                <w:lang w:eastAsia="en-AU"/>
              </w:rPr>
              <w:t>-0.3</w:t>
            </w:r>
            <w:r w:rsidR="00102AD9">
              <w:rPr>
                <w:lang w:eastAsia="en-AU"/>
              </w:rPr>
              <w:t>%</w:t>
            </w:r>
          </w:p>
        </w:tc>
        <w:tc>
          <w:tcPr>
            <w:tcW w:w="1527" w:type="dxa"/>
          </w:tcPr>
          <w:p w14:paraId="1A86A72C" w14:textId="77777777" w:rsidR="007B2EB6" w:rsidRPr="003365E2" w:rsidRDefault="007B2EB6" w:rsidP="00153438">
            <w:pPr>
              <w:pStyle w:val="Tabletext"/>
              <w:rPr>
                <w:lang w:eastAsia="en-AU"/>
              </w:rPr>
            </w:pPr>
            <w:r>
              <w:rPr>
                <w:lang w:eastAsia="en-AU"/>
              </w:rPr>
              <w:t>-0.3pp</w:t>
            </w:r>
          </w:p>
        </w:tc>
        <w:tc>
          <w:tcPr>
            <w:tcW w:w="1891" w:type="dxa"/>
          </w:tcPr>
          <w:p w14:paraId="3AC7F69C" w14:textId="083CD9FF"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r w:rsidR="007B2EB6" w14:paraId="47802061" w14:textId="77777777" w:rsidTr="00BE46C0">
        <w:tc>
          <w:tcPr>
            <w:tcW w:w="2670" w:type="dxa"/>
          </w:tcPr>
          <w:p w14:paraId="2A61014E" w14:textId="77777777" w:rsidR="007B2EB6" w:rsidRPr="00406DA3" w:rsidRDefault="007B2EB6" w:rsidP="00153438">
            <w:pPr>
              <w:pStyle w:val="Tabletext"/>
              <w:rPr>
                <w:lang w:eastAsia="en-AU"/>
              </w:rPr>
            </w:pPr>
            <w:r w:rsidRPr="00406DA3">
              <w:rPr>
                <w:lang w:eastAsia="en-AU"/>
              </w:rPr>
              <w:t>Water and land management</w:t>
            </w:r>
          </w:p>
        </w:tc>
        <w:tc>
          <w:tcPr>
            <w:tcW w:w="1089" w:type="dxa"/>
          </w:tcPr>
          <w:p w14:paraId="667BDC4F" w14:textId="06215570" w:rsidR="007B2EB6" w:rsidRPr="003365E2" w:rsidRDefault="007B2EB6" w:rsidP="00153438">
            <w:pPr>
              <w:pStyle w:val="Tabletext"/>
              <w:rPr>
                <w:lang w:eastAsia="en-AU"/>
              </w:rPr>
            </w:pPr>
            <w:r>
              <w:rPr>
                <w:lang w:eastAsia="en-AU"/>
              </w:rPr>
              <w:t>-0.7</w:t>
            </w:r>
            <w:r w:rsidR="00102AD9">
              <w:rPr>
                <w:lang w:eastAsia="en-AU"/>
              </w:rPr>
              <w:t>%</w:t>
            </w:r>
          </w:p>
        </w:tc>
        <w:tc>
          <w:tcPr>
            <w:tcW w:w="1089" w:type="dxa"/>
          </w:tcPr>
          <w:p w14:paraId="38BFADC6" w14:textId="2AAB169D" w:rsidR="007B2EB6" w:rsidRPr="003365E2" w:rsidRDefault="007B2EB6" w:rsidP="00153438">
            <w:pPr>
              <w:pStyle w:val="Tabletext"/>
              <w:rPr>
                <w:lang w:eastAsia="en-AU"/>
              </w:rPr>
            </w:pPr>
            <w:r>
              <w:rPr>
                <w:lang w:eastAsia="en-AU"/>
              </w:rPr>
              <w:t>-0.9</w:t>
            </w:r>
            <w:r w:rsidR="00102AD9">
              <w:rPr>
                <w:lang w:eastAsia="en-AU"/>
              </w:rPr>
              <w:t>%</w:t>
            </w:r>
          </w:p>
        </w:tc>
        <w:tc>
          <w:tcPr>
            <w:tcW w:w="1090" w:type="dxa"/>
          </w:tcPr>
          <w:p w14:paraId="2C7A4E10" w14:textId="1DD1C79D" w:rsidR="007B2EB6" w:rsidRPr="003365E2" w:rsidRDefault="007B2EB6" w:rsidP="00153438">
            <w:pPr>
              <w:pStyle w:val="Tabletext"/>
              <w:rPr>
                <w:lang w:eastAsia="en-AU"/>
              </w:rPr>
            </w:pPr>
            <w:r>
              <w:rPr>
                <w:lang w:eastAsia="en-AU"/>
              </w:rPr>
              <w:t>-0.9</w:t>
            </w:r>
            <w:r w:rsidR="00102AD9">
              <w:rPr>
                <w:lang w:eastAsia="en-AU"/>
              </w:rPr>
              <w:t>%</w:t>
            </w:r>
          </w:p>
        </w:tc>
        <w:tc>
          <w:tcPr>
            <w:tcW w:w="1527" w:type="dxa"/>
          </w:tcPr>
          <w:p w14:paraId="6B117A13" w14:textId="77777777" w:rsidR="007B2EB6" w:rsidRPr="003365E2" w:rsidRDefault="007B2EB6" w:rsidP="00153438">
            <w:pPr>
              <w:pStyle w:val="Tabletext"/>
              <w:rPr>
                <w:lang w:eastAsia="en-AU"/>
              </w:rPr>
            </w:pPr>
            <w:r>
              <w:rPr>
                <w:lang w:eastAsia="en-AU"/>
              </w:rPr>
              <w:t>-0.2pp</w:t>
            </w:r>
          </w:p>
        </w:tc>
        <w:tc>
          <w:tcPr>
            <w:tcW w:w="1891" w:type="dxa"/>
          </w:tcPr>
          <w:p w14:paraId="188528EF" w14:textId="17ECA57C" w:rsidR="007B2EB6" w:rsidRDefault="007B2EB6" w:rsidP="00153438">
            <w:pPr>
              <w:pStyle w:val="Tabletext"/>
              <w:rPr>
                <w:lang w:eastAsia="en-AU"/>
              </w:rPr>
            </w:pPr>
            <w:r>
              <w:rPr>
                <w:lang w:eastAsia="en-AU"/>
              </w:rPr>
              <w:t>Excellent (18</w:t>
            </w:r>
            <w:r w:rsidR="00D25757">
              <w:rPr>
                <w:rFonts w:cs="Arial"/>
                <w:szCs w:val="21"/>
                <w:lang w:eastAsia="en-AU"/>
              </w:rPr>
              <w:t xml:space="preserve"> – Matrix</w:t>
            </w:r>
            <w:r>
              <w:rPr>
                <w:lang w:eastAsia="en-AU"/>
              </w:rPr>
              <w:t>)</w:t>
            </w:r>
          </w:p>
        </w:tc>
      </w:tr>
    </w:tbl>
    <w:p w14:paraId="196714FD" w14:textId="77777777" w:rsidR="007B2EB6" w:rsidRDefault="007B2EB6" w:rsidP="009D634F">
      <w:pPr>
        <w:pStyle w:val="Tablefigurenote"/>
      </w:pPr>
      <w:r w:rsidRPr="00136D6E">
        <w:t>Source: Workplace gender audit workforce data, 2021</w:t>
      </w:r>
      <w:r>
        <w:t>, 2023 and 2025.</w:t>
      </w:r>
    </w:p>
    <w:p w14:paraId="229CE908" w14:textId="667F0830" w:rsidR="007B2EB6" w:rsidRPr="001A1BE5" w:rsidRDefault="007B2EB6" w:rsidP="009D634F">
      <w:pPr>
        <w:pStyle w:val="Tablefigurenote"/>
        <w:rPr>
          <w:lang w:eastAsia="en-AU"/>
        </w:rPr>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Pr="00C27278">
        <w:t xml:space="preserve"> </w:t>
      </w:r>
      <w:r w:rsidR="00883939" w:rsidRPr="00883939">
        <w:t xml:space="preserve">To read more about how the Commission calculates gender gaps, see </w:t>
      </w:r>
      <w:hyperlink w:anchor="_Gender_gaps" w:history="1">
        <w:r w:rsidR="00883939" w:rsidRPr="00031C4E">
          <w:rPr>
            <w:rStyle w:val="Hyperlink"/>
            <w:rFonts w:cs="Times New Roman"/>
          </w:rPr>
          <w:t>Gender gaps</w:t>
        </w:r>
      </w:hyperlink>
      <w:r w:rsidR="00883939" w:rsidRPr="00031C4E">
        <w:t xml:space="preserve"> in Appendix 1</w:t>
      </w:r>
      <w:r w:rsidR="00883939" w:rsidRPr="00883939">
        <w:t>.</w:t>
      </w:r>
      <w:r w:rsidRPr="00C27278">
        <w:t xml:space="preserve"> Gender gaps are always calculated between men and women. </w:t>
      </w:r>
      <w:r w:rsidR="00A33093" w:rsidRPr="00C27278">
        <w:t>A</w:t>
      </w:r>
      <w:r w:rsidRPr="00C27278">
        <w:t xml:space="preserve"> gap </w:t>
      </w:r>
      <w:r w:rsidR="00A33093">
        <w:rPr>
          <w:lang w:eastAsia="en-AU"/>
        </w:rPr>
        <w:t>greater than zero</w:t>
      </w:r>
      <w:r w:rsidR="00A33093" w:rsidRPr="00C27278">
        <w:t xml:space="preserve"> </w:t>
      </w:r>
      <w:r w:rsidRPr="00C27278">
        <w:t xml:space="preserve">is in favour of men, and a gap </w:t>
      </w:r>
      <w:r w:rsidR="00A33093">
        <w:t>less than zero</w:t>
      </w:r>
      <w:r w:rsidR="00A33093" w:rsidRPr="00C27278">
        <w:t xml:space="preserve"> </w:t>
      </w:r>
      <w:r w:rsidRPr="00C27278">
        <w:t>is in favour of women.</w:t>
      </w:r>
      <w:r w:rsidR="006210C1">
        <w:t xml:space="preserve"> </w:t>
      </w:r>
      <w:r w:rsidR="006210C1" w:rsidRPr="00AE1037">
        <w:t xml:space="preserve">The </w:t>
      </w:r>
      <w:r w:rsidR="006210C1">
        <w:t xml:space="preserve">percentage point </w:t>
      </w:r>
      <w:r w:rsidR="006210C1" w:rsidRPr="00AE1037">
        <w:t>change column may not always reflect the exact difference between years due to rounding</w:t>
      </w:r>
      <w:r w:rsidR="006210C1">
        <w:t>.</w:t>
      </w:r>
    </w:p>
    <w:p w14:paraId="22AAAAD0" w14:textId="2455943C" w:rsidR="00DE0004" w:rsidRPr="00325903" w:rsidRDefault="00DE0004" w:rsidP="00153438">
      <w:pPr>
        <w:pStyle w:val="Tablecaption"/>
      </w:pPr>
      <w:r w:rsidRPr="005E1B45">
        <w:rPr>
          <w:lang w:eastAsia="en-AU"/>
        </w:rPr>
        <w:t>Table 5</w:t>
      </w:r>
      <w:r w:rsidRPr="00325903">
        <w:rPr>
          <w:lang w:eastAsia="en-AU"/>
        </w:rPr>
        <w:t>.</w:t>
      </w:r>
      <w:r w:rsidR="007A1B60" w:rsidRPr="00325903">
        <w:rPr>
          <w:lang w:eastAsia="en-AU"/>
        </w:rPr>
        <w:t>3</w:t>
      </w:r>
      <w:r w:rsidRPr="00325903">
        <w:t xml:space="preserve"> Perceptions of </w:t>
      </w:r>
      <w:r w:rsidR="00B9644D">
        <w:t>f</w:t>
      </w:r>
      <w:r w:rsidRPr="00325903">
        <w:t xml:space="preserve">airness in </w:t>
      </w:r>
      <w:r w:rsidR="00B9644D">
        <w:t>r</w:t>
      </w:r>
      <w:r w:rsidRPr="00325903">
        <w:t xml:space="preserve">ecruitment </w:t>
      </w:r>
      <w:r w:rsidR="00B9644D">
        <w:t>t</w:t>
      </w:r>
      <w:r w:rsidRPr="00325903">
        <w:t>rends</w:t>
      </w:r>
    </w:p>
    <w:tbl>
      <w:tblPr>
        <w:tblStyle w:val="CGEPStable"/>
        <w:tblW w:w="0" w:type="auto"/>
        <w:tblLook w:val="04A0" w:firstRow="1" w:lastRow="0" w:firstColumn="1" w:lastColumn="0" w:noHBand="0" w:noVBand="1"/>
      </w:tblPr>
      <w:tblGrid>
        <w:gridCol w:w="3376"/>
        <w:gridCol w:w="812"/>
        <w:gridCol w:w="812"/>
        <w:gridCol w:w="812"/>
        <w:gridCol w:w="1559"/>
        <w:gridCol w:w="1927"/>
      </w:tblGrid>
      <w:tr w:rsidR="00DE0004" w:rsidRPr="005E1B45" w14:paraId="49CA7AA0" w14:textId="77777777" w:rsidTr="00BE46C0">
        <w:trPr>
          <w:cnfStyle w:val="100000000000" w:firstRow="1" w:lastRow="0" w:firstColumn="0" w:lastColumn="0" w:oddVBand="0" w:evenVBand="0" w:oddHBand="0" w:evenHBand="0" w:firstRowFirstColumn="0" w:firstRowLastColumn="0" w:lastRowFirstColumn="0" w:lastRowLastColumn="0"/>
        </w:trPr>
        <w:tc>
          <w:tcPr>
            <w:tcW w:w="0" w:type="auto"/>
            <w:hideMark/>
          </w:tcPr>
          <w:p w14:paraId="0867ACE1" w14:textId="77777777" w:rsidR="00DE0004" w:rsidRPr="005E1B45" w:rsidRDefault="00DE0004" w:rsidP="00153438">
            <w:pPr>
              <w:pStyle w:val="Tablecolhead"/>
              <w:rPr>
                <w:lang w:eastAsia="en-AU"/>
              </w:rPr>
            </w:pPr>
            <w:r w:rsidRPr="005E1B45">
              <w:rPr>
                <w:lang w:eastAsia="en-AU"/>
              </w:rPr>
              <w:t>Measure</w:t>
            </w:r>
          </w:p>
        </w:tc>
        <w:tc>
          <w:tcPr>
            <w:tcW w:w="0" w:type="auto"/>
            <w:hideMark/>
          </w:tcPr>
          <w:p w14:paraId="0C5FF9E0" w14:textId="77777777" w:rsidR="00DE0004" w:rsidRPr="005E1B45" w:rsidRDefault="00DE0004" w:rsidP="00153438">
            <w:pPr>
              <w:pStyle w:val="Tablecolhead"/>
              <w:rPr>
                <w:lang w:eastAsia="en-AU"/>
              </w:rPr>
            </w:pPr>
            <w:r w:rsidRPr="005E1B45">
              <w:rPr>
                <w:lang w:eastAsia="en-AU"/>
              </w:rPr>
              <w:t>2021</w:t>
            </w:r>
          </w:p>
        </w:tc>
        <w:tc>
          <w:tcPr>
            <w:tcW w:w="0" w:type="auto"/>
            <w:hideMark/>
          </w:tcPr>
          <w:p w14:paraId="5901BA73" w14:textId="77777777" w:rsidR="00DE0004" w:rsidRPr="005E1B45" w:rsidRDefault="00DE0004" w:rsidP="00153438">
            <w:pPr>
              <w:pStyle w:val="Tablecolhead"/>
              <w:rPr>
                <w:lang w:eastAsia="en-AU"/>
              </w:rPr>
            </w:pPr>
            <w:r w:rsidRPr="005E1B45">
              <w:rPr>
                <w:lang w:eastAsia="en-AU"/>
              </w:rPr>
              <w:t>2023</w:t>
            </w:r>
          </w:p>
        </w:tc>
        <w:tc>
          <w:tcPr>
            <w:tcW w:w="698" w:type="dxa"/>
            <w:hideMark/>
          </w:tcPr>
          <w:p w14:paraId="325AB0D5" w14:textId="77777777" w:rsidR="00DE0004" w:rsidRPr="005E1B45" w:rsidRDefault="00DE0004" w:rsidP="00153438">
            <w:pPr>
              <w:pStyle w:val="Tablecolhead"/>
              <w:rPr>
                <w:lang w:eastAsia="en-AU"/>
              </w:rPr>
            </w:pPr>
            <w:r w:rsidRPr="005E1B45">
              <w:rPr>
                <w:lang w:eastAsia="en-AU"/>
              </w:rPr>
              <w:t>2025</w:t>
            </w:r>
          </w:p>
        </w:tc>
        <w:tc>
          <w:tcPr>
            <w:tcW w:w="1559" w:type="dxa"/>
            <w:hideMark/>
          </w:tcPr>
          <w:p w14:paraId="5C3EBA29" w14:textId="4E7965E7" w:rsidR="00DE0004" w:rsidRPr="005E1B45" w:rsidRDefault="00F02C0C" w:rsidP="00153438">
            <w:pPr>
              <w:pStyle w:val="Tablecolhead"/>
              <w:rPr>
                <w:lang w:eastAsia="en-AU"/>
              </w:rPr>
            </w:pPr>
            <w:r>
              <w:rPr>
                <w:lang w:eastAsia="en-AU"/>
              </w:rPr>
              <w:t xml:space="preserve">Percentage </w:t>
            </w:r>
            <w:r w:rsidR="005C4F1D">
              <w:rPr>
                <w:lang w:eastAsia="en-AU"/>
              </w:rPr>
              <w:t>p</w:t>
            </w:r>
            <w:r>
              <w:rPr>
                <w:lang w:eastAsia="en-AU"/>
              </w:rPr>
              <w:t xml:space="preserve">oint </w:t>
            </w:r>
            <w:r w:rsidR="005C4F1D">
              <w:rPr>
                <w:lang w:eastAsia="en-AU"/>
              </w:rPr>
              <w:t>c</w:t>
            </w:r>
            <w:r w:rsidRPr="00AE5A1E">
              <w:rPr>
                <w:lang w:eastAsia="en-AU"/>
              </w:rPr>
              <w:t>hange</w:t>
            </w:r>
            <w:r>
              <w:rPr>
                <w:lang w:eastAsia="en-AU"/>
              </w:rPr>
              <w:t xml:space="preserve"> 2021–2025</w:t>
            </w:r>
          </w:p>
        </w:tc>
        <w:tc>
          <w:tcPr>
            <w:tcW w:w="1927" w:type="dxa"/>
            <w:hideMark/>
          </w:tcPr>
          <w:p w14:paraId="6D78AE7A" w14:textId="5E8AB40A" w:rsidR="00DE0004" w:rsidRPr="001269BE" w:rsidRDefault="001269BE" w:rsidP="00153438">
            <w:pPr>
              <w:pStyle w:val="Tablecolhead"/>
              <w:rPr>
                <w:lang w:eastAsia="en-AU"/>
              </w:rPr>
            </w:pPr>
            <w:r w:rsidRPr="001269BE">
              <w:rPr>
                <w:lang w:eastAsia="en-AU"/>
              </w:rPr>
              <w:t>P</w:t>
            </w:r>
            <w:r w:rsidRPr="001269BE">
              <w:t>rogress</w:t>
            </w:r>
          </w:p>
        </w:tc>
      </w:tr>
      <w:tr w:rsidR="00DE0004" w:rsidRPr="003365E2" w14:paraId="66BF3749" w14:textId="77777777" w:rsidTr="00BE46C0">
        <w:tc>
          <w:tcPr>
            <w:tcW w:w="0" w:type="auto"/>
          </w:tcPr>
          <w:p w14:paraId="77CF3326" w14:textId="77777777" w:rsidR="00DE0004" w:rsidRDefault="00DE0004" w:rsidP="00153438">
            <w:pPr>
              <w:pStyle w:val="Tabletext"/>
              <w:rPr>
                <w:lang w:eastAsia="en-AU"/>
              </w:rPr>
            </w:pPr>
            <w:r>
              <w:rPr>
                <w:lang w:eastAsia="en-AU"/>
              </w:rPr>
              <w:t>Proportion of women who believe recruitment processes are fair</w:t>
            </w:r>
          </w:p>
        </w:tc>
        <w:tc>
          <w:tcPr>
            <w:tcW w:w="0" w:type="auto"/>
          </w:tcPr>
          <w:p w14:paraId="62EA2FA4" w14:textId="02249319" w:rsidR="00DE0004" w:rsidRDefault="003E79C5" w:rsidP="00153438">
            <w:pPr>
              <w:pStyle w:val="Tabletext"/>
              <w:rPr>
                <w:lang w:eastAsia="en-AU"/>
              </w:rPr>
            </w:pPr>
            <w:r>
              <w:rPr>
                <w:lang w:eastAsia="en-AU"/>
              </w:rPr>
              <w:t>58.</w:t>
            </w:r>
            <w:r w:rsidR="000D5DBE">
              <w:rPr>
                <w:lang w:eastAsia="en-AU"/>
              </w:rPr>
              <w:t>0</w:t>
            </w:r>
            <w:r>
              <w:rPr>
                <w:lang w:eastAsia="en-AU"/>
              </w:rPr>
              <w:t>%</w:t>
            </w:r>
          </w:p>
        </w:tc>
        <w:tc>
          <w:tcPr>
            <w:tcW w:w="0" w:type="auto"/>
          </w:tcPr>
          <w:p w14:paraId="4D3283B7" w14:textId="72A2775A" w:rsidR="00DE0004" w:rsidRDefault="003E79C5" w:rsidP="00153438">
            <w:pPr>
              <w:pStyle w:val="Tabletext"/>
              <w:rPr>
                <w:lang w:eastAsia="en-AU"/>
              </w:rPr>
            </w:pPr>
            <w:r>
              <w:rPr>
                <w:lang w:eastAsia="en-AU"/>
              </w:rPr>
              <w:t>66.4%</w:t>
            </w:r>
          </w:p>
        </w:tc>
        <w:tc>
          <w:tcPr>
            <w:tcW w:w="698" w:type="dxa"/>
          </w:tcPr>
          <w:p w14:paraId="25F3D4DB" w14:textId="28EE1251" w:rsidR="00DE0004" w:rsidRPr="003365E2" w:rsidRDefault="00461CF8" w:rsidP="00153438">
            <w:pPr>
              <w:pStyle w:val="Tabletext"/>
              <w:rPr>
                <w:lang w:eastAsia="en-AU"/>
              </w:rPr>
            </w:pPr>
            <w:r>
              <w:rPr>
                <w:lang w:eastAsia="en-AU"/>
              </w:rPr>
              <w:t>64.8%</w:t>
            </w:r>
          </w:p>
        </w:tc>
        <w:tc>
          <w:tcPr>
            <w:tcW w:w="1559" w:type="dxa"/>
          </w:tcPr>
          <w:p w14:paraId="16399314" w14:textId="09A798C8" w:rsidR="00DE0004" w:rsidRPr="003365E2" w:rsidRDefault="00461CF8" w:rsidP="00153438">
            <w:pPr>
              <w:pStyle w:val="Tabletext"/>
              <w:rPr>
                <w:lang w:eastAsia="en-AU"/>
              </w:rPr>
            </w:pPr>
            <w:r>
              <w:rPr>
                <w:lang w:eastAsia="en-AU"/>
              </w:rPr>
              <w:t>+6.8pp</w:t>
            </w:r>
          </w:p>
        </w:tc>
        <w:tc>
          <w:tcPr>
            <w:tcW w:w="1927" w:type="dxa"/>
          </w:tcPr>
          <w:p w14:paraId="39CC1E9D" w14:textId="2DD306AC" w:rsidR="00DE0004" w:rsidRPr="003365E2" w:rsidRDefault="00461CF8" w:rsidP="00153438">
            <w:pPr>
              <w:pStyle w:val="Tabletext"/>
              <w:rPr>
                <w:lang w:eastAsia="en-AU"/>
              </w:rPr>
            </w:pPr>
            <w:r>
              <w:rPr>
                <w:lang w:eastAsia="en-AU"/>
              </w:rPr>
              <w:t>Moderate (</w:t>
            </w:r>
            <w:r w:rsidR="0092632A">
              <w:rPr>
                <w:lang w:eastAsia="en-AU"/>
              </w:rPr>
              <w:t>11</w:t>
            </w:r>
            <w:r w:rsidR="00D25757">
              <w:rPr>
                <w:rFonts w:cs="Arial"/>
                <w:szCs w:val="21"/>
                <w:lang w:eastAsia="en-AU"/>
              </w:rPr>
              <w:t xml:space="preserve"> – Matrix</w:t>
            </w:r>
            <w:r>
              <w:rPr>
                <w:lang w:eastAsia="en-AU"/>
              </w:rPr>
              <w:t>)</w:t>
            </w:r>
          </w:p>
        </w:tc>
      </w:tr>
      <w:tr w:rsidR="00DE0004" w:rsidRPr="003365E2" w14:paraId="21C39DC7" w14:textId="77777777" w:rsidTr="00BE46C0">
        <w:tc>
          <w:tcPr>
            <w:tcW w:w="0" w:type="auto"/>
          </w:tcPr>
          <w:p w14:paraId="50B8EBF2" w14:textId="6ECB399E" w:rsidR="00DE0004" w:rsidRDefault="00DE0004" w:rsidP="00153438">
            <w:pPr>
              <w:pStyle w:val="Tabletext"/>
              <w:rPr>
                <w:lang w:eastAsia="en-AU"/>
              </w:rPr>
            </w:pPr>
            <w:r>
              <w:rPr>
                <w:lang w:eastAsia="en-AU"/>
              </w:rPr>
              <w:t xml:space="preserve">Proportion of </w:t>
            </w:r>
            <w:r w:rsidR="00DF7472">
              <w:rPr>
                <w:lang w:eastAsia="en-AU"/>
              </w:rPr>
              <w:t>men</w:t>
            </w:r>
            <w:r>
              <w:rPr>
                <w:lang w:eastAsia="en-AU"/>
              </w:rPr>
              <w:t xml:space="preserve"> who believe recruitment processes are fair</w:t>
            </w:r>
          </w:p>
        </w:tc>
        <w:tc>
          <w:tcPr>
            <w:tcW w:w="0" w:type="auto"/>
          </w:tcPr>
          <w:p w14:paraId="6140897D" w14:textId="03B88F37" w:rsidR="00DE0004" w:rsidRDefault="00FA185A" w:rsidP="00153438">
            <w:pPr>
              <w:pStyle w:val="Tabletext"/>
              <w:rPr>
                <w:lang w:eastAsia="en-AU"/>
              </w:rPr>
            </w:pPr>
            <w:r>
              <w:rPr>
                <w:lang w:eastAsia="en-AU"/>
              </w:rPr>
              <w:t>55.3%</w:t>
            </w:r>
          </w:p>
        </w:tc>
        <w:tc>
          <w:tcPr>
            <w:tcW w:w="0" w:type="auto"/>
          </w:tcPr>
          <w:p w14:paraId="03E773CE" w14:textId="1DEC9386" w:rsidR="00DE0004" w:rsidRDefault="00FA185A" w:rsidP="00153438">
            <w:pPr>
              <w:pStyle w:val="Tabletext"/>
              <w:rPr>
                <w:lang w:eastAsia="en-AU"/>
              </w:rPr>
            </w:pPr>
            <w:r>
              <w:rPr>
                <w:lang w:eastAsia="en-AU"/>
              </w:rPr>
              <w:t>63.3%</w:t>
            </w:r>
          </w:p>
        </w:tc>
        <w:tc>
          <w:tcPr>
            <w:tcW w:w="698" w:type="dxa"/>
          </w:tcPr>
          <w:p w14:paraId="61524ED2" w14:textId="0E6898DC" w:rsidR="00DE0004" w:rsidRPr="003365E2" w:rsidRDefault="004B01B7" w:rsidP="00153438">
            <w:pPr>
              <w:pStyle w:val="Tabletext"/>
              <w:rPr>
                <w:lang w:eastAsia="en-AU"/>
              </w:rPr>
            </w:pPr>
            <w:r>
              <w:rPr>
                <w:lang w:eastAsia="en-AU"/>
              </w:rPr>
              <w:t>65.0%</w:t>
            </w:r>
          </w:p>
        </w:tc>
        <w:tc>
          <w:tcPr>
            <w:tcW w:w="1559" w:type="dxa"/>
          </w:tcPr>
          <w:p w14:paraId="2DA6B5D7" w14:textId="70D5E0E4" w:rsidR="00DE0004" w:rsidRPr="003365E2" w:rsidRDefault="004B01B7" w:rsidP="00153438">
            <w:pPr>
              <w:pStyle w:val="Tabletext"/>
              <w:rPr>
                <w:lang w:eastAsia="en-AU"/>
              </w:rPr>
            </w:pPr>
            <w:r>
              <w:rPr>
                <w:lang w:eastAsia="en-AU"/>
              </w:rPr>
              <w:t>+9.7pp</w:t>
            </w:r>
          </w:p>
        </w:tc>
        <w:tc>
          <w:tcPr>
            <w:tcW w:w="1927" w:type="dxa"/>
          </w:tcPr>
          <w:p w14:paraId="6F9AD3FE" w14:textId="398FAA6C" w:rsidR="00DE0004" w:rsidRPr="003365E2" w:rsidRDefault="00461CF8" w:rsidP="00153438">
            <w:pPr>
              <w:pStyle w:val="Tabletext"/>
              <w:rPr>
                <w:lang w:eastAsia="en-AU"/>
              </w:rPr>
            </w:pPr>
            <w:r>
              <w:rPr>
                <w:lang w:eastAsia="en-AU"/>
              </w:rPr>
              <w:t>Moderate (11</w:t>
            </w:r>
            <w:r w:rsidR="00D25757">
              <w:rPr>
                <w:rFonts w:cs="Arial"/>
                <w:szCs w:val="21"/>
                <w:lang w:eastAsia="en-AU"/>
              </w:rPr>
              <w:t xml:space="preserve"> – Matrix</w:t>
            </w:r>
            <w:r>
              <w:rPr>
                <w:lang w:eastAsia="en-AU"/>
              </w:rPr>
              <w:t>)</w:t>
            </w:r>
          </w:p>
        </w:tc>
      </w:tr>
      <w:tr w:rsidR="00DE0004" w:rsidRPr="003365E2" w14:paraId="399C2FCA" w14:textId="77777777" w:rsidTr="00BE46C0">
        <w:tc>
          <w:tcPr>
            <w:tcW w:w="0" w:type="auto"/>
          </w:tcPr>
          <w:p w14:paraId="6888A159" w14:textId="076601C3" w:rsidR="00DE0004" w:rsidRDefault="00DE0004" w:rsidP="00153438">
            <w:pPr>
              <w:pStyle w:val="Tabletext"/>
              <w:rPr>
                <w:lang w:eastAsia="en-AU"/>
              </w:rPr>
            </w:pPr>
            <w:r>
              <w:rPr>
                <w:lang w:eastAsia="en-AU"/>
              </w:rPr>
              <w:t xml:space="preserve">Proportion of </w:t>
            </w:r>
            <w:r w:rsidR="00DF7472">
              <w:rPr>
                <w:lang w:eastAsia="en-AU"/>
              </w:rPr>
              <w:t xml:space="preserve">people of </w:t>
            </w:r>
            <w:r w:rsidR="00E12549">
              <w:rPr>
                <w:lang w:eastAsia="en-AU"/>
              </w:rPr>
              <w:t>self-described</w:t>
            </w:r>
            <w:r w:rsidR="00DF7472">
              <w:rPr>
                <w:lang w:eastAsia="en-AU"/>
              </w:rPr>
              <w:t xml:space="preserve"> gender</w:t>
            </w:r>
            <w:r>
              <w:rPr>
                <w:lang w:eastAsia="en-AU"/>
              </w:rPr>
              <w:t xml:space="preserve"> who believe recruitment processes are fair</w:t>
            </w:r>
          </w:p>
        </w:tc>
        <w:tc>
          <w:tcPr>
            <w:tcW w:w="0" w:type="auto"/>
          </w:tcPr>
          <w:p w14:paraId="5CA2CD2A" w14:textId="469143BE" w:rsidR="00DE0004" w:rsidRDefault="004B01B7" w:rsidP="00153438">
            <w:pPr>
              <w:pStyle w:val="Tabletext"/>
              <w:rPr>
                <w:lang w:eastAsia="en-AU"/>
              </w:rPr>
            </w:pPr>
            <w:r>
              <w:rPr>
                <w:lang w:eastAsia="en-AU"/>
              </w:rPr>
              <w:t>36.0%</w:t>
            </w:r>
          </w:p>
        </w:tc>
        <w:tc>
          <w:tcPr>
            <w:tcW w:w="0" w:type="auto"/>
          </w:tcPr>
          <w:p w14:paraId="6CA5AB6F" w14:textId="3F3265CA" w:rsidR="00DE0004" w:rsidRDefault="004B01B7" w:rsidP="00153438">
            <w:pPr>
              <w:pStyle w:val="Tabletext"/>
              <w:rPr>
                <w:lang w:eastAsia="en-AU"/>
              </w:rPr>
            </w:pPr>
            <w:r>
              <w:rPr>
                <w:lang w:eastAsia="en-AU"/>
              </w:rPr>
              <w:t>48.7%</w:t>
            </w:r>
          </w:p>
        </w:tc>
        <w:tc>
          <w:tcPr>
            <w:tcW w:w="698" w:type="dxa"/>
          </w:tcPr>
          <w:p w14:paraId="2AAE9FBC" w14:textId="573ECAAC" w:rsidR="00DE0004" w:rsidRPr="003365E2" w:rsidRDefault="004B01B7" w:rsidP="00153438">
            <w:pPr>
              <w:pStyle w:val="Tabletext"/>
              <w:rPr>
                <w:lang w:eastAsia="en-AU"/>
              </w:rPr>
            </w:pPr>
            <w:r>
              <w:rPr>
                <w:lang w:eastAsia="en-AU"/>
              </w:rPr>
              <w:t>47.8%</w:t>
            </w:r>
          </w:p>
        </w:tc>
        <w:tc>
          <w:tcPr>
            <w:tcW w:w="1559" w:type="dxa"/>
          </w:tcPr>
          <w:p w14:paraId="0832C40B" w14:textId="0B532C7F" w:rsidR="00DE0004" w:rsidRPr="003365E2" w:rsidRDefault="004B01B7" w:rsidP="00153438">
            <w:pPr>
              <w:pStyle w:val="Tabletext"/>
              <w:rPr>
                <w:lang w:eastAsia="en-AU"/>
              </w:rPr>
            </w:pPr>
            <w:r>
              <w:rPr>
                <w:lang w:eastAsia="en-AU"/>
              </w:rPr>
              <w:t>+11.8pp</w:t>
            </w:r>
          </w:p>
        </w:tc>
        <w:tc>
          <w:tcPr>
            <w:tcW w:w="1927" w:type="dxa"/>
            <w:shd w:val="clear" w:color="auto" w:fill="BFBFBF" w:themeFill="background1" w:themeFillShade="BF"/>
          </w:tcPr>
          <w:p w14:paraId="1E979E2F" w14:textId="605F76FC" w:rsidR="00DE0004" w:rsidRPr="003365E2" w:rsidRDefault="00DA5D82" w:rsidP="00153438">
            <w:pPr>
              <w:pStyle w:val="Tabletext"/>
              <w:rPr>
                <w:lang w:eastAsia="en-AU"/>
              </w:rPr>
            </w:pPr>
            <w:r>
              <w:rPr>
                <w:lang w:eastAsia="en-AU"/>
              </w:rPr>
              <w:t>n</w:t>
            </w:r>
            <w:r>
              <w:t>/a</w:t>
            </w:r>
          </w:p>
        </w:tc>
      </w:tr>
    </w:tbl>
    <w:p w14:paraId="34F780F7" w14:textId="77777777" w:rsidR="002B5A57" w:rsidRDefault="002B5A57" w:rsidP="00121AF5">
      <w:pPr>
        <w:pStyle w:val="Tablefigurenote"/>
      </w:pPr>
      <w:r w:rsidRPr="006C41AA">
        <w:t>Source: People matter survey data, 2021, 2023 and 2025.</w:t>
      </w:r>
    </w:p>
    <w:p w14:paraId="0BBB8DBE" w14:textId="08974CE3" w:rsidR="00DE0004" w:rsidRDefault="00121AF5" w:rsidP="00121AF5">
      <w:pPr>
        <w:pStyle w:val="Tablefigurenote"/>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00843234">
        <w:t xml:space="preserve"> </w:t>
      </w:r>
      <w:r w:rsidR="00843234" w:rsidRPr="00AE1037">
        <w:t xml:space="preserve">The </w:t>
      </w:r>
      <w:r w:rsidR="00843234">
        <w:t xml:space="preserve">percentage point </w:t>
      </w:r>
      <w:r w:rsidR="00843234" w:rsidRPr="00AE1037">
        <w:t>change column may not always reflect the exact difference between years due to rounding</w:t>
      </w:r>
      <w:r w:rsidR="00843234">
        <w:t>.</w:t>
      </w:r>
    </w:p>
    <w:p w14:paraId="40276B77" w14:textId="38888401" w:rsidR="006D0199" w:rsidRPr="005E1B45" w:rsidRDefault="006D0199" w:rsidP="009E3918">
      <w:pPr>
        <w:pStyle w:val="Tablecaption"/>
        <w:rPr>
          <w:lang w:eastAsia="en-AU"/>
        </w:rPr>
      </w:pPr>
      <w:r w:rsidRPr="00614EA0">
        <w:rPr>
          <w:lang w:eastAsia="en-AU"/>
        </w:rPr>
        <w:t>Table 5.</w:t>
      </w:r>
      <w:r w:rsidR="007A1B60">
        <w:rPr>
          <w:bCs/>
          <w:lang w:eastAsia="en-AU"/>
        </w:rPr>
        <w:t>4</w:t>
      </w:r>
      <w:r w:rsidRPr="00614EA0">
        <w:rPr>
          <w:lang w:eastAsia="en-AU"/>
        </w:rPr>
        <w:t xml:space="preserve">: Career </w:t>
      </w:r>
      <w:r w:rsidR="00B9644D">
        <w:rPr>
          <w:lang w:eastAsia="en-AU"/>
        </w:rPr>
        <w:t>a</w:t>
      </w:r>
      <w:r w:rsidRPr="00614EA0">
        <w:rPr>
          <w:lang w:eastAsia="en-AU"/>
        </w:rPr>
        <w:t xml:space="preserve">dvancement </w:t>
      </w:r>
      <w:r w:rsidR="00B9644D">
        <w:rPr>
          <w:lang w:eastAsia="en-AU"/>
        </w:rPr>
        <w:t>s</w:t>
      </w:r>
      <w:r w:rsidRPr="00614EA0">
        <w:rPr>
          <w:lang w:eastAsia="en-AU"/>
        </w:rPr>
        <w:t xml:space="preserve">atisfaction and </w:t>
      </w:r>
      <w:r w:rsidR="00B9644D">
        <w:rPr>
          <w:lang w:eastAsia="en-AU"/>
        </w:rPr>
        <w:t>b</w:t>
      </w:r>
      <w:r w:rsidRPr="00614EA0">
        <w:rPr>
          <w:lang w:eastAsia="en-AU"/>
        </w:rPr>
        <w:t xml:space="preserve">arriers </w:t>
      </w:r>
    </w:p>
    <w:tbl>
      <w:tblPr>
        <w:tblStyle w:val="CGEPStable"/>
        <w:tblW w:w="0" w:type="auto"/>
        <w:tblLook w:val="04A0" w:firstRow="1" w:lastRow="0" w:firstColumn="1" w:lastColumn="0" w:noHBand="0" w:noVBand="1"/>
      </w:tblPr>
      <w:tblGrid>
        <w:gridCol w:w="3306"/>
        <w:gridCol w:w="812"/>
        <w:gridCol w:w="844"/>
        <w:gridCol w:w="850"/>
        <w:gridCol w:w="1559"/>
        <w:gridCol w:w="1927"/>
      </w:tblGrid>
      <w:tr w:rsidR="00AC41E4" w:rsidRPr="003365E2" w14:paraId="73919BFB" w14:textId="77777777" w:rsidTr="00BE46C0">
        <w:trPr>
          <w:cnfStyle w:val="100000000000" w:firstRow="1" w:lastRow="0" w:firstColumn="0" w:lastColumn="0" w:oddVBand="0" w:evenVBand="0" w:oddHBand="0" w:evenHBand="0" w:firstRowFirstColumn="0" w:firstRowLastColumn="0" w:lastRowFirstColumn="0" w:lastRowLastColumn="0"/>
        </w:trPr>
        <w:tc>
          <w:tcPr>
            <w:tcW w:w="0" w:type="auto"/>
            <w:hideMark/>
          </w:tcPr>
          <w:p w14:paraId="435278B7" w14:textId="77777777" w:rsidR="006D0199" w:rsidRPr="005E1B45" w:rsidRDefault="006D0199" w:rsidP="00153438">
            <w:pPr>
              <w:pStyle w:val="Tablecolhead"/>
              <w:rPr>
                <w:lang w:eastAsia="en-AU"/>
              </w:rPr>
            </w:pPr>
            <w:r w:rsidRPr="005E1B45">
              <w:rPr>
                <w:lang w:eastAsia="en-AU"/>
              </w:rPr>
              <w:t>Measure</w:t>
            </w:r>
          </w:p>
        </w:tc>
        <w:tc>
          <w:tcPr>
            <w:tcW w:w="812" w:type="dxa"/>
            <w:hideMark/>
          </w:tcPr>
          <w:p w14:paraId="4DEDDF11" w14:textId="77777777" w:rsidR="006D0199" w:rsidRPr="005E1B45" w:rsidRDefault="006D0199" w:rsidP="00153438">
            <w:pPr>
              <w:pStyle w:val="Tablecolhead"/>
              <w:rPr>
                <w:lang w:eastAsia="en-AU"/>
              </w:rPr>
            </w:pPr>
            <w:r w:rsidRPr="005E1B45">
              <w:rPr>
                <w:lang w:eastAsia="en-AU"/>
              </w:rPr>
              <w:t>2021</w:t>
            </w:r>
          </w:p>
        </w:tc>
        <w:tc>
          <w:tcPr>
            <w:tcW w:w="844" w:type="dxa"/>
            <w:hideMark/>
          </w:tcPr>
          <w:p w14:paraId="3993802B" w14:textId="77777777" w:rsidR="006D0199" w:rsidRPr="005E1B45" w:rsidRDefault="006D0199" w:rsidP="00153438">
            <w:pPr>
              <w:pStyle w:val="Tablecolhead"/>
              <w:rPr>
                <w:lang w:eastAsia="en-AU"/>
              </w:rPr>
            </w:pPr>
            <w:r w:rsidRPr="005E1B45">
              <w:rPr>
                <w:lang w:eastAsia="en-AU"/>
              </w:rPr>
              <w:t>2023</w:t>
            </w:r>
          </w:p>
        </w:tc>
        <w:tc>
          <w:tcPr>
            <w:tcW w:w="850" w:type="dxa"/>
            <w:hideMark/>
          </w:tcPr>
          <w:p w14:paraId="6AA8C829" w14:textId="77777777" w:rsidR="006D0199" w:rsidRPr="005E1B45" w:rsidRDefault="006D0199" w:rsidP="00153438">
            <w:pPr>
              <w:pStyle w:val="Tablecolhead"/>
              <w:rPr>
                <w:lang w:eastAsia="en-AU"/>
              </w:rPr>
            </w:pPr>
            <w:r w:rsidRPr="005E1B45">
              <w:rPr>
                <w:lang w:eastAsia="en-AU"/>
              </w:rPr>
              <w:t>2025</w:t>
            </w:r>
          </w:p>
        </w:tc>
        <w:tc>
          <w:tcPr>
            <w:tcW w:w="1559" w:type="dxa"/>
            <w:hideMark/>
          </w:tcPr>
          <w:p w14:paraId="6813C53A" w14:textId="15954674" w:rsidR="006D0199" w:rsidRPr="005E1B45" w:rsidRDefault="00F02C0C" w:rsidP="00153438">
            <w:pPr>
              <w:pStyle w:val="Tablecolhead"/>
              <w:rPr>
                <w:lang w:eastAsia="en-AU"/>
              </w:rPr>
            </w:pPr>
            <w:r>
              <w:rPr>
                <w:lang w:eastAsia="en-AU"/>
              </w:rPr>
              <w:t xml:space="preserve">Percentage </w:t>
            </w:r>
            <w:r w:rsidR="00153438">
              <w:rPr>
                <w:lang w:eastAsia="en-AU"/>
              </w:rPr>
              <w:t>p</w:t>
            </w:r>
            <w:r>
              <w:rPr>
                <w:lang w:eastAsia="en-AU"/>
              </w:rPr>
              <w:t xml:space="preserve">oint </w:t>
            </w:r>
            <w:r w:rsidR="00153438">
              <w:rPr>
                <w:lang w:eastAsia="en-AU"/>
              </w:rPr>
              <w:t>c</w:t>
            </w:r>
            <w:r w:rsidRPr="00AE5A1E">
              <w:rPr>
                <w:lang w:eastAsia="en-AU"/>
              </w:rPr>
              <w:t>hange</w:t>
            </w:r>
            <w:r>
              <w:rPr>
                <w:lang w:eastAsia="en-AU"/>
              </w:rPr>
              <w:t xml:space="preserve"> 2021–2025</w:t>
            </w:r>
          </w:p>
        </w:tc>
        <w:tc>
          <w:tcPr>
            <w:tcW w:w="1927" w:type="dxa"/>
            <w:hideMark/>
          </w:tcPr>
          <w:p w14:paraId="59823755" w14:textId="572A8951" w:rsidR="006D0199" w:rsidRPr="00CF0F27" w:rsidRDefault="001269BE" w:rsidP="00153438">
            <w:pPr>
              <w:pStyle w:val="Tablecolhead"/>
              <w:rPr>
                <w:lang w:eastAsia="en-AU"/>
              </w:rPr>
            </w:pPr>
            <w:r w:rsidRPr="00CF0F27">
              <w:rPr>
                <w:lang w:eastAsia="en-AU"/>
              </w:rPr>
              <w:t>P</w:t>
            </w:r>
            <w:r w:rsidRPr="00CF0F27">
              <w:t>rogress</w:t>
            </w:r>
          </w:p>
        </w:tc>
      </w:tr>
      <w:tr w:rsidR="00AC41E4" w:rsidRPr="003365E2" w14:paraId="08A2B6E0" w14:textId="77777777" w:rsidTr="00BE46C0">
        <w:tc>
          <w:tcPr>
            <w:tcW w:w="0" w:type="auto"/>
            <w:hideMark/>
          </w:tcPr>
          <w:p w14:paraId="3419DFCD" w14:textId="5A1BAB8E" w:rsidR="006D0199" w:rsidRPr="003365E2" w:rsidRDefault="00AC41E4" w:rsidP="00153438">
            <w:pPr>
              <w:pStyle w:val="Tabletext"/>
              <w:rPr>
                <w:lang w:eastAsia="en-AU"/>
              </w:rPr>
            </w:pPr>
            <w:r>
              <w:rPr>
                <w:lang w:eastAsia="en-AU"/>
              </w:rPr>
              <w:t>Women satisfied with</w:t>
            </w:r>
            <w:r w:rsidR="001269BE">
              <w:rPr>
                <w:lang w:eastAsia="en-AU"/>
              </w:rPr>
              <w:t xml:space="preserve"> t</w:t>
            </w:r>
            <w:r w:rsidR="001269BE">
              <w:t xml:space="preserve">heir </w:t>
            </w:r>
            <w:r w:rsidR="006D0199">
              <w:rPr>
                <w:lang w:eastAsia="en-AU"/>
              </w:rPr>
              <w:t>career advancement</w:t>
            </w:r>
            <w:r w:rsidR="006D0199" w:rsidRPr="003365E2">
              <w:rPr>
                <w:lang w:eastAsia="en-AU"/>
              </w:rPr>
              <w:t xml:space="preserve"> </w:t>
            </w:r>
          </w:p>
        </w:tc>
        <w:tc>
          <w:tcPr>
            <w:tcW w:w="812" w:type="dxa"/>
            <w:hideMark/>
          </w:tcPr>
          <w:p w14:paraId="5FAB7970" w14:textId="51DB1BD7" w:rsidR="006D0199" w:rsidRPr="003365E2" w:rsidRDefault="00A91C80" w:rsidP="00153438">
            <w:pPr>
              <w:pStyle w:val="Tabletext"/>
              <w:rPr>
                <w:lang w:eastAsia="en-AU"/>
              </w:rPr>
            </w:pPr>
            <w:r>
              <w:rPr>
                <w:lang w:eastAsia="en-AU"/>
              </w:rPr>
              <w:t>39.3%</w:t>
            </w:r>
          </w:p>
        </w:tc>
        <w:tc>
          <w:tcPr>
            <w:tcW w:w="844" w:type="dxa"/>
            <w:hideMark/>
          </w:tcPr>
          <w:p w14:paraId="505E9FD8" w14:textId="26A392A8" w:rsidR="006D0199" w:rsidRPr="003365E2" w:rsidRDefault="00A91C80" w:rsidP="00153438">
            <w:pPr>
              <w:pStyle w:val="Tabletext"/>
              <w:rPr>
                <w:lang w:eastAsia="en-AU"/>
              </w:rPr>
            </w:pPr>
            <w:r>
              <w:rPr>
                <w:lang w:eastAsia="en-AU"/>
              </w:rPr>
              <w:t>36.5%</w:t>
            </w:r>
          </w:p>
        </w:tc>
        <w:tc>
          <w:tcPr>
            <w:tcW w:w="850" w:type="dxa"/>
            <w:hideMark/>
          </w:tcPr>
          <w:p w14:paraId="5926F95C" w14:textId="2A0B4760" w:rsidR="006D0199" w:rsidRPr="003365E2" w:rsidRDefault="00A91C80" w:rsidP="00153438">
            <w:pPr>
              <w:pStyle w:val="Tabletext"/>
              <w:rPr>
                <w:lang w:eastAsia="en-AU"/>
              </w:rPr>
            </w:pPr>
            <w:r>
              <w:rPr>
                <w:lang w:eastAsia="en-AU"/>
              </w:rPr>
              <w:t>42.3%</w:t>
            </w:r>
          </w:p>
        </w:tc>
        <w:tc>
          <w:tcPr>
            <w:tcW w:w="1559" w:type="dxa"/>
            <w:hideMark/>
          </w:tcPr>
          <w:p w14:paraId="47391ABC" w14:textId="43760CCA" w:rsidR="006D0199" w:rsidRPr="003365E2" w:rsidRDefault="00A91C80" w:rsidP="00153438">
            <w:pPr>
              <w:pStyle w:val="Tabletext"/>
              <w:rPr>
                <w:lang w:eastAsia="en-AU"/>
              </w:rPr>
            </w:pPr>
            <w:r>
              <w:rPr>
                <w:lang w:eastAsia="en-AU"/>
              </w:rPr>
              <w:t>+3.0pp</w:t>
            </w:r>
          </w:p>
        </w:tc>
        <w:tc>
          <w:tcPr>
            <w:tcW w:w="1927" w:type="dxa"/>
            <w:hideMark/>
          </w:tcPr>
          <w:p w14:paraId="74C36FBE" w14:textId="029EFEA9" w:rsidR="006D0199" w:rsidRPr="003365E2" w:rsidRDefault="0032052D" w:rsidP="00153438">
            <w:pPr>
              <w:pStyle w:val="Tabletext"/>
              <w:rPr>
                <w:lang w:eastAsia="en-AU"/>
              </w:rPr>
            </w:pPr>
            <w:r>
              <w:rPr>
                <w:lang w:eastAsia="en-AU"/>
              </w:rPr>
              <w:t>Poor (7</w:t>
            </w:r>
            <w:r w:rsidR="00D25757">
              <w:rPr>
                <w:rFonts w:cs="Arial"/>
                <w:szCs w:val="21"/>
                <w:lang w:eastAsia="en-AU"/>
              </w:rPr>
              <w:t xml:space="preserve"> – Matrix</w:t>
            </w:r>
            <w:r>
              <w:rPr>
                <w:lang w:eastAsia="en-AU"/>
              </w:rPr>
              <w:t>)</w:t>
            </w:r>
          </w:p>
        </w:tc>
      </w:tr>
      <w:tr w:rsidR="00DA5D82" w:rsidRPr="003365E2" w14:paraId="226C6E56" w14:textId="77777777" w:rsidTr="00BE46C0">
        <w:tc>
          <w:tcPr>
            <w:tcW w:w="0" w:type="auto"/>
          </w:tcPr>
          <w:p w14:paraId="5B200C95" w14:textId="72915A1F" w:rsidR="00DA5D82" w:rsidRDefault="00DA5D82" w:rsidP="00153438">
            <w:pPr>
              <w:pStyle w:val="Tabletext"/>
              <w:rPr>
                <w:lang w:eastAsia="en-AU"/>
              </w:rPr>
            </w:pPr>
            <w:r>
              <w:rPr>
                <w:lang w:eastAsia="en-AU"/>
              </w:rPr>
              <w:t xml:space="preserve">Men satisfied with </w:t>
            </w:r>
            <w:r w:rsidR="00CF0F27">
              <w:rPr>
                <w:lang w:eastAsia="en-AU"/>
              </w:rPr>
              <w:t xml:space="preserve">their </w:t>
            </w:r>
            <w:r>
              <w:rPr>
                <w:lang w:eastAsia="en-AU"/>
              </w:rPr>
              <w:t xml:space="preserve">career advancement </w:t>
            </w:r>
          </w:p>
        </w:tc>
        <w:tc>
          <w:tcPr>
            <w:tcW w:w="812" w:type="dxa"/>
          </w:tcPr>
          <w:p w14:paraId="778F8A57" w14:textId="6FC917DF" w:rsidR="00DA5D82" w:rsidRPr="003365E2" w:rsidRDefault="0032052D" w:rsidP="00153438">
            <w:pPr>
              <w:pStyle w:val="Tabletext"/>
              <w:rPr>
                <w:lang w:eastAsia="en-AU"/>
              </w:rPr>
            </w:pPr>
            <w:r>
              <w:rPr>
                <w:lang w:eastAsia="en-AU"/>
              </w:rPr>
              <w:t>39.1%</w:t>
            </w:r>
          </w:p>
        </w:tc>
        <w:tc>
          <w:tcPr>
            <w:tcW w:w="844" w:type="dxa"/>
          </w:tcPr>
          <w:p w14:paraId="58BB201E" w14:textId="62D846A4" w:rsidR="00DA5D82" w:rsidRPr="003365E2" w:rsidRDefault="0032052D" w:rsidP="00153438">
            <w:pPr>
              <w:pStyle w:val="Tabletext"/>
              <w:rPr>
                <w:lang w:eastAsia="en-AU"/>
              </w:rPr>
            </w:pPr>
            <w:r>
              <w:rPr>
                <w:lang w:eastAsia="en-AU"/>
              </w:rPr>
              <w:t>35.8%</w:t>
            </w:r>
          </w:p>
        </w:tc>
        <w:tc>
          <w:tcPr>
            <w:tcW w:w="850" w:type="dxa"/>
          </w:tcPr>
          <w:p w14:paraId="1DCC0A20" w14:textId="7206A6CD" w:rsidR="00DA5D82" w:rsidRPr="003365E2" w:rsidRDefault="0032052D" w:rsidP="00153438">
            <w:pPr>
              <w:pStyle w:val="Tabletext"/>
              <w:rPr>
                <w:lang w:eastAsia="en-AU"/>
              </w:rPr>
            </w:pPr>
            <w:r>
              <w:rPr>
                <w:lang w:eastAsia="en-AU"/>
              </w:rPr>
              <w:t>43.4%</w:t>
            </w:r>
          </w:p>
        </w:tc>
        <w:tc>
          <w:tcPr>
            <w:tcW w:w="1559" w:type="dxa"/>
          </w:tcPr>
          <w:p w14:paraId="37AD1E54" w14:textId="305DDDEF" w:rsidR="00DA5D82" w:rsidRPr="003365E2" w:rsidRDefault="0032052D" w:rsidP="00153438">
            <w:pPr>
              <w:pStyle w:val="Tabletext"/>
              <w:rPr>
                <w:lang w:eastAsia="en-AU"/>
              </w:rPr>
            </w:pPr>
            <w:r>
              <w:rPr>
                <w:lang w:eastAsia="en-AU"/>
              </w:rPr>
              <w:t>+4.3pp</w:t>
            </w:r>
          </w:p>
        </w:tc>
        <w:tc>
          <w:tcPr>
            <w:tcW w:w="1927" w:type="dxa"/>
          </w:tcPr>
          <w:p w14:paraId="077158E8" w14:textId="57AF14F3" w:rsidR="00DA5D82" w:rsidRPr="003365E2" w:rsidRDefault="0032052D" w:rsidP="00153438">
            <w:pPr>
              <w:pStyle w:val="Tabletext"/>
              <w:rPr>
                <w:lang w:eastAsia="en-AU"/>
              </w:rPr>
            </w:pPr>
            <w:r>
              <w:rPr>
                <w:lang w:eastAsia="en-AU"/>
              </w:rPr>
              <w:t>Moderate (10</w:t>
            </w:r>
            <w:r w:rsidR="00D25757">
              <w:rPr>
                <w:rFonts w:cs="Arial"/>
                <w:szCs w:val="21"/>
                <w:lang w:eastAsia="en-AU"/>
              </w:rPr>
              <w:t xml:space="preserve"> – Matrix</w:t>
            </w:r>
            <w:r>
              <w:rPr>
                <w:lang w:eastAsia="en-AU"/>
              </w:rPr>
              <w:t>)</w:t>
            </w:r>
          </w:p>
        </w:tc>
      </w:tr>
      <w:tr w:rsidR="006611E6" w:rsidRPr="003365E2" w14:paraId="49C14081" w14:textId="77777777" w:rsidTr="004444B7">
        <w:tc>
          <w:tcPr>
            <w:tcW w:w="0" w:type="auto"/>
          </w:tcPr>
          <w:p w14:paraId="1BB48039" w14:textId="23A57466" w:rsidR="006611E6" w:rsidRDefault="00876C93" w:rsidP="00153438">
            <w:pPr>
              <w:pStyle w:val="Tabletext"/>
              <w:rPr>
                <w:lang w:eastAsia="en-AU"/>
              </w:rPr>
            </w:pPr>
            <w:r>
              <w:rPr>
                <w:lang w:eastAsia="en-AU"/>
              </w:rPr>
              <w:t>People of self-described gender satisfied with their career advancement</w:t>
            </w:r>
          </w:p>
        </w:tc>
        <w:tc>
          <w:tcPr>
            <w:tcW w:w="812" w:type="dxa"/>
          </w:tcPr>
          <w:p w14:paraId="76A7BF27" w14:textId="357A9B84" w:rsidR="006611E6" w:rsidRDefault="004D2335" w:rsidP="00153438">
            <w:pPr>
              <w:pStyle w:val="Tabletext"/>
              <w:rPr>
                <w:lang w:eastAsia="en-AU"/>
              </w:rPr>
            </w:pPr>
            <w:r>
              <w:rPr>
                <w:lang w:eastAsia="en-AU"/>
              </w:rPr>
              <w:t>24.3%</w:t>
            </w:r>
          </w:p>
        </w:tc>
        <w:tc>
          <w:tcPr>
            <w:tcW w:w="844" w:type="dxa"/>
          </w:tcPr>
          <w:p w14:paraId="1C5D4111" w14:textId="5398E7BA" w:rsidR="006611E6" w:rsidRDefault="004D2335" w:rsidP="00153438">
            <w:pPr>
              <w:pStyle w:val="Tabletext"/>
              <w:rPr>
                <w:lang w:eastAsia="en-AU"/>
              </w:rPr>
            </w:pPr>
            <w:r>
              <w:rPr>
                <w:lang w:eastAsia="en-AU"/>
              </w:rPr>
              <w:t>23.8%</w:t>
            </w:r>
          </w:p>
        </w:tc>
        <w:tc>
          <w:tcPr>
            <w:tcW w:w="850" w:type="dxa"/>
          </w:tcPr>
          <w:p w14:paraId="4095F36E" w14:textId="54B25304" w:rsidR="006611E6" w:rsidRDefault="0067756A" w:rsidP="00153438">
            <w:pPr>
              <w:pStyle w:val="Tabletext"/>
              <w:rPr>
                <w:lang w:eastAsia="en-AU"/>
              </w:rPr>
            </w:pPr>
            <w:r>
              <w:rPr>
                <w:lang w:eastAsia="en-AU"/>
              </w:rPr>
              <w:t>28.2</w:t>
            </w:r>
            <w:r w:rsidR="004D2335">
              <w:rPr>
                <w:lang w:eastAsia="en-AU"/>
              </w:rPr>
              <w:t>%</w:t>
            </w:r>
          </w:p>
        </w:tc>
        <w:tc>
          <w:tcPr>
            <w:tcW w:w="1559" w:type="dxa"/>
          </w:tcPr>
          <w:p w14:paraId="53A89D06" w14:textId="02533DC5" w:rsidR="006611E6" w:rsidRDefault="00E01856" w:rsidP="00153438">
            <w:pPr>
              <w:pStyle w:val="Tabletext"/>
              <w:rPr>
                <w:lang w:eastAsia="en-AU"/>
              </w:rPr>
            </w:pPr>
            <w:r>
              <w:rPr>
                <w:lang w:eastAsia="en-AU"/>
              </w:rPr>
              <w:t>+3.9</w:t>
            </w:r>
            <w:r w:rsidR="004D2335">
              <w:rPr>
                <w:lang w:eastAsia="en-AU"/>
              </w:rPr>
              <w:t>pp</w:t>
            </w:r>
          </w:p>
        </w:tc>
        <w:tc>
          <w:tcPr>
            <w:tcW w:w="1927" w:type="dxa"/>
            <w:shd w:val="clear" w:color="auto" w:fill="BFBFBF" w:themeFill="background1" w:themeFillShade="BF"/>
          </w:tcPr>
          <w:p w14:paraId="069CD5C3" w14:textId="683CF001" w:rsidR="006611E6" w:rsidRDefault="00FF64FD" w:rsidP="00153438">
            <w:pPr>
              <w:pStyle w:val="Tabletext"/>
              <w:rPr>
                <w:lang w:eastAsia="en-AU"/>
              </w:rPr>
            </w:pPr>
            <w:r>
              <w:rPr>
                <w:lang w:eastAsia="en-AU"/>
              </w:rPr>
              <w:t>n/a</w:t>
            </w:r>
          </w:p>
        </w:tc>
      </w:tr>
      <w:tr w:rsidR="00DA5D82" w:rsidRPr="003365E2" w14:paraId="2FE3A51A" w14:textId="77777777" w:rsidTr="00BE46C0">
        <w:tc>
          <w:tcPr>
            <w:tcW w:w="0" w:type="auto"/>
            <w:hideMark/>
          </w:tcPr>
          <w:p w14:paraId="654E63BF" w14:textId="7AA9074E" w:rsidR="00DA5D82" w:rsidRPr="003365E2" w:rsidRDefault="00DA5D82" w:rsidP="00153438">
            <w:pPr>
              <w:pStyle w:val="Tabletext"/>
              <w:rPr>
                <w:lang w:eastAsia="en-AU"/>
              </w:rPr>
            </w:pPr>
            <w:r>
              <w:rPr>
                <w:lang w:eastAsia="en-AU"/>
              </w:rPr>
              <w:t>Women experiencing barriers to career advancement</w:t>
            </w:r>
            <w:r w:rsidR="00102DCA">
              <w:rPr>
                <w:rStyle w:val="FootnoteReference"/>
                <w:lang w:eastAsia="en-AU"/>
              </w:rPr>
              <w:footnoteReference w:id="8"/>
            </w:r>
          </w:p>
        </w:tc>
        <w:tc>
          <w:tcPr>
            <w:tcW w:w="812" w:type="dxa"/>
            <w:hideMark/>
          </w:tcPr>
          <w:p w14:paraId="6D4E12B9" w14:textId="60D26A90" w:rsidR="00DA5D82" w:rsidRPr="003365E2" w:rsidRDefault="00616682" w:rsidP="00153438">
            <w:pPr>
              <w:pStyle w:val="Tabletext"/>
              <w:rPr>
                <w:lang w:eastAsia="en-AU"/>
              </w:rPr>
            </w:pPr>
            <w:r>
              <w:rPr>
                <w:lang w:eastAsia="en-AU"/>
              </w:rPr>
              <w:t>27.7%</w:t>
            </w:r>
          </w:p>
        </w:tc>
        <w:tc>
          <w:tcPr>
            <w:tcW w:w="844" w:type="dxa"/>
            <w:hideMark/>
          </w:tcPr>
          <w:p w14:paraId="66E2D11A" w14:textId="595BA7A7" w:rsidR="00DA5D82" w:rsidRPr="003365E2" w:rsidRDefault="00616682" w:rsidP="00153438">
            <w:pPr>
              <w:pStyle w:val="Tabletext"/>
              <w:rPr>
                <w:lang w:eastAsia="en-AU"/>
              </w:rPr>
            </w:pPr>
            <w:r>
              <w:rPr>
                <w:lang w:eastAsia="en-AU"/>
              </w:rPr>
              <w:t>27.3%</w:t>
            </w:r>
          </w:p>
        </w:tc>
        <w:tc>
          <w:tcPr>
            <w:tcW w:w="850" w:type="dxa"/>
            <w:hideMark/>
          </w:tcPr>
          <w:p w14:paraId="267CB3B4" w14:textId="4E00881D" w:rsidR="00DA5D82" w:rsidRPr="003365E2" w:rsidRDefault="002C0946" w:rsidP="00153438">
            <w:pPr>
              <w:pStyle w:val="Tabletext"/>
              <w:rPr>
                <w:lang w:eastAsia="en-AU"/>
              </w:rPr>
            </w:pPr>
            <w:r>
              <w:rPr>
                <w:lang w:eastAsia="en-AU"/>
              </w:rPr>
              <w:t>27.4%</w:t>
            </w:r>
          </w:p>
        </w:tc>
        <w:tc>
          <w:tcPr>
            <w:tcW w:w="1559" w:type="dxa"/>
            <w:hideMark/>
          </w:tcPr>
          <w:p w14:paraId="1906D164" w14:textId="1E05DEDE" w:rsidR="00DA5D82" w:rsidRPr="003365E2" w:rsidRDefault="002C0946" w:rsidP="00153438">
            <w:pPr>
              <w:pStyle w:val="Tabletext"/>
              <w:rPr>
                <w:lang w:eastAsia="en-AU"/>
              </w:rPr>
            </w:pPr>
            <w:r>
              <w:rPr>
                <w:lang w:eastAsia="en-AU"/>
              </w:rPr>
              <w:t>-0.3pp</w:t>
            </w:r>
          </w:p>
        </w:tc>
        <w:tc>
          <w:tcPr>
            <w:tcW w:w="1927" w:type="dxa"/>
            <w:hideMark/>
          </w:tcPr>
          <w:p w14:paraId="359BAA5E" w14:textId="4F906016" w:rsidR="00DA5D82" w:rsidRPr="003365E2" w:rsidRDefault="00B02266" w:rsidP="00153438">
            <w:pPr>
              <w:pStyle w:val="Tabletext"/>
              <w:rPr>
                <w:lang w:eastAsia="en-AU"/>
              </w:rPr>
            </w:pPr>
            <w:r>
              <w:rPr>
                <w:lang w:eastAsia="en-AU"/>
              </w:rPr>
              <w:t>Poor (7</w:t>
            </w:r>
            <w:r w:rsidR="00D25757">
              <w:rPr>
                <w:rFonts w:cs="Arial"/>
                <w:szCs w:val="21"/>
                <w:lang w:eastAsia="en-AU"/>
              </w:rPr>
              <w:t xml:space="preserve"> – Matrix</w:t>
            </w:r>
            <w:r>
              <w:rPr>
                <w:lang w:eastAsia="en-AU"/>
              </w:rPr>
              <w:t>)</w:t>
            </w:r>
          </w:p>
        </w:tc>
      </w:tr>
      <w:tr w:rsidR="00DA5D82" w:rsidRPr="003365E2" w14:paraId="25B497C1" w14:textId="77777777" w:rsidTr="00BE46C0">
        <w:tc>
          <w:tcPr>
            <w:tcW w:w="0" w:type="auto"/>
          </w:tcPr>
          <w:p w14:paraId="4A8D6683" w14:textId="791B7C06" w:rsidR="00DA5D82" w:rsidRDefault="00DA5D82" w:rsidP="00153438">
            <w:pPr>
              <w:pStyle w:val="Tabletext"/>
              <w:rPr>
                <w:lang w:eastAsia="en-AU"/>
              </w:rPr>
            </w:pPr>
            <w:r>
              <w:rPr>
                <w:lang w:eastAsia="en-AU"/>
              </w:rPr>
              <w:t xml:space="preserve">Men experiencing barriers to career advancement </w:t>
            </w:r>
          </w:p>
        </w:tc>
        <w:tc>
          <w:tcPr>
            <w:tcW w:w="812" w:type="dxa"/>
          </w:tcPr>
          <w:p w14:paraId="2DA28BE7" w14:textId="527F4648" w:rsidR="00DA5D82" w:rsidRDefault="007E60D9" w:rsidP="00153438">
            <w:pPr>
              <w:pStyle w:val="Tabletext"/>
              <w:rPr>
                <w:lang w:eastAsia="en-AU"/>
              </w:rPr>
            </w:pPr>
            <w:r>
              <w:rPr>
                <w:lang w:eastAsia="en-AU"/>
              </w:rPr>
              <w:t>28.0%</w:t>
            </w:r>
          </w:p>
        </w:tc>
        <w:tc>
          <w:tcPr>
            <w:tcW w:w="844" w:type="dxa"/>
          </w:tcPr>
          <w:p w14:paraId="4FDDEE5D" w14:textId="7428787E" w:rsidR="00DA5D82" w:rsidRDefault="007E60D9" w:rsidP="00153438">
            <w:pPr>
              <w:pStyle w:val="Tabletext"/>
              <w:rPr>
                <w:lang w:eastAsia="en-AU"/>
              </w:rPr>
            </w:pPr>
            <w:r>
              <w:rPr>
                <w:lang w:eastAsia="en-AU"/>
              </w:rPr>
              <w:t>23.8%</w:t>
            </w:r>
          </w:p>
        </w:tc>
        <w:tc>
          <w:tcPr>
            <w:tcW w:w="850" w:type="dxa"/>
          </w:tcPr>
          <w:p w14:paraId="100E50A3" w14:textId="119C8C53" w:rsidR="00DA5D82" w:rsidRPr="003365E2" w:rsidRDefault="007E60D9" w:rsidP="00153438">
            <w:pPr>
              <w:pStyle w:val="Tabletext"/>
              <w:rPr>
                <w:lang w:eastAsia="en-AU"/>
              </w:rPr>
            </w:pPr>
            <w:r>
              <w:rPr>
                <w:lang w:eastAsia="en-AU"/>
              </w:rPr>
              <w:t>22.8%</w:t>
            </w:r>
          </w:p>
        </w:tc>
        <w:tc>
          <w:tcPr>
            <w:tcW w:w="1559" w:type="dxa"/>
          </w:tcPr>
          <w:p w14:paraId="10383171" w14:textId="304BCBE1" w:rsidR="00DA5D82" w:rsidRPr="003365E2" w:rsidRDefault="007E60D9" w:rsidP="00153438">
            <w:pPr>
              <w:pStyle w:val="Tabletext"/>
              <w:rPr>
                <w:lang w:eastAsia="en-AU"/>
              </w:rPr>
            </w:pPr>
            <w:r>
              <w:rPr>
                <w:lang w:eastAsia="en-AU"/>
              </w:rPr>
              <w:t>-5.2pp</w:t>
            </w:r>
          </w:p>
        </w:tc>
        <w:tc>
          <w:tcPr>
            <w:tcW w:w="1927" w:type="dxa"/>
          </w:tcPr>
          <w:p w14:paraId="56CD86AE" w14:textId="05875760" w:rsidR="00DA5D82" w:rsidRPr="003365E2" w:rsidRDefault="006611E6" w:rsidP="00153438">
            <w:pPr>
              <w:pStyle w:val="Tabletext"/>
              <w:rPr>
                <w:lang w:eastAsia="en-AU"/>
              </w:rPr>
            </w:pPr>
            <w:r>
              <w:rPr>
                <w:lang w:eastAsia="en-AU"/>
              </w:rPr>
              <w:t>Moderate (10</w:t>
            </w:r>
            <w:r w:rsidR="00D25757">
              <w:rPr>
                <w:rFonts w:cs="Arial"/>
                <w:szCs w:val="21"/>
                <w:lang w:eastAsia="en-AU"/>
              </w:rPr>
              <w:t xml:space="preserve"> – Matrix</w:t>
            </w:r>
            <w:r>
              <w:rPr>
                <w:lang w:eastAsia="en-AU"/>
              </w:rPr>
              <w:t>)</w:t>
            </w:r>
          </w:p>
        </w:tc>
      </w:tr>
      <w:tr w:rsidR="006611E6" w:rsidRPr="003365E2" w14:paraId="2681604E" w14:textId="77777777" w:rsidTr="004444B7">
        <w:tc>
          <w:tcPr>
            <w:tcW w:w="0" w:type="auto"/>
          </w:tcPr>
          <w:p w14:paraId="0BAF0234" w14:textId="09F9003F" w:rsidR="006611E6" w:rsidRDefault="00876C93" w:rsidP="00153438">
            <w:pPr>
              <w:pStyle w:val="Tabletext"/>
              <w:rPr>
                <w:lang w:eastAsia="en-AU"/>
              </w:rPr>
            </w:pPr>
            <w:r>
              <w:rPr>
                <w:lang w:eastAsia="en-AU"/>
              </w:rPr>
              <w:t>People of self-described gender experiencing barriers to career advancement</w:t>
            </w:r>
          </w:p>
        </w:tc>
        <w:tc>
          <w:tcPr>
            <w:tcW w:w="812" w:type="dxa"/>
          </w:tcPr>
          <w:p w14:paraId="53F43D03" w14:textId="48187535" w:rsidR="006611E6" w:rsidRPr="003365E2" w:rsidRDefault="007E60D9" w:rsidP="00153438">
            <w:pPr>
              <w:pStyle w:val="Tabletext"/>
              <w:rPr>
                <w:lang w:eastAsia="en-AU"/>
              </w:rPr>
            </w:pPr>
            <w:r>
              <w:rPr>
                <w:lang w:eastAsia="en-AU"/>
              </w:rPr>
              <w:t>51.8%</w:t>
            </w:r>
          </w:p>
        </w:tc>
        <w:tc>
          <w:tcPr>
            <w:tcW w:w="844" w:type="dxa"/>
          </w:tcPr>
          <w:p w14:paraId="5BD577CD" w14:textId="5AB25FC2" w:rsidR="006611E6" w:rsidRPr="003365E2" w:rsidRDefault="007E60D9" w:rsidP="00153438">
            <w:pPr>
              <w:pStyle w:val="Tabletext"/>
              <w:rPr>
                <w:lang w:eastAsia="en-AU"/>
              </w:rPr>
            </w:pPr>
            <w:r>
              <w:rPr>
                <w:lang w:eastAsia="en-AU"/>
              </w:rPr>
              <w:t>52.8%</w:t>
            </w:r>
          </w:p>
        </w:tc>
        <w:tc>
          <w:tcPr>
            <w:tcW w:w="850" w:type="dxa"/>
          </w:tcPr>
          <w:p w14:paraId="2761D9E7" w14:textId="696D159C" w:rsidR="006611E6" w:rsidRPr="003365E2" w:rsidRDefault="007E60D9" w:rsidP="00153438">
            <w:pPr>
              <w:pStyle w:val="Tabletext"/>
              <w:rPr>
                <w:lang w:eastAsia="en-AU"/>
              </w:rPr>
            </w:pPr>
            <w:r>
              <w:rPr>
                <w:lang w:eastAsia="en-AU"/>
              </w:rPr>
              <w:t>56.4%</w:t>
            </w:r>
          </w:p>
        </w:tc>
        <w:tc>
          <w:tcPr>
            <w:tcW w:w="1559" w:type="dxa"/>
          </w:tcPr>
          <w:p w14:paraId="6FF13201" w14:textId="6A98A69A" w:rsidR="006611E6" w:rsidRPr="003365E2" w:rsidRDefault="007E60D9" w:rsidP="00153438">
            <w:pPr>
              <w:pStyle w:val="Tabletext"/>
              <w:rPr>
                <w:lang w:eastAsia="en-AU"/>
              </w:rPr>
            </w:pPr>
            <w:r>
              <w:rPr>
                <w:lang w:eastAsia="en-AU"/>
              </w:rPr>
              <w:t>+4.7pp</w:t>
            </w:r>
          </w:p>
        </w:tc>
        <w:tc>
          <w:tcPr>
            <w:tcW w:w="1927" w:type="dxa"/>
            <w:shd w:val="clear" w:color="auto" w:fill="BFBFBF" w:themeFill="background1" w:themeFillShade="BF"/>
          </w:tcPr>
          <w:p w14:paraId="13184E52" w14:textId="04D047CF" w:rsidR="006611E6" w:rsidRDefault="00A70585" w:rsidP="00153438">
            <w:pPr>
              <w:pStyle w:val="Tabletext"/>
              <w:rPr>
                <w:lang w:eastAsia="en-AU"/>
              </w:rPr>
            </w:pPr>
            <w:r>
              <w:rPr>
                <w:lang w:eastAsia="en-AU"/>
              </w:rPr>
              <w:t>n/a</w:t>
            </w:r>
          </w:p>
        </w:tc>
      </w:tr>
    </w:tbl>
    <w:p w14:paraId="65488470" w14:textId="77777777" w:rsidR="00803AB3" w:rsidRDefault="00803AB3" w:rsidP="00641E1E">
      <w:pPr>
        <w:pStyle w:val="Tablefigurenote"/>
      </w:pPr>
      <w:r w:rsidRPr="006C41AA">
        <w:t>Source: People matter survey data, 2021, 2023 and 2025.</w:t>
      </w:r>
    </w:p>
    <w:p w14:paraId="230B51ED" w14:textId="3618A608" w:rsidR="005E1B45" w:rsidRDefault="00641E1E" w:rsidP="00641E1E">
      <w:pPr>
        <w:pStyle w:val="Tablefigurenote"/>
        <w:rPr>
          <w:highlight w:val="yellow"/>
          <w:lang w:eastAsia="en-AU"/>
        </w:rPr>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00843234">
        <w:t xml:space="preserve"> </w:t>
      </w:r>
      <w:r w:rsidR="00843234" w:rsidRPr="00AE1037">
        <w:t xml:space="preserve">The </w:t>
      </w:r>
      <w:r w:rsidR="00843234">
        <w:t xml:space="preserve">percentage point </w:t>
      </w:r>
      <w:r w:rsidR="00843234" w:rsidRPr="00AE1037">
        <w:t>change column may not always reflect the exact difference between years due to rounding</w:t>
      </w:r>
      <w:r w:rsidRPr="00C27278">
        <w:t>.</w:t>
      </w:r>
    </w:p>
    <w:p w14:paraId="3DFE549C" w14:textId="7A17A385" w:rsidR="00BA3693" w:rsidRDefault="00280AAC" w:rsidP="009A3C55">
      <w:pPr>
        <w:pStyle w:val="Heading3"/>
      </w:pPr>
      <w:r>
        <w:t>Signs of progress</w:t>
      </w:r>
      <w:r w:rsidR="00AF3E05">
        <w:t xml:space="preserve"> </w:t>
      </w:r>
    </w:p>
    <w:p w14:paraId="7D5575B1" w14:textId="77777777" w:rsidR="00D53360" w:rsidRDefault="00D53360" w:rsidP="00E12B71">
      <w:pPr>
        <w:pStyle w:val="Heading4"/>
      </w:pPr>
      <w:r>
        <w:t xml:space="preserve">Men and </w:t>
      </w:r>
      <w:r w:rsidR="007A1B60" w:rsidRPr="00C27278">
        <w:t xml:space="preserve">women </w:t>
      </w:r>
      <w:r>
        <w:t xml:space="preserve">were promoted at similar rates </w:t>
      </w:r>
    </w:p>
    <w:p w14:paraId="7A469527" w14:textId="4C3C4C07" w:rsidR="001E7A9B" w:rsidRDefault="00D53360" w:rsidP="0078531C">
      <w:pPr>
        <w:pStyle w:val="BodyText"/>
      </w:pPr>
      <w:r w:rsidRPr="00C27278">
        <w:t xml:space="preserve">Between 2021 and 2025, the Victorian public sector closed the small gender gap in promotions. </w:t>
      </w:r>
      <w:r w:rsidR="001E7A9B" w:rsidRPr="001E7A9B">
        <w:t xml:space="preserve">In 2025 there was effectively no gap, with 8.2% of women and 8.3% of men promoted over a 12-month period. </w:t>
      </w:r>
      <w:r w:rsidR="004B62EC" w:rsidRPr="004B62EC">
        <w:t>This indicates that, at the aggregate level, women and men were promoted at similar rates during the reporting period. It does not necessarily mean they had equal access to development opportunities or senior leadership positions.</w:t>
      </w:r>
    </w:p>
    <w:p w14:paraId="51EBF411" w14:textId="3B2B2D5A" w:rsidR="00D53360" w:rsidRPr="00D53360" w:rsidRDefault="001E7A9B" w:rsidP="0078531C">
      <w:pPr>
        <w:pStyle w:val="BodyText"/>
      </w:pPr>
      <w:r w:rsidRPr="001E7A9B">
        <w:t>Industry-level</w:t>
      </w:r>
      <w:r w:rsidR="00D53360">
        <w:t xml:space="preserve"> gaps </w:t>
      </w:r>
      <w:r w:rsidR="00F55B7C">
        <w:t xml:space="preserve">were </w:t>
      </w:r>
      <w:r w:rsidRPr="001E7A9B">
        <w:t>minor</w:t>
      </w:r>
      <w:r w:rsidR="00E46ACB">
        <w:t>.</w:t>
      </w:r>
      <w:r w:rsidRPr="001E7A9B">
        <w:t xml:space="preserve"> </w:t>
      </w:r>
      <w:r w:rsidR="00CF0B26">
        <w:t>T</w:t>
      </w:r>
      <w:r w:rsidRPr="001E7A9B">
        <w:t>he</w:t>
      </w:r>
      <w:r w:rsidR="00D53360" w:rsidRPr="00C27278">
        <w:t xml:space="preserve"> largest gap</w:t>
      </w:r>
      <w:r w:rsidRPr="001E7A9B">
        <w:t>,</w:t>
      </w:r>
      <w:r w:rsidR="00D53360" w:rsidRPr="00C27278">
        <w:t xml:space="preserve"> in transport </w:t>
      </w:r>
      <w:r w:rsidRPr="001E7A9B">
        <w:t>(</w:t>
      </w:r>
      <w:r w:rsidR="00D53360" w:rsidRPr="00C27278">
        <w:t xml:space="preserve">2.8 percentage </w:t>
      </w:r>
      <w:r w:rsidRPr="001E7A9B">
        <w:t>points</w:t>
      </w:r>
      <w:r w:rsidR="00D53360" w:rsidRPr="00C27278">
        <w:t xml:space="preserve"> in favour of women</w:t>
      </w:r>
      <w:r w:rsidRPr="001E7A9B">
        <w:t>), is consistent with that industry</w:t>
      </w:r>
      <w:r w:rsidR="002F55AB">
        <w:t>’</w:t>
      </w:r>
      <w:r w:rsidRPr="001E7A9B">
        <w:t>s sustained</w:t>
      </w:r>
      <w:r w:rsidR="00D53360" w:rsidRPr="00C27278">
        <w:t xml:space="preserve"> effort to attract, retain and promote women</w:t>
      </w:r>
      <w:r w:rsidR="00D53360">
        <w:t xml:space="preserve">. </w:t>
      </w:r>
      <w:r w:rsidR="00D53360" w:rsidRPr="00D00373">
        <w:t>To read more about the barriers and enablers to increasing women in transport in the Victorian context, see</w:t>
      </w:r>
      <w:r w:rsidR="00D53360" w:rsidRPr="00B94C27">
        <w:rPr>
          <w:szCs w:val="18"/>
        </w:rPr>
        <w:t xml:space="preserve"> </w:t>
      </w:r>
      <w:r w:rsidR="00D53360" w:rsidRPr="0033353E">
        <w:rPr>
          <w:rFonts w:cs="Arial"/>
          <w:szCs w:val="18"/>
        </w:rPr>
        <w:t>Ghalebeigi et al</w:t>
      </w:r>
      <w:r w:rsidR="00D53360">
        <w:t>.</w:t>
      </w:r>
      <w:r w:rsidR="00A700BC">
        <w:rPr>
          <w:szCs w:val="18"/>
        </w:rPr>
        <w:t xml:space="preserve"> (</w:t>
      </w:r>
      <w:r w:rsidR="000D1839">
        <w:rPr>
          <w:szCs w:val="18"/>
        </w:rPr>
        <w:t>2022).</w:t>
      </w:r>
    </w:p>
    <w:p w14:paraId="475887FA" w14:textId="7A199675" w:rsidR="00E12B71" w:rsidRDefault="00E12B71" w:rsidP="00E12B71">
      <w:pPr>
        <w:pStyle w:val="Heading4"/>
      </w:pPr>
      <w:r>
        <w:t>More employees of all genders believe</w:t>
      </w:r>
      <w:r w:rsidR="009A24AB">
        <w:t>d</w:t>
      </w:r>
      <w:r>
        <w:t xml:space="preserve"> that recruitment processes </w:t>
      </w:r>
      <w:r w:rsidR="009A24AB">
        <w:t>were</w:t>
      </w:r>
      <w:r>
        <w:t xml:space="preserve"> fair</w:t>
      </w:r>
      <w:r w:rsidR="009A24AB">
        <w:t xml:space="preserve"> </w:t>
      </w:r>
    </w:p>
    <w:p w14:paraId="2A65628E" w14:textId="50D125FA" w:rsidR="00E12B71" w:rsidRDefault="00C05291" w:rsidP="0078531C">
      <w:pPr>
        <w:pStyle w:val="BodyText"/>
      </w:pPr>
      <w:r>
        <w:t>Between 2021 and</w:t>
      </w:r>
      <w:r w:rsidR="00E12B71">
        <w:t xml:space="preserve"> 2025,</w:t>
      </w:r>
      <w:r w:rsidR="00E12B71" w:rsidRPr="00C27278">
        <w:t xml:space="preserve"> </w:t>
      </w:r>
      <w:r w:rsidR="009E4F6A">
        <w:t xml:space="preserve">perceptions of </w:t>
      </w:r>
      <w:r w:rsidR="00B45F19">
        <w:t>the fairness</w:t>
      </w:r>
      <w:r w:rsidR="009E4F6A">
        <w:t xml:space="preserve"> of </w:t>
      </w:r>
      <w:r w:rsidR="00E12B71">
        <w:t xml:space="preserve">recruitment processes </w:t>
      </w:r>
      <w:r w:rsidR="009E4F6A">
        <w:t xml:space="preserve">improved across all genders. </w:t>
      </w:r>
      <w:r w:rsidR="00FD39EC">
        <w:t>The proportion of men who belie</w:t>
      </w:r>
      <w:r w:rsidR="00D857AE">
        <w:t>ved</w:t>
      </w:r>
      <w:r w:rsidR="00CC2A32">
        <w:t xml:space="preserve"> recruitment processes </w:t>
      </w:r>
      <w:r w:rsidR="00CC3FD4">
        <w:t xml:space="preserve">in their organisation </w:t>
      </w:r>
      <w:r w:rsidR="00E12B71">
        <w:t xml:space="preserve">were fair </w:t>
      </w:r>
      <w:r w:rsidR="00CC2A32">
        <w:t xml:space="preserve">increased by </w:t>
      </w:r>
      <w:r w:rsidR="009E1CD8">
        <w:t>9.7</w:t>
      </w:r>
      <w:r w:rsidR="00CC2A32">
        <w:t xml:space="preserve"> percentage points (to</w:t>
      </w:r>
      <w:r w:rsidR="00D857AE">
        <w:t xml:space="preserve"> </w:t>
      </w:r>
      <w:r w:rsidR="00E12B71">
        <w:t>65.0%</w:t>
      </w:r>
      <w:r w:rsidR="00CC2A32">
        <w:t>),</w:t>
      </w:r>
      <w:r w:rsidR="0025200A">
        <w:t xml:space="preserve"> while</w:t>
      </w:r>
      <w:r w:rsidR="00CC2A32">
        <w:t xml:space="preserve"> </w:t>
      </w:r>
      <w:r w:rsidR="00FE4606">
        <w:t xml:space="preserve">the proportion of women increased </w:t>
      </w:r>
      <w:r w:rsidR="00B76723">
        <w:t>6.8</w:t>
      </w:r>
      <w:r w:rsidR="00FE4606">
        <w:t xml:space="preserve"> percentage points</w:t>
      </w:r>
      <w:r w:rsidR="00E12B71">
        <w:t xml:space="preserve"> </w:t>
      </w:r>
      <w:r w:rsidR="00FE4606">
        <w:t xml:space="preserve">(to </w:t>
      </w:r>
      <w:r w:rsidR="00E12B71">
        <w:t>64.8%</w:t>
      </w:r>
      <w:r w:rsidR="00FE4606">
        <w:t>)</w:t>
      </w:r>
      <w:r w:rsidR="00E12B71">
        <w:t xml:space="preserve">. The largest increase was among </w:t>
      </w:r>
      <w:r w:rsidR="00B522FB">
        <w:t>employees</w:t>
      </w:r>
      <w:r w:rsidR="00E12B71">
        <w:t xml:space="preserve"> of self-described gender</w:t>
      </w:r>
      <w:r w:rsidR="0025200A">
        <w:t xml:space="preserve">, </w:t>
      </w:r>
      <w:r w:rsidR="00692C68">
        <w:t xml:space="preserve">up </w:t>
      </w:r>
      <w:r w:rsidR="00E12B71">
        <w:t>11.8 percentage points</w:t>
      </w:r>
      <w:r w:rsidR="0025200A">
        <w:t xml:space="preserve"> (to 47.8</w:t>
      </w:r>
      <w:r w:rsidR="00A3670D">
        <w:t>%</w:t>
      </w:r>
      <w:r w:rsidR="00E12B71">
        <w:t xml:space="preserve">). </w:t>
      </w:r>
      <w:r w:rsidR="00B522FB" w:rsidRPr="00B522FB">
        <w:t>Gender-diverse employees</w:t>
      </w:r>
      <w:r w:rsidR="002F55AB">
        <w:t>’</w:t>
      </w:r>
      <w:r w:rsidR="00B522FB" w:rsidRPr="00B522FB">
        <w:t xml:space="preserve"> confidence, while improving, remains well below that of women and men.</w:t>
      </w:r>
    </w:p>
    <w:p w14:paraId="0B36848A" w14:textId="7A5582A0" w:rsidR="00B56B1C" w:rsidRDefault="00E12B71" w:rsidP="0078531C">
      <w:pPr>
        <w:pStyle w:val="BodyText"/>
      </w:pPr>
      <w:r>
        <w:t>These results show improved perceptions of fairness in recruitment and promotion practices. This is separate to material recruitment and promotion outcomes.</w:t>
      </w:r>
      <w:r>
        <w:rPr>
          <w:rStyle w:val="FootnoteReference"/>
        </w:rPr>
        <w:footnoteReference w:id="9"/>
      </w:r>
      <w:r>
        <w:t xml:space="preserve"> </w:t>
      </w:r>
      <w:r w:rsidR="00B56B1C" w:rsidRPr="00B56B1C">
        <w:t>The Commission</w:t>
      </w:r>
      <w:r w:rsidR="002F55AB">
        <w:t>’</w:t>
      </w:r>
      <w:r w:rsidR="00B56B1C" w:rsidRPr="00B56B1C">
        <w:t xml:space="preserve">s data shows almost no gender difference in perceived fairness, but research </w:t>
      </w:r>
      <w:r w:rsidR="004B70BF" w:rsidRPr="004B70BF">
        <w:t>suggests that</w:t>
      </w:r>
      <w:r w:rsidR="00B56B1C" w:rsidRPr="00B56B1C">
        <w:t xml:space="preserve"> perceptions </w:t>
      </w:r>
      <w:r w:rsidR="004B70BF" w:rsidRPr="004B70BF">
        <w:t>of fairness can</w:t>
      </w:r>
      <w:r w:rsidR="00B56B1C" w:rsidRPr="00B56B1C">
        <w:t xml:space="preserve"> themselves </w:t>
      </w:r>
      <w:r w:rsidR="004B70BF" w:rsidRPr="004B70BF">
        <w:t xml:space="preserve">be shaped by </w:t>
      </w:r>
      <w:r w:rsidR="00B56B1C" w:rsidRPr="00B56B1C">
        <w:t>gendered</w:t>
      </w:r>
      <w:r w:rsidR="004B70BF" w:rsidRPr="004B70BF">
        <w:t xml:space="preserve"> expectations and organisational position.</w:t>
      </w:r>
      <w:r w:rsidR="00B56B1C" w:rsidRPr="00B56B1C">
        <w:t xml:space="preserve"> </w:t>
      </w:r>
      <w:r w:rsidR="00182D09">
        <w:t>M</w:t>
      </w:r>
      <w:r w:rsidR="00B56B1C" w:rsidRPr="00B56B1C">
        <w:t>en are more often socialised to expect rapid advancement and may rate their own prospects more highly than equally performing women (Adamecz-Völgyi and Shure 2022)</w:t>
      </w:r>
      <w:r w:rsidR="00007142">
        <w:t>.</w:t>
      </w:r>
      <w:r w:rsidR="00B56B1C" w:rsidRPr="00B56B1C">
        <w:t xml:space="preserve"> </w:t>
      </w:r>
      <w:r w:rsidR="00007142">
        <w:t>W</w:t>
      </w:r>
      <w:r w:rsidR="00B56B1C" w:rsidRPr="00B56B1C">
        <w:t>omen concentrated at lower levels may simply have less visibility of how recruitment decision</w:t>
      </w:r>
      <w:r w:rsidR="00B56B1C" w:rsidRPr="007945B9">
        <w:t>s are made</w:t>
      </w:r>
      <w:r w:rsidR="00517847" w:rsidRPr="007945B9">
        <w:t xml:space="preserve">, </w:t>
      </w:r>
      <w:r w:rsidR="008F2158" w:rsidRPr="004444B7">
        <w:t>such as</w:t>
      </w:r>
      <w:r w:rsidR="00517847" w:rsidRPr="007945B9">
        <w:t xml:space="preserve"> </w:t>
      </w:r>
      <w:r w:rsidR="00507F76" w:rsidRPr="007945B9">
        <w:t xml:space="preserve">informal and behind-the-scenes </w:t>
      </w:r>
      <w:r w:rsidR="00397053" w:rsidRPr="007945B9">
        <w:t>factors that contribute to decision</w:t>
      </w:r>
      <w:r w:rsidR="007945B9">
        <w:t>-making</w:t>
      </w:r>
      <w:r w:rsidR="00B56B1C" w:rsidRPr="007945B9">
        <w:t>.</w:t>
      </w:r>
      <w:r w:rsidR="00B56B1C" w:rsidRPr="00B56B1C">
        <w:t xml:space="preserve"> Perceptions of fairness should not, therefore, be read as proof of equal opportunity or equal outcomes.</w:t>
      </w:r>
    </w:p>
    <w:p w14:paraId="457A5782" w14:textId="6A806118" w:rsidR="00E12B71" w:rsidRDefault="00E12B71" w:rsidP="00E12B71">
      <w:pPr>
        <w:pStyle w:val="Heading4"/>
      </w:pPr>
      <w:r>
        <w:t xml:space="preserve">Satisfaction with career advancement increased </w:t>
      </w:r>
      <w:r w:rsidR="00B56B1C">
        <w:t>for</w:t>
      </w:r>
      <w:r>
        <w:t xml:space="preserve"> all genders </w:t>
      </w:r>
    </w:p>
    <w:p w14:paraId="3EAD78E4" w14:textId="0D110226" w:rsidR="000322AE" w:rsidRDefault="000322AE" w:rsidP="0078531C">
      <w:pPr>
        <w:pStyle w:val="BodyText"/>
      </w:pPr>
      <w:r w:rsidRPr="000322AE">
        <w:t>Women</w:t>
      </w:r>
      <w:r w:rsidR="002F55AB">
        <w:t>’</w:t>
      </w:r>
      <w:r w:rsidRPr="000322AE">
        <w:t>s satisfaction with their career advancement rose to 42.3% in 2025 (from 39.3% in 2021) and men</w:t>
      </w:r>
      <w:r w:rsidR="002F55AB">
        <w:t>’</w:t>
      </w:r>
      <w:r w:rsidRPr="000322AE">
        <w:t>s to 43.4% (from 39.1%)</w:t>
      </w:r>
      <w:r w:rsidR="004221A8">
        <w:t xml:space="preserve">. </w:t>
      </w:r>
      <w:r w:rsidRPr="000322AE">
        <w:t xml:space="preserve">Gender-diverse employees saw similar growth (up 3.9 points to 28.2%) but remained </w:t>
      </w:r>
      <w:r w:rsidR="002E7C5F">
        <w:t>substantially lower than</w:t>
      </w:r>
      <w:r w:rsidR="007477CD">
        <w:t xml:space="preserve"> for women and men</w:t>
      </w:r>
      <w:r w:rsidRPr="000322AE">
        <w:t>.</w:t>
      </w:r>
    </w:p>
    <w:p w14:paraId="5BB6124F" w14:textId="608C2353" w:rsidR="00762B9C" w:rsidRDefault="009E336E" w:rsidP="0078531C">
      <w:pPr>
        <w:pStyle w:val="BodyText"/>
      </w:pPr>
      <w:r>
        <w:t>These findings should be interpreted with caution</w:t>
      </w:r>
      <w:r w:rsidR="00042963" w:rsidRPr="00042963">
        <w:t xml:space="preserve">. </w:t>
      </w:r>
      <w:r w:rsidR="00762B9C" w:rsidRPr="00762B9C">
        <w:t>Job satisfaction measures how employees feel about their careers, not whether career opportunities and outcomes are equitable. High satisfaction can exist alongside unequal pay, limited progression opportunities and other forms of workplace inequality.</w:t>
      </w:r>
      <w:r w:rsidR="00762B9C">
        <w:t xml:space="preserve"> </w:t>
      </w:r>
    </w:p>
    <w:p w14:paraId="527D8543" w14:textId="76ABEA58" w:rsidR="00E12B71" w:rsidRDefault="00042963" w:rsidP="00C91B19">
      <w:pPr>
        <w:pStyle w:val="BodyText"/>
      </w:pPr>
      <w:r w:rsidRPr="00042963">
        <w:t xml:space="preserve">Research </w:t>
      </w:r>
      <w:r w:rsidR="00240D70" w:rsidRPr="00240D70">
        <w:t>has identified several possible explanations for this</w:t>
      </w:r>
      <w:r w:rsidR="00E12B71">
        <w:t xml:space="preserve"> disconnect</w:t>
      </w:r>
      <w:r w:rsidR="00240D70" w:rsidRPr="00240D70">
        <w:t>,</w:t>
      </w:r>
      <w:r w:rsidR="00E12B71">
        <w:t xml:space="preserve"> </w:t>
      </w:r>
      <w:r w:rsidRPr="00042963">
        <w:t xml:space="preserve">sometimes </w:t>
      </w:r>
      <w:r w:rsidR="00240D70" w:rsidRPr="00240D70">
        <w:t xml:space="preserve">referred to as </w:t>
      </w:r>
      <w:r w:rsidR="00E12B71">
        <w:t xml:space="preserve">the </w:t>
      </w:r>
      <w:r w:rsidR="00652B3F">
        <w:t>‘</w:t>
      </w:r>
      <w:r w:rsidR="00E12B71">
        <w:t xml:space="preserve">paradox of the contented female </w:t>
      </w:r>
      <w:r w:rsidR="00240D70" w:rsidRPr="00652B3F">
        <w:t>worker</w:t>
      </w:r>
      <w:r w:rsidR="00652B3F">
        <w:t>’</w:t>
      </w:r>
      <w:r w:rsidR="00240D70" w:rsidRPr="00240D70">
        <w:t xml:space="preserve">. These include differences in what </w:t>
      </w:r>
      <w:r w:rsidR="005F7BAF" w:rsidRPr="00240D70">
        <w:t>employees</w:t>
      </w:r>
      <w:r w:rsidR="00240D70" w:rsidRPr="00240D70">
        <w:t xml:space="preserve"> value at work, adaptation to workplace conditions, caring responsibilities, and differences in the expectations or reference points people use when assessing their careers</w:t>
      </w:r>
      <w:r w:rsidR="00824A7F">
        <w:t xml:space="preserve"> (</w:t>
      </w:r>
      <w:r w:rsidR="006D21F6" w:rsidRPr="006D21F6">
        <w:t>Walters 2005; Long 2005</w:t>
      </w:r>
      <w:r w:rsidR="006D21F6">
        <w:t xml:space="preserve">; </w:t>
      </w:r>
      <w:r w:rsidR="006D21F6" w:rsidRPr="006D21F6">
        <w:t>Gerson et al. 2007</w:t>
      </w:r>
      <w:r w:rsidR="006D21F6">
        <w:t xml:space="preserve">; </w:t>
      </w:r>
      <w:r w:rsidR="006D21F6" w:rsidRPr="006D21F6">
        <w:t>Aletraris 2010</w:t>
      </w:r>
      <w:r w:rsidR="006D21F6">
        <w:t xml:space="preserve">; </w:t>
      </w:r>
      <w:r w:rsidR="00203872" w:rsidRPr="00203872">
        <w:t>Fleming and Kler 2014; Kifle et al. 2014</w:t>
      </w:r>
      <w:r w:rsidR="00203872">
        <w:t xml:space="preserve">; </w:t>
      </w:r>
      <w:r w:rsidR="00824A7F">
        <w:t>Zou 2015</w:t>
      </w:r>
      <w:r w:rsidR="00203872">
        <w:t>;</w:t>
      </w:r>
      <w:r w:rsidR="00824A7F">
        <w:t xml:space="preserve"> Carvajal et al. </w:t>
      </w:r>
      <w:r w:rsidR="00203872">
        <w:t>2021</w:t>
      </w:r>
      <w:r w:rsidR="006D21F6">
        <w:t xml:space="preserve">; </w:t>
      </w:r>
      <w:r w:rsidR="006D21F6" w:rsidRPr="006D21F6">
        <w:t>Dockery and Buchler 2023</w:t>
      </w:r>
      <w:r w:rsidR="006D21F6">
        <w:t xml:space="preserve">). </w:t>
      </w:r>
      <w:r w:rsidR="00E12B71">
        <w:t xml:space="preserve">Research funded by the Commission </w:t>
      </w:r>
      <w:r w:rsidR="00203872" w:rsidRPr="00203872">
        <w:t>also</w:t>
      </w:r>
      <w:r w:rsidR="00E12B71">
        <w:t xml:space="preserve"> found that the flexibility offered in the Victorian public </w:t>
      </w:r>
      <w:r w:rsidR="00203872" w:rsidRPr="00203872">
        <w:t>sector</w:t>
      </w:r>
      <w:r w:rsidR="00E12B71">
        <w:t xml:space="preserve"> makes it an attractive workplace for </w:t>
      </w:r>
      <w:r w:rsidR="00203872" w:rsidRPr="00203872">
        <w:t>many employees with caring</w:t>
      </w:r>
      <w:r w:rsidR="00E12B71">
        <w:t xml:space="preserve"> responsibilities (Dangar et al. </w:t>
      </w:r>
      <w:r w:rsidR="00203872" w:rsidRPr="00203872">
        <w:t>2023)</w:t>
      </w:r>
      <w:r w:rsidR="00240D70">
        <w:t>.</w:t>
      </w:r>
      <w:r w:rsidRPr="00042963">
        <w:t xml:space="preserve"> </w:t>
      </w:r>
    </w:p>
    <w:p w14:paraId="3E4B9C8B" w14:textId="77777777" w:rsidR="009309CF" w:rsidRDefault="00E25E08" w:rsidP="00C91B19">
      <w:pPr>
        <w:pStyle w:val="Body"/>
      </w:pPr>
      <w:r w:rsidRPr="00E25E08">
        <w:t>For these reasons, satisfaction should not be interpreted as evidence that career opportunities or outcomes are equitable. Instead, it is one measure that should be considered alongside objective workforce data on recruitment, promotion</w:t>
      </w:r>
      <w:r w:rsidR="009309CF">
        <w:t xml:space="preserve"> and</w:t>
      </w:r>
      <w:r w:rsidRPr="00E25E08">
        <w:t xml:space="preserve"> development opportunities</w:t>
      </w:r>
      <w:r w:rsidR="009309CF">
        <w:t>,</w:t>
      </w:r>
      <w:r w:rsidRPr="00E25E08">
        <w:t xml:space="preserve"> and reported barriers to career advancement.</w:t>
      </w:r>
      <w:r>
        <w:t xml:space="preserve"> </w:t>
      </w:r>
    </w:p>
    <w:p w14:paraId="6959AEC5" w14:textId="77E912C9" w:rsidR="005324AE" w:rsidRDefault="00280AAC" w:rsidP="005F688D">
      <w:pPr>
        <w:pStyle w:val="Heading3"/>
      </w:pPr>
      <w:r>
        <w:t>Areas for attention</w:t>
      </w:r>
    </w:p>
    <w:p w14:paraId="77A2858F" w14:textId="0269629F" w:rsidR="007A1B60" w:rsidRDefault="00D53360" w:rsidP="007A1B60">
      <w:pPr>
        <w:pStyle w:val="Heading4"/>
      </w:pPr>
      <w:r>
        <w:t>M</w:t>
      </w:r>
      <w:r w:rsidR="007A1B60" w:rsidRPr="00C27278">
        <w:t xml:space="preserve">en </w:t>
      </w:r>
      <w:r w:rsidR="00303BC2" w:rsidRPr="00C27278">
        <w:t>ha</w:t>
      </w:r>
      <w:r w:rsidR="00303BC2">
        <w:t>d</w:t>
      </w:r>
      <w:r w:rsidR="007A1B60" w:rsidRPr="00C27278">
        <w:t xml:space="preserve"> more access to development opportunities</w:t>
      </w:r>
    </w:p>
    <w:p w14:paraId="393533CA" w14:textId="3662B1F1" w:rsidR="00C70B8A" w:rsidRPr="00C70B8A" w:rsidRDefault="00C70B8A" w:rsidP="0078531C">
      <w:pPr>
        <w:pStyle w:val="BodyText"/>
      </w:pPr>
      <w:r w:rsidRPr="00C70B8A">
        <w:t xml:space="preserve">Access to development opportunities </w:t>
      </w:r>
      <w:r w:rsidR="005F7BAF">
        <w:t>increased</w:t>
      </w:r>
      <w:r w:rsidRPr="00C70B8A">
        <w:t xml:space="preserve"> for all genders between 2023 and 2025 </w:t>
      </w:r>
      <w:r w:rsidR="0027346C">
        <w:t>–</w:t>
      </w:r>
      <w:r w:rsidRPr="00C70B8A">
        <w:t xml:space="preserve"> by 9.6 percentage points for men, 7.2 for women and 0.8 for gender-diverse employees. Because access </w:t>
      </w:r>
      <w:r w:rsidR="001F7E54">
        <w:t>increased more for men</w:t>
      </w:r>
      <w:r w:rsidR="005F7BAF">
        <w:t xml:space="preserve"> than women</w:t>
      </w:r>
      <w:r w:rsidRPr="00C70B8A">
        <w:t xml:space="preserve">, the gender gap </w:t>
      </w:r>
      <w:r w:rsidR="00351AF6">
        <w:t>in access to development opportunities</w:t>
      </w:r>
      <w:r w:rsidRPr="00C70B8A">
        <w:t xml:space="preserve"> widened by 2.4 percentage points in men</w:t>
      </w:r>
      <w:r w:rsidR="002F55AB">
        <w:t>’</w:t>
      </w:r>
      <w:r w:rsidRPr="00C70B8A">
        <w:t>s favour. In 2025,</w:t>
      </w:r>
      <w:r w:rsidR="00797C01">
        <w:t xml:space="preserve"> </w:t>
      </w:r>
      <w:r w:rsidRPr="00C70B8A">
        <w:t xml:space="preserve">men were almost </w:t>
      </w:r>
      <w:r w:rsidR="00846B5B">
        <w:t>3</w:t>
      </w:r>
      <w:r w:rsidR="00846B5B" w:rsidRPr="00C70B8A">
        <w:t xml:space="preserve"> </w:t>
      </w:r>
      <w:r w:rsidRPr="00C70B8A">
        <w:t>times as likely as gender</w:t>
      </w:r>
      <w:r w:rsidR="005F7BAF">
        <w:t xml:space="preserve"> </w:t>
      </w:r>
      <w:r w:rsidRPr="00C70B8A">
        <w:t>diverse employees to access development</w:t>
      </w:r>
      <w:r w:rsidR="00594CC7">
        <w:t xml:space="preserve"> opportunities</w:t>
      </w:r>
      <w:r w:rsidRPr="00C70B8A">
        <w:t xml:space="preserve">, </w:t>
      </w:r>
      <w:r w:rsidR="0037030B">
        <w:t>while</w:t>
      </w:r>
      <w:r w:rsidRPr="00C70B8A">
        <w:t xml:space="preserve"> women </w:t>
      </w:r>
      <w:r w:rsidR="00797C01">
        <w:t xml:space="preserve">were </w:t>
      </w:r>
      <w:r w:rsidR="0037030B">
        <w:t>around</w:t>
      </w:r>
      <w:r w:rsidRPr="00C70B8A">
        <w:t xml:space="preserve"> twice as likely.</w:t>
      </w:r>
    </w:p>
    <w:p w14:paraId="4910A04D" w14:textId="0A47B190" w:rsidR="00C70B8A" w:rsidRPr="00C70B8A" w:rsidRDefault="00C70B8A" w:rsidP="0078531C">
      <w:pPr>
        <w:pStyle w:val="BodyText"/>
      </w:pPr>
      <w:r w:rsidRPr="00C70B8A">
        <w:t xml:space="preserve">This measure is only available from 2023, so it reflects a </w:t>
      </w:r>
      <w:r w:rsidR="00FB0A73">
        <w:t>2</w:t>
      </w:r>
      <w:r w:rsidRPr="00C70B8A">
        <w:t xml:space="preserve">-year rather than a full </w:t>
      </w:r>
      <w:r w:rsidR="00FB0A73">
        <w:t>4</w:t>
      </w:r>
      <w:r w:rsidRPr="00C70B8A">
        <w:t xml:space="preserve">-year </w:t>
      </w:r>
      <w:r w:rsidR="0037030B">
        <w:t>change</w:t>
      </w:r>
      <w:r w:rsidR="002B73F4">
        <w:t>.</w:t>
      </w:r>
      <w:r w:rsidRPr="00C70B8A">
        <w:t xml:space="preserve"> </w:t>
      </w:r>
      <w:r w:rsidR="0037030B">
        <w:t>Results</w:t>
      </w:r>
      <w:r w:rsidRPr="00C70B8A">
        <w:t xml:space="preserve"> for gender-diverse employees rest on a small number of respondents and should </w:t>
      </w:r>
      <w:r w:rsidR="0037030B">
        <w:t>interpreted with caution</w:t>
      </w:r>
      <w:r w:rsidRPr="00C70B8A">
        <w:t xml:space="preserve">. Even allowing for this, the </w:t>
      </w:r>
      <w:r w:rsidR="008C2178">
        <w:t xml:space="preserve">substantial </w:t>
      </w:r>
      <w:r w:rsidR="00471BAF">
        <w:t>difference</w:t>
      </w:r>
      <w:r w:rsidR="009C3BC5">
        <w:t xml:space="preserve"> in access</w:t>
      </w:r>
      <w:r w:rsidR="005116E3">
        <w:t xml:space="preserve"> </w:t>
      </w:r>
      <w:r w:rsidRPr="00C70B8A">
        <w:t>is a concern</w:t>
      </w:r>
      <w:r w:rsidR="005116E3">
        <w:t>.</w:t>
      </w:r>
      <w:r w:rsidRPr="00C70B8A">
        <w:t xml:space="preserve"> </w:t>
      </w:r>
      <w:r w:rsidR="005116E3">
        <w:t>D</w:t>
      </w:r>
      <w:r w:rsidRPr="00C70B8A">
        <w:t>evelopment opportunities are a</w:t>
      </w:r>
      <w:r w:rsidR="008C2178">
        <w:t>n important pathway</w:t>
      </w:r>
      <w:r w:rsidRPr="00C70B8A">
        <w:t xml:space="preserve"> </w:t>
      </w:r>
      <w:r w:rsidR="00742B68">
        <w:t>to</w:t>
      </w:r>
      <w:r w:rsidRPr="00C70B8A">
        <w:t xml:space="preserve"> promotion</w:t>
      </w:r>
      <w:r w:rsidR="00742B68">
        <w:t>, leadership</w:t>
      </w:r>
      <w:r w:rsidRPr="00C70B8A">
        <w:t xml:space="preserve"> and higher</w:t>
      </w:r>
      <w:r w:rsidR="00742B68">
        <w:t>-</w:t>
      </w:r>
      <w:r w:rsidRPr="00C70B8A">
        <w:t>pa</w:t>
      </w:r>
      <w:r w:rsidR="00742B68">
        <w:t>id roles. Unequal access</w:t>
      </w:r>
      <w:r w:rsidR="009E1610">
        <w:t xml:space="preserve"> therefore </w:t>
      </w:r>
      <w:r w:rsidRPr="00C70B8A">
        <w:t xml:space="preserve">risks </w:t>
      </w:r>
      <w:r w:rsidR="009E1610">
        <w:t>reinforcing inequalit</w:t>
      </w:r>
      <w:r w:rsidR="00F84DC7">
        <w:t>ies in career progression and remuneration over time</w:t>
      </w:r>
      <w:r w:rsidRPr="00C70B8A">
        <w:t xml:space="preserve">. </w:t>
      </w:r>
    </w:p>
    <w:p w14:paraId="0F9629B5" w14:textId="77777777" w:rsidR="001C4B8E" w:rsidRDefault="001C4B8E" w:rsidP="00325903">
      <w:pPr>
        <w:pStyle w:val="Heading4"/>
        <w:rPr>
          <w:b w:val="0"/>
          <w:bCs w:val="0"/>
        </w:rPr>
      </w:pPr>
      <w:r w:rsidRPr="001C4B8E">
        <w:t>Gender-diverse employees faced markedly higher barriers to career advancement</w:t>
      </w:r>
    </w:p>
    <w:p w14:paraId="6180D04E" w14:textId="392D2E34" w:rsidR="00AB0393" w:rsidRPr="00AB0393" w:rsidRDefault="00AB0393" w:rsidP="0078531C">
      <w:pPr>
        <w:pStyle w:val="BodyText"/>
      </w:pPr>
      <w:r w:rsidRPr="00AB0393">
        <w:t xml:space="preserve">The </w:t>
      </w:r>
      <w:r w:rsidR="00F84DC7">
        <w:t>most concerning</w:t>
      </w:r>
      <w:r w:rsidRPr="00AB0393">
        <w:t xml:space="preserve"> finding </w:t>
      </w:r>
      <w:r w:rsidR="00F84DC7">
        <w:t>for</w:t>
      </w:r>
      <w:r w:rsidRPr="00AB0393">
        <w:t xml:space="preserve"> this indicator </w:t>
      </w:r>
      <w:r w:rsidR="00F84DC7">
        <w:t>relates to</w:t>
      </w:r>
      <w:r w:rsidR="00F84DC7" w:rsidRPr="00AB0393">
        <w:t xml:space="preserve"> </w:t>
      </w:r>
      <w:r w:rsidRPr="00AB0393">
        <w:t>gender-diverse employees. In 2025, 56.4% reported barriers to career advancement</w:t>
      </w:r>
      <w:r w:rsidR="00FB2005">
        <w:t>. That’s</w:t>
      </w:r>
      <w:r w:rsidRPr="00AB0393">
        <w:t xml:space="preserve"> more than twice the rate of men (22.8%)</w:t>
      </w:r>
      <w:r w:rsidR="00EC1BE8">
        <w:t>.</w:t>
      </w:r>
      <w:r w:rsidRPr="00AB0393">
        <w:t xml:space="preserve"> </w:t>
      </w:r>
      <w:r w:rsidR="00EC1BE8">
        <w:t>T</w:t>
      </w:r>
      <w:r w:rsidRPr="00AB0393">
        <w:t xml:space="preserve">his figure rose by 4.7 percentage points since 2021, </w:t>
      </w:r>
      <w:r w:rsidR="00F84DC7">
        <w:t>while reported</w:t>
      </w:r>
      <w:r w:rsidRPr="00AB0393">
        <w:t xml:space="preserve"> barriers </w:t>
      </w:r>
      <w:r w:rsidR="00F84DC7">
        <w:t>declined</w:t>
      </w:r>
      <w:r w:rsidRPr="00AB0393">
        <w:t xml:space="preserve"> for men (down 5.2 </w:t>
      </w:r>
      <w:r w:rsidRPr="00842693">
        <w:t xml:space="preserve">percentage </w:t>
      </w:r>
      <w:r w:rsidRPr="00AB0393">
        <w:t>points) and held steady for women (27.4%).</w:t>
      </w:r>
    </w:p>
    <w:p w14:paraId="42003AF5" w14:textId="44DAFA91" w:rsidR="002576E9" w:rsidRDefault="00AB0393" w:rsidP="0078531C">
      <w:pPr>
        <w:pStyle w:val="BodyText"/>
      </w:pPr>
      <w:r w:rsidRPr="00AB0393">
        <w:t xml:space="preserve">This sits alongside </w:t>
      </w:r>
      <w:r w:rsidR="00F84DC7">
        <w:t>some encouraging findings</w:t>
      </w:r>
      <w:r w:rsidR="000F76E6">
        <w:t>. G</w:t>
      </w:r>
      <w:r w:rsidRPr="00AB0393">
        <w:t xml:space="preserve">ender-diverse employees </w:t>
      </w:r>
      <w:r w:rsidR="000F76E6">
        <w:t xml:space="preserve">reported improved </w:t>
      </w:r>
      <w:r w:rsidRPr="00AB0393">
        <w:t xml:space="preserve">satisfaction with career advancement, and </w:t>
      </w:r>
      <w:r w:rsidR="000F76E6">
        <w:t>greater</w:t>
      </w:r>
      <w:r w:rsidRPr="00AB0393">
        <w:t xml:space="preserve"> confidence in </w:t>
      </w:r>
      <w:r w:rsidR="000F76E6">
        <w:t xml:space="preserve">the </w:t>
      </w:r>
      <w:r w:rsidR="00C372B8" w:rsidRPr="00AB0393">
        <w:t xml:space="preserve">fairness </w:t>
      </w:r>
      <w:r w:rsidR="00C372B8">
        <w:t xml:space="preserve">of </w:t>
      </w:r>
      <w:r w:rsidRPr="00AB0393">
        <w:t xml:space="preserve">recruitment </w:t>
      </w:r>
      <w:r w:rsidR="00C372B8">
        <w:t xml:space="preserve">processes between 2021 and 2025. </w:t>
      </w:r>
      <w:r w:rsidR="00424281" w:rsidRPr="00424281">
        <w:t>However, these improvements were not matched by a reduction in reported barriers to career advancement</w:t>
      </w:r>
      <w:r w:rsidR="00250331">
        <w:t>.</w:t>
      </w:r>
      <w:r w:rsidRPr="00AB0393">
        <w:t xml:space="preserve"> </w:t>
      </w:r>
      <w:r w:rsidR="00250331">
        <w:t>M</w:t>
      </w:r>
      <w:r w:rsidRPr="00AB0393">
        <w:t xml:space="preserve">ore than half of </w:t>
      </w:r>
      <w:r w:rsidR="00424281">
        <w:t>gender diverse employees</w:t>
      </w:r>
      <w:r w:rsidRPr="00AB0393">
        <w:t xml:space="preserve"> </w:t>
      </w:r>
      <w:r w:rsidR="00424281">
        <w:t>reported</w:t>
      </w:r>
      <w:r w:rsidR="00997CA0" w:rsidRPr="00AB0393">
        <w:t xml:space="preserve"> </w:t>
      </w:r>
      <w:r w:rsidRPr="00AB0393">
        <w:t xml:space="preserve">barriers to getting ahead, and the gap between them and other employees </w:t>
      </w:r>
      <w:r w:rsidR="00764110" w:rsidRPr="00AB0393">
        <w:t>widen</w:t>
      </w:r>
      <w:r w:rsidR="00764110">
        <w:t>ed</w:t>
      </w:r>
      <w:r w:rsidRPr="00AB0393">
        <w:t xml:space="preserve">. </w:t>
      </w:r>
    </w:p>
    <w:p w14:paraId="25C41BD3" w14:textId="2F12C730" w:rsidR="00AB0393" w:rsidRPr="00AB0393" w:rsidRDefault="00AB0393" w:rsidP="0078531C">
      <w:pPr>
        <w:pStyle w:val="BodyText"/>
      </w:pPr>
      <w:r w:rsidRPr="00AB0393">
        <w:t xml:space="preserve">Public sector employers need to understand </w:t>
      </w:r>
      <w:r w:rsidR="005C76B2" w:rsidRPr="005C76B2">
        <w:t xml:space="preserve">the </w:t>
      </w:r>
      <w:r w:rsidRPr="00AB0393">
        <w:t xml:space="preserve">barriers </w:t>
      </w:r>
      <w:r w:rsidR="005C76B2" w:rsidRPr="005C76B2">
        <w:t xml:space="preserve">facing gender-diverse employees </w:t>
      </w:r>
      <w:r w:rsidRPr="00AB0393">
        <w:t xml:space="preserve">and </w:t>
      </w:r>
      <w:r w:rsidR="005C76B2" w:rsidRPr="005C76B2">
        <w:t>take deliberate action</w:t>
      </w:r>
      <w:r w:rsidRPr="00AB0393">
        <w:t xml:space="preserve"> to remove them. Because gender-diverse employees </w:t>
      </w:r>
      <w:r w:rsidR="00227AEA">
        <w:t>have</w:t>
      </w:r>
      <w:r w:rsidRPr="00AB0393">
        <w:t xml:space="preserve"> a small share of the workforce, the experiences behind these figures can be easy to overlook in organisation-level data</w:t>
      </w:r>
      <w:r w:rsidR="00741CF4">
        <w:t>.</w:t>
      </w:r>
      <w:r w:rsidRPr="00AB0393">
        <w:t xml:space="preserve"> </w:t>
      </w:r>
      <w:r w:rsidR="00634CED" w:rsidRPr="00634CED">
        <w:t>Careful analysis and targeted action are therefore essential to ensure career opportunities are equitable for employees of all genders</w:t>
      </w:r>
      <w:r w:rsidRPr="00AB0393">
        <w:t>.</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288"/>
      </w:tblGrid>
      <w:tr w:rsidR="00CA5F3D" w14:paraId="06CBC9AE" w14:textId="77777777" w:rsidTr="006A624F">
        <w:tc>
          <w:tcPr>
            <w:tcW w:w="9288" w:type="dxa"/>
            <w:tcBorders>
              <w:top w:val="nil"/>
              <w:left w:val="nil"/>
              <w:bottom w:val="nil"/>
              <w:right w:val="nil"/>
            </w:tcBorders>
            <w:shd w:val="clear" w:color="auto" w:fill="E3F3F9"/>
          </w:tcPr>
          <w:p w14:paraId="37C07C5C" w14:textId="77777777" w:rsidR="00F225E7" w:rsidRDefault="00F225E7" w:rsidP="00F225E7">
            <w:pPr>
              <w:pStyle w:val="Heading2"/>
            </w:pPr>
            <w:bookmarkStart w:id="50" w:name="_Toc237259542"/>
            <w:r>
              <w:t>Commissioner expectations</w:t>
            </w:r>
            <w:bookmarkEnd w:id="50"/>
          </w:p>
          <w:p w14:paraId="6E6FAE0F" w14:textId="221BF836" w:rsidR="00F225E7" w:rsidRDefault="00F225E7" w:rsidP="0078531C">
            <w:pPr>
              <w:pStyle w:val="BodyText"/>
            </w:pPr>
            <w:r>
              <w:t>The Commissioner expects recruitment and promotion practices to be free from gender bias and discrimination</w:t>
            </w:r>
            <w:r w:rsidR="00481B93">
              <w:t>,</w:t>
            </w:r>
            <w:r>
              <w:t xml:space="preserve"> and </w:t>
            </w:r>
            <w:r w:rsidR="00481B93" w:rsidRPr="00481B93">
              <w:t>to actively</w:t>
            </w:r>
            <w:r>
              <w:t xml:space="preserve"> support gender balance at all levels of organisations and across occupations and industries.</w:t>
            </w:r>
          </w:p>
          <w:p w14:paraId="56EAF580" w14:textId="77777777" w:rsidR="00D22E00" w:rsidRDefault="00AE4533" w:rsidP="0078531C">
            <w:pPr>
              <w:pStyle w:val="BodyText"/>
            </w:pPr>
            <w:r w:rsidRPr="00AE4533">
              <w:t>Recruitment strateg</w:t>
            </w:r>
            <w:r w:rsidR="0089040C">
              <w:t>ies</w:t>
            </w:r>
            <w:r w:rsidRPr="00AE4533">
              <w:t xml:space="preserve"> </w:t>
            </w:r>
            <w:r w:rsidR="002359C9">
              <w:t>should respond to an</w:t>
            </w:r>
            <w:r w:rsidRPr="00AE4533">
              <w:t xml:space="preserve"> organisation</w:t>
            </w:r>
            <w:r w:rsidR="002F55AB">
              <w:t>’</w:t>
            </w:r>
            <w:r w:rsidRPr="00AE4533">
              <w:t>s current composition</w:t>
            </w:r>
            <w:r w:rsidR="001E0E65">
              <w:t>.</w:t>
            </w:r>
            <w:r w:rsidRPr="00AE4533">
              <w:t xml:space="preserve"> </w:t>
            </w:r>
            <w:r w:rsidR="001E0E65">
              <w:t>W</w:t>
            </w:r>
            <w:r w:rsidRPr="00AE4533">
              <w:t xml:space="preserve">omen-concentrated organisations should focus on attracting and retaining </w:t>
            </w:r>
            <w:r w:rsidR="00A0524B">
              <w:t xml:space="preserve">more </w:t>
            </w:r>
            <w:r w:rsidRPr="00AE4533">
              <w:t xml:space="preserve">men, and men-concentrated organisations on attracting and retaining </w:t>
            </w:r>
            <w:r w:rsidR="00A0524B">
              <w:t xml:space="preserve">more </w:t>
            </w:r>
            <w:r w:rsidRPr="00AE4533">
              <w:t>women</w:t>
            </w:r>
            <w:r w:rsidR="00D90C95">
              <w:t xml:space="preserve">. </w:t>
            </w:r>
            <w:r w:rsidR="008A7B29" w:rsidRPr="008A7B29">
              <w:t>Organisations should also ensure recruitment does not reinforce existing segregation by disproportionately appointing one gender into senior or traditionally gendered roles. Reviewing job advertisements, role requirements and recruitment processes can help identify and remove unintended barriers.</w:t>
            </w:r>
          </w:p>
          <w:p w14:paraId="22D7FDE3" w14:textId="5586C73B" w:rsidR="00AE4533" w:rsidRPr="00AE4533" w:rsidRDefault="00041930" w:rsidP="0078531C">
            <w:pPr>
              <w:pStyle w:val="BodyText"/>
            </w:pPr>
            <w:r w:rsidRPr="00041930">
              <w:t xml:space="preserve">The Commissioner expects duty holders to analyse promotion outcomes using pipeline analysis. This means assessing whether the gender composition at each level of the organisation reflects the level immediately below it and identifying where women or men are disproportionately dropping out of progression pathways. Where these </w:t>
            </w:r>
            <w:r w:rsidR="00F43DBC">
              <w:t>‘</w:t>
            </w:r>
            <w:r w:rsidRPr="00041930">
              <w:t>glass ceilings</w:t>
            </w:r>
            <w:r w:rsidR="00F43DBC">
              <w:t>’</w:t>
            </w:r>
            <w:r w:rsidRPr="00041930">
              <w:t xml:space="preserve"> or </w:t>
            </w:r>
            <w:r w:rsidR="00F43DBC">
              <w:t>‘</w:t>
            </w:r>
            <w:r w:rsidRPr="00041930">
              <w:t>leaks</w:t>
            </w:r>
            <w:r w:rsidR="00F43DBC">
              <w:t>’</w:t>
            </w:r>
            <w:r w:rsidRPr="00041930">
              <w:t xml:space="preserve"> exist, organisations should identify and address the structural barriers contributing to them </w:t>
            </w:r>
            <w:r w:rsidR="00AE4533" w:rsidRPr="001E6DF4">
              <w:t>(</w:t>
            </w:r>
            <w:r w:rsidR="00F225E7">
              <w:t>Chilazi</w:t>
            </w:r>
            <w:r w:rsidR="00E30FE4">
              <w:t xml:space="preserve"> et al. </w:t>
            </w:r>
            <w:r w:rsidR="00F225E7">
              <w:t>2021).</w:t>
            </w:r>
          </w:p>
          <w:p w14:paraId="4A0D012A" w14:textId="7C4334D4" w:rsidR="00496D4A" w:rsidRPr="00496D4A" w:rsidRDefault="00AE4533" w:rsidP="00496D4A">
            <w:pPr>
              <w:pStyle w:val="BodyText"/>
            </w:pPr>
            <w:r w:rsidRPr="00AE4533">
              <w:t xml:space="preserve">The </w:t>
            </w:r>
            <w:r w:rsidR="00496D4A" w:rsidRPr="00496D4A">
              <w:t>Commissioner is particularly concerned by the widen</w:t>
            </w:r>
            <w:r w:rsidR="00496D4A">
              <w:t>ed</w:t>
            </w:r>
            <w:r w:rsidRPr="00AE4533">
              <w:t xml:space="preserve"> gap in access to development opportunities and the </w:t>
            </w:r>
            <w:r w:rsidR="00496D4A" w:rsidRPr="00496D4A">
              <w:t xml:space="preserve">persistently </w:t>
            </w:r>
            <w:r w:rsidRPr="00AE4533">
              <w:t xml:space="preserve">high barriers </w:t>
            </w:r>
            <w:r w:rsidR="00496D4A" w:rsidRPr="00496D4A">
              <w:t xml:space="preserve">to career advancement </w:t>
            </w:r>
            <w:r w:rsidRPr="00AE4533">
              <w:t>reported by gender-diverse employees</w:t>
            </w:r>
            <w:r w:rsidR="00496D4A" w:rsidRPr="00496D4A">
              <w:t>.</w:t>
            </w:r>
            <w:r w:rsidRPr="00AE4533">
              <w:t xml:space="preserve"> Development opportunities </w:t>
            </w:r>
            <w:r w:rsidR="00496D4A" w:rsidRPr="00496D4A">
              <w:t xml:space="preserve">are a critical pathway to </w:t>
            </w:r>
            <w:r w:rsidRPr="00AE4533">
              <w:t xml:space="preserve">promotion and </w:t>
            </w:r>
            <w:r w:rsidR="00496D4A" w:rsidRPr="00496D4A">
              <w:t>higher-paid roles. Duty</w:t>
            </w:r>
            <w:r w:rsidRPr="00AE4533">
              <w:t xml:space="preserve"> holders </w:t>
            </w:r>
            <w:r w:rsidR="00496D4A" w:rsidRPr="00496D4A">
              <w:t xml:space="preserve">should therefore </w:t>
            </w:r>
            <w:r w:rsidRPr="00AE4533">
              <w:t xml:space="preserve">monitor who is accessing </w:t>
            </w:r>
            <w:r w:rsidR="00496D4A" w:rsidRPr="00496D4A">
              <w:t>these opportunities, investigate any disparities</w:t>
            </w:r>
            <w:r w:rsidR="007F7CCE">
              <w:t>,</w:t>
            </w:r>
            <w:r w:rsidRPr="00AE4533">
              <w:t xml:space="preserve"> and </w:t>
            </w:r>
            <w:r w:rsidR="00496D4A" w:rsidRPr="00496D4A">
              <w:t>take action</w:t>
            </w:r>
            <w:r w:rsidRPr="00AE4533">
              <w:t xml:space="preserve"> where access is unequal.</w:t>
            </w:r>
          </w:p>
          <w:p w14:paraId="5675F884" w14:textId="439B9239" w:rsidR="00CA5F3D" w:rsidRDefault="00816794" w:rsidP="0078531C">
            <w:pPr>
              <w:pStyle w:val="BodyText"/>
            </w:pPr>
            <w:r>
              <w:t>B</w:t>
            </w:r>
            <w:r w:rsidR="00AE4533" w:rsidRPr="00AE4533">
              <w:t xml:space="preserve">ecause gender-diverse employees </w:t>
            </w:r>
            <w:r w:rsidR="00496D4A" w:rsidRPr="00496D4A">
              <w:t xml:space="preserve">may represent </w:t>
            </w:r>
            <w:r w:rsidR="00AE4533" w:rsidRPr="00AE4533">
              <w:t xml:space="preserve">a small </w:t>
            </w:r>
            <w:r w:rsidR="00496D4A" w:rsidRPr="00496D4A">
              <w:t xml:space="preserve">proportion of the </w:t>
            </w:r>
            <w:r w:rsidR="00AE4533" w:rsidRPr="00AE4533">
              <w:t>workforce</w:t>
            </w:r>
            <w:r w:rsidR="00496D4A" w:rsidRPr="00496D4A">
              <w:t>, their experiences can be masked in organisation-level</w:t>
            </w:r>
            <w:r w:rsidR="00AE4533" w:rsidRPr="00AE4533">
              <w:t xml:space="preserve"> data</w:t>
            </w:r>
            <w:r w:rsidR="00496D4A" w:rsidRPr="00496D4A">
              <w:t xml:space="preserve">. The Commissioner expects duty holders to analyse this data carefully, engage directly with gender-diverse employees where appropriate, and </w:t>
            </w:r>
            <w:r w:rsidR="00AE4533" w:rsidRPr="00AE4533">
              <w:t xml:space="preserve">take deliberate </w:t>
            </w:r>
            <w:r w:rsidR="00496D4A" w:rsidRPr="00496D4A">
              <w:t xml:space="preserve">action to identify and remove </w:t>
            </w:r>
            <w:r w:rsidR="00AE4533" w:rsidRPr="00AE4533">
              <w:t xml:space="preserve">barriers </w:t>
            </w:r>
            <w:r w:rsidR="00496D4A" w:rsidRPr="00496D4A">
              <w:t>to career</w:t>
            </w:r>
            <w:r w:rsidR="00AE4533" w:rsidRPr="00AE4533">
              <w:t xml:space="preserve"> progression</w:t>
            </w:r>
            <w:r w:rsidR="00496D4A" w:rsidRPr="00496D4A">
              <w:t>. Progression</w:t>
            </w:r>
            <w:r w:rsidR="00AE4533" w:rsidRPr="00AE4533">
              <w:t xml:space="preserve"> pathways </w:t>
            </w:r>
            <w:r w:rsidR="00496D4A" w:rsidRPr="00496D4A">
              <w:t>should be</w:t>
            </w:r>
            <w:r w:rsidR="008F2351">
              <w:t xml:space="preserve"> inclusive</w:t>
            </w:r>
            <w:r w:rsidR="00AE4533" w:rsidRPr="00AE4533">
              <w:t xml:space="preserve"> </w:t>
            </w:r>
            <w:r w:rsidR="00496D4A" w:rsidRPr="00496D4A">
              <w:t>for employees of all genders</w:t>
            </w:r>
            <w:r w:rsidR="00AE4533" w:rsidRPr="00AE4533">
              <w:t>.</w:t>
            </w:r>
          </w:p>
        </w:tc>
      </w:tr>
    </w:tbl>
    <w:p w14:paraId="441E809B" w14:textId="5575648B" w:rsidR="00071AD5" w:rsidRDefault="00071AD5" w:rsidP="00071AD5">
      <w:pPr>
        <w:pStyle w:val="Heading1"/>
      </w:pPr>
      <w:bookmarkStart w:id="51" w:name="_Toc237259543"/>
      <w:r>
        <w:t>Indicator 6</w:t>
      </w:r>
      <w:r w:rsidRPr="009C57F5">
        <w:t xml:space="preserve">: </w:t>
      </w:r>
      <w:r>
        <w:t>Leave and flexibility</w:t>
      </w:r>
      <w:bookmarkEnd w:id="51"/>
    </w:p>
    <w:p w14:paraId="6138A1C8" w14:textId="77777777" w:rsidR="00071AD5" w:rsidRDefault="00071AD5" w:rsidP="00071AD5">
      <w:pPr>
        <w:pStyle w:val="Heading2"/>
      </w:pPr>
      <w:bookmarkStart w:id="52" w:name="_Toc237259544"/>
      <w:r>
        <w:t>Why this matters</w:t>
      </w:r>
      <w:bookmarkEnd w:id="52"/>
    </w:p>
    <w:p w14:paraId="6A890B4D" w14:textId="316CD645" w:rsidR="008459D3" w:rsidRDefault="00DB704F" w:rsidP="00747E1E">
      <w:pPr>
        <w:pStyle w:val="BodyText"/>
      </w:pPr>
      <w:r w:rsidRPr="00DB704F">
        <w:t>Who undertakes unpaid care is one of the biggest drivers of workplace gender inequality.</w:t>
      </w:r>
      <w:r>
        <w:t xml:space="preserve"> </w:t>
      </w:r>
      <w:r w:rsidR="00CD36C5" w:rsidRPr="00CD36C5">
        <w:t xml:space="preserve">Flexible work and leave entitlements, including parental leave, help Victorians of all genders balance paid work with </w:t>
      </w:r>
      <w:r w:rsidR="00E459ED">
        <w:t>caring and other responsibilities</w:t>
      </w:r>
      <w:r w:rsidR="00CD36C5" w:rsidRPr="00CD36C5">
        <w:t xml:space="preserve">. But structural and cultural factors mean women </w:t>
      </w:r>
      <w:r w:rsidR="00B66F38" w:rsidRPr="00B66F38">
        <w:t>continue</w:t>
      </w:r>
      <w:r w:rsidR="00CD36C5" w:rsidRPr="00CD36C5">
        <w:t xml:space="preserve"> to </w:t>
      </w:r>
      <w:r w:rsidR="00B66F38" w:rsidRPr="00B66F38">
        <w:t>undertake a disproportionate share of</w:t>
      </w:r>
      <w:r w:rsidR="00CD36C5" w:rsidRPr="00CD36C5">
        <w:t xml:space="preserve"> unpaid care, particularly in heterosexual relationships.</w:t>
      </w:r>
      <w:r w:rsidR="008459D3">
        <w:t xml:space="preserve"> </w:t>
      </w:r>
      <w:r w:rsidR="0038618C" w:rsidRPr="0038618C">
        <w:t>Increasing men</w:t>
      </w:r>
      <w:r w:rsidR="005F036C">
        <w:t>’</w:t>
      </w:r>
      <w:r w:rsidR="0038618C" w:rsidRPr="0038618C">
        <w:t>s uptake of flexible work and parental leave is therefore critical</w:t>
      </w:r>
      <w:r w:rsidR="00B133DE" w:rsidRPr="00C27278">
        <w:t xml:space="preserve"> to </w:t>
      </w:r>
      <w:r w:rsidR="0038618C" w:rsidRPr="0038618C">
        <w:t>achieving</w:t>
      </w:r>
      <w:r w:rsidR="00B133DE" w:rsidRPr="00C27278">
        <w:t xml:space="preserve"> gender equality</w:t>
      </w:r>
      <w:r w:rsidR="00CD36C5" w:rsidRPr="00CD36C5">
        <w:t xml:space="preserve">. </w:t>
      </w:r>
    </w:p>
    <w:p w14:paraId="3F137D30" w14:textId="66C16D08" w:rsidR="00465B11" w:rsidRDefault="00747E1E" w:rsidP="0078531C">
      <w:pPr>
        <w:pStyle w:val="BodyText"/>
      </w:pPr>
      <w:r w:rsidRPr="00437897">
        <w:t xml:space="preserve">The Commission defines flexible work as an </w:t>
      </w:r>
      <w:r>
        <w:t>agreement initiated</w:t>
      </w:r>
      <w:r w:rsidR="00B133DE" w:rsidRPr="00C27278">
        <w:t xml:space="preserve"> by </w:t>
      </w:r>
      <w:r>
        <w:t xml:space="preserve">an </w:t>
      </w:r>
      <w:r w:rsidRPr="00437897">
        <w:t>employee</w:t>
      </w:r>
      <w:r>
        <w:t xml:space="preserve"> with their </w:t>
      </w:r>
      <w:r w:rsidRPr="00437897">
        <w:t>employer</w:t>
      </w:r>
      <w:r w:rsidR="00B133DE" w:rsidRPr="00C27278">
        <w:t xml:space="preserve"> to </w:t>
      </w:r>
      <w:r w:rsidRPr="00437897">
        <w:t>work in a way that is outside the standard arrangement for that role. This can include things like working more hours over fewer days, flexible start and finish times or job-</w:t>
      </w:r>
      <w:r w:rsidR="00CD36C5" w:rsidRPr="00CD36C5">
        <w:t xml:space="preserve">share </w:t>
      </w:r>
      <w:r w:rsidRPr="00437897">
        <w:t>arrangements.</w:t>
      </w:r>
      <w:r w:rsidR="00CD36C5" w:rsidRPr="00CD36C5">
        <w:t xml:space="preserve"> </w:t>
      </w:r>
      <w:r w:rsidR="009E1172">
        <w:t>It is different to part-time work</w:t>
      </w:r>
      <w:r w:rsidR="001C708A">
        <w:t>, which is a specific employment type.</w:t>
      </w:r>
      <w:r w:rsidR="008459D3">
        <w:t xml:space="preserve"> </w:t>
      </w:r>
      <w:r w:rsidR="00280092">
        <w:t xml:space="preserve">Read the full definition in the </w:t>
      </w:r>
      <w:hyperlink r:id="rId50" w:history="1">
        <w:r w:rsidR="00280092" w:rsidRPr="00773BB5">
          <w:rPr>
            <w:rStyle w:val="Hyperlink"/>
            <w:rFonts w:cs="Times New Roman"/>
          </w:rPr>
          <w:t>audit guidance</w:t>
        </w:r>
      </w:hyperlink>
      <w:r w:rsidR="00280092">
        <w:t xml:space="preserve">. </w:t>
      </w:r>
      <w:r w:rsidR="00CD36C5" w:rsidRPr="00CD36C5">
        <w:t xml:space="preserve">Access to supportive </w:t>
      </w:r>
      <w:r w:rsidR="00B133DE">
        <w:t>flexible work</w:t>
      </w:r>
      <w:r w:rsidR="00CD36C5" w:rsidRPr="00CD36C5">
        <w:t xml:space="preserve"> and leave is vital so that carers of all genders can stay and progress in paid work</w:t>
      </w:r>
      <w:r w:rsidR="00232D0C">
        <w:t>.</w:t>
      </w:r>
      <w:r w:rsidR="00CD36C5" w:rsidRPr="00CD36C5">
        <w:t xml:space="preserve"> </w:t>
      </w:r>
      <w:r w:rsidR="00AB65E2">
        <w:t>I</w:t>
      </w:r>
      <w:r w:rsidR="00CD36C5" w:rsidRPr="00CD36C5">
        <w:t>t can improve quality of life and community participation</w:t>
      </w:r>
      <w:r w:rsidR="00AB65E2">
        <w:t xml:space="preserve"> and is</w:t>
      </w:r>
      <w:r w:rsidR="00CD36C5" w:rsidRPr="00CD36C5">
        <w:t xml:space="preserve"> particularly valuable for people with disability. </w:t>
      </w:r>
    </w:p>
    <w:p w14:paraId="05D3F1EB" w14:textId="2CCC9240" w:rsidR="00CD36C5" w:rsidRPr="00CD36C5" w:rsidRDefault="008F44D1" w:rsidP="0078531C">
      <w:pPr>
        <w:pStyle w:val="BodyText"/>
      </w:pPr>
      <w:r>
        <w:t>However, w</w:t>
      </w:r>
      <w:r w:rsidR="00CD36C5" w:rsidRPr="00CD36C5">
        <w:t>here</w:t>
      </w:r>
      <w:r w:rsidR="00B133DE">
        <w:t xml:space="preserve"> uptake of leave and </w:t>
      </w:r>
      <w:r w:rsidR="00105EA6">
        <w:t>flexibility</w:t>
      </w:r>
      <w:r w:rsidR="00CD36C5" w:rsidRPr="00CD36C5">
        <w:t xml:space="preserve"> is heavily skewed by gender, these same arrangements can reinforce</w:t>
      </w:r>
      <w:r w:rsidR="00B133DE">
        <w:t xml:space="preserve"> inequality </w:t>
      </w:r>
      <w:r w:rsidR="00CD36C5" w:rsidRPr="00CD36C5">
        <w:t>rather than reduce it.</w:t>
      </w:r>
      <w:r w:rsidR="0019422C">
        <w:t xml:space="preserve"> </w:t>
      </w:r>
      <w:r w:rsidR="0019422C" w:rsidRPr="0019422C">
        <w:t>For example, those working flexibly may be less visible to managers, or may be seen as less committed to their job. If these people are mostly women, it can lead to gender-unequal outcomes at work.</w:t>
      </w:r>
    </w:p>
    <w:p w14:paraId="7CE34EB1" w14:textId="27CAE631" w:rsidR="00B133DE" w:rsidRPr="00C27278" w:rsidRDefault="00CD36C5" w:rsidP="0078531C">
      <w:pPr>
        <w:pStyle w:val="BodyText"/>
      </w:pPr>
      <w:r>
        <w:t xml:space="preserve">You can read more </w:t>
      </w:r>
      <w:r w:rsidR="00B133DE">
        <w:t xml:space="preserve">in the </w:t>
      </w:r>
      <w:hyperlink r:id="rId51" w:history="1">
        <w:r w:rsidR="00B133DE" w:rsidRPr="008E6FB3">
          <w:rPr>
            <w:rStyle w:val="Hyperlink"/>
            <w:rFonts w:cs="Times New Roman"/>
          </w:rPr>
          <w:t>Baseline report</w:t>
        </w:r>
      </w:hyperlink>
      <w:r w:rsidR="00B133DE">
        <w:t xml:space="preserve"> (2021, pp. 83-84).</w:t>
      </w:r>
    </w:p>
    <w:p w14:paraId="1D0A34D0" w14:textId="241E3C9A" w:rsidR="00071AD5" w:rsidRDefault="00071AD5" w:rsidP="00071AD5">
      <w:pPr>
        <w:pStyle w:val="Heading2"/>
      </w:pPr>
      <w:bookmarkStart w:id="53" w:name="_Toc237259545"/>
      <w:r>
        <w:t>How we define progress</w:t>
      </w:r>
      <w:bookmarkEnd w:id="53"/>
    </w:p>
    <w:p w14:paraId="0883858B" w14:textId="6D04847A" w:rsidR="00180EB7" w:rsidRPr="00180EB7" w:rsidRDefault="00180EB7" w:rsidP="0078531C">
      <w:pPr>
        <w:pStyle w:val="BodyText"/>
      </w:pPr>
      <w:r w:rsidRPr="00180EB7">
        <w:t>Parental leave and flexible work help employees balance paid work with family and other responsibilities</w:t>
      </w:r>
      <w:r w:rsidR="00C046CC" w:rsidRPr="00180EB7">
        <w:t>,</w:t>
      </w:r>
      <w:r w:rsidRPr="00180EB7">
        <w:t xml:space="preserve"> but it is overwhelmingly women who </w:t>
      </w:r>
      <w:r w:rsidR="00AD28C9">
        <w:t>access</w:t>
      </w:r>
      <w:r w:rsidR="00AD28C9" w:rsidRPr="00180EB7">
        <w:t xml:space="preserve"> </w:t>
      </w:r>
      <w:r w:rsidRPr="00180EB7">
        <w:t>them. When men take more parental leave and work more flexibly, they become more engaged in family and community life</w:t>
      </w:r>
      <w:r w:rsidR="00F06635">
        <w:t>.</w:t>
      </w:r>
      <w:r w:rsidRPr="00180EB7">
        <w:t xml:space="preserve"> </w:t>
      </w:r>
      <w:r w:rsidR="00F06635">
        <w:t>I</w:t>
      </w:r>
      <w:r w:rsidRPr="00180EB7">
        <w:t>n heterosexual relationships</w:t>
      </w:r>
      <w:r w:rsidR="00F06635">
        <w:t>, men accessing leave and flexibility</w:t>
      </w:r>
      <w:r w:rsidRPr="00180EB7">
        <w:t xml:space="preserve"> enables their women partners to participate more in paid work.</w:t>
      </w:r>
    </w:p>
    <w:p w14:paraId="38A6ED5A" w14:textId="791B6E7A" w:rsidR="00180EB7" w:rsidRPr="00180EB7" w:rsidRDefault="00180EB7" w:rsidP="0078531C">
      <w:pPr>
        <w:pStyle w:val="BodyText"/>
      </w:pPr>
      <w:r w:rsidRPr="00180EB7">
        <w:t>For this reason, the Commission assesses this indicator holistically, focusing mainly on whether men</w:t>
      </w:r>
      <w:r w:rsidR="002F55AB">
        <w:t>’</w:t>
      </w:r>
      <w:r w:rsidRPr="00180EB7">
        <w:t>s uptake is increasing</w:t>
      </w:r>
      <w:r w:rsidR="00CD66AD">
        <w:t>, b</w:t>
      </w:r>
      <w:r w:rsidR="00CD66AD" w:rsidRPr="00CD66AD">
        <w:t>ecause increasing men</w:t>
      </w:r>
      <w:r w:rsidR="00744B9F">
        <w:t>’</w:t>
      </w:r>
      <w:r w:rsidR="00CD66AD" w:rsidRPr="00CD66AD">
        <w:t>s uptake is the clearest indicator that unpaid care is becoming more equally shared</w:t>
      </w:r>
      <w:r w:rsidRPr="00180EB7">
        <w:t>. Changes in women</w:t>
      </w:r>
      <w:r w:rsidR="002F55AB">
        <w:t>’</w:t>
      </w:r>
      <w:r w:rsidRPr="00180EB7">
        <w:t>s uptake are harder to read</w:t>
      </w:r>
      <w:r w:rsidR="00F70E42">
        <w:t>. This is because</w:t>
      </w:r>
      <w:r w:rsidRPr="00180EB7">
        <w:t xml:space="preserve"> </w:t>
      </w:r>
      <w:r w:rsidR="00705C44">
        <w:t>increased</w:t>
      </w:r>
      <w:r w:rsidRPr="00180EB7">
        <w:t xml:space="preserve"> use of flexible work and leave by women can signal better organisational support (and may help some women move from part-time to full-time work where they wish), but it can also signal a widening gap in who carries unpaid care at home. The Commission therefore considers whether more men are working flexibly</w:t>
      </w:r>
      <w:r w:rsidR="00A5700B">
        <w:t xml:space="preserve"> or</w:t>
      </w:r>
      <w:r w:rsidRPr="00180EB7">
        <w:t xml:space="preserve"> taking parental leave, </w:t>
      </w:r>
      <w:r w:rsidR="00A5700B">
        <w:t xml:space="preserve">whether </w:t>
      </w:r>
      <w:r w:rsidRPr="00180EB7">
        <w:t xml:space="preserve">men are taking longer parental leave on average, </w:t>
      </w:r>
      <w:r w:rsidR="00A5700B">
        <w:t xml:space="preserve">whether </w:t>
      </w:r>
      <w:r w:rsidRPr="00180EB7">
        <w:t>gender gaps are closing, and any significant shifts in women</w:t>
      </w:r>
      <w:r w:rsidR="002F55AB">
        <w:t>’</w:t>
      </w:r>
      <w:r w:rsidRPr="00180EB7">
        <w:t xml:space="preserve">s access. Gender-disaggregated survey data </w:t>
      </w:r>
      <w:r w:rsidR="00897045">
        <w:t>further</w:t>
      </w:r>
      <w:r w:rsidRPr="00180EB7">
        <w:t xml:space="preserve"> </w:t>
      </w:r>
      <w:r w:rsidR="00EC4605">
        <w:t>reveals</w:t>
      </w:r>
      <w:r w:rsidRPr="00180EB7">
        <w:t xml:space="preserve"> how perceptions of leave and flexibility differ by gender.</w:t>
      </w:r>
    </w:p>
    <w:p w14:paraId="0F309553" w14:textId="76EC76F3" w:rsidR="0046279A" w:rsidRPr="00C27278" w:rsidRDefault="0046279A" w:rsidP="0046279A">
      <w:pPr>
        <w:pStyle w:val="Heading2"/>
      </w:pPr>
      <w:bookmarkStart w:id="54" w:name="_Toc237259546"/>
      <w:r w:rsidRPr="00C27278">
        <w:t xml:space="preserve">Progress </w:t>
      </w:r>
      <w:r>
        <w:t>between</w:t>
      </w:r>
      <w:r w:rsidRPr="00C27278">
        <w:t xml:space="preserve"> 2021</w:t>
      </w:r>
      <w:r>
        <w:t xml:space="preserve"> and 2025</w:t>
      </w:r>
      <w:bookmarkEnd w:id="54"/>
    </w:p>
    <w:p w14:paraId="09D57A1A" w14:textId="1FC8B030" w:rsidR="00A05735" w:rsidRDefault="001E28CC" w:rsidP="0078531C">
      <w:pPr>
        <w:pStyle w:val="BodyText"/>
      </w:pPr>
      <w:r>
        <w:t>The data shows encouraging shifts in workplace flexibility and care arrangements.</w:t>
      </w:r>
      <w:r w:rsidR="00156454">
        <w:t xml:space="preserve"> </w:t>
      </w:r>
      <w:r w:rsidR="00C219CA">
        <w:t>Between 2021 and 2025, m</w:t>
      </w:r>
      <w:r>
        <w:t>en</w:t>
      </w:r>
      <w:r w:rsidR="002F55AB">
        <w:t>’</w:t>
      </w:r>
      <w:r>
        <w:t xml:space="preserve">s uptake of flexible work increased </w:t>
      </w:r>
      <w:r w:rsidR="005F2BFC">
        <w:t>more</w:t>
      </w:r>
      <w:r>
        <w:t xml:space="preserve"> than women</w:t>
      </w:r>
      <w:r w:rsidR="002F55AB">
        <w:t>’</w:t>
      </w:r>
      <w:r>
        <w:t>s</w:t>
      </w:r>
      <w:r w:rsidR="00507FF8">
        <w:t>.</w:t>
      </w:r>
      <w:r w:rsidR="00901B04">
        <w:t xml:space="preserve"> </w:t>
      </w:r>
      <w:r w:rsidR="00507FF8">
        <w:t>B</w:t>
      </w:r>
      <w:r w:rsidR="00923D01">
        <w:t xml:space="preserve">oth women and men </w:t>
      </w:r>
      <w:r w:rsidR="009B4089">
        <w:t xml:space="preserve">had greater </w:t>
      </w:r>
      <w:r w:rsidR="00923D01">
        <w:t xml:space="preserve">access </w:t>
      </w:r>
      <w:r w:rsidR="009B4089">
        <w:t>to</w:t>
      </w:r>
      <w:r w:rsidR="00923D01">
        <w:t xml:space="preserve"> carer</w:t>
      </w:r>
      <w:r w:rsidR="002F55AB">
        <w:t>’</w:t>
      </w:r>
      <w:r w:rsidR="00923D01">
        <w:t xml:space="preserve">s leave in 2025. </w:t>
      </w:r>
      <w:r w:rsidR="00854E02">
        <w:t>Most</w:t>
      </w:r>
      <w:r w:rsidR="00412F26">
        <w:t xml:space="preserve"> industries </w:t>
      </w:r>
      <w:r w:rsidR="00854E02">
        <w:t xml:space="preserve">achieved </w:t>
      </w:r>
      <w:r>
        <w:t>increases in the amount of parental leave taken by men</w:t>
      </w:r>
      <w:r w:rsidR="00923D01">
        <w:t xml:space="preserve">, </w:t>
      </w:r>
      <w:r w:rsidR="00A05735">
        <w:t>with the</w:t>
      </w:r>
      <w:r w:rsidR="003A2AEA">
        <w:t xml:space="preserve"> </w:t>
      </w:r>
      <w:r w:rsidR="00020D0E">
        <w:t>most significant</w:t>
      </w:r>
      <w:r w:rsidR="003A2AEA">
        <w:t xml:space="preserve"> </w:t>
      </w:r>
      <w:r w:rsidR="00412F26">
        <w:t xml:space="preserve">increases </w:t>
      </w:r>
      <w:r w:rsidR="00923D01">
        <w:t>in</w:t>
      </w:r>
      <w:r w:rsidR="00A05735">
        <w:t>:</w:t>
      </w:r>
    </w:p>
    <w:p w14:paraId="72ADFC10" w14:textId="03FE5741" w:rsidR="004769F5" w:rsidRDefault="001E28CC" w:rsidP="008A555A">
      <w:pPr>
        <w:pStyle w:val="Bullet1"/>
      </w:pPr>
      <w:r>
        <w:t>community and cultural services</w:t>
      </w:r>
    </w:p>
    <w:p w14:paraId="0D71270F" w14:textId="5A370AC2" w:rsidR="004769F5" w:rsidRDefault="001E28CC" w:rsidP="008A555A">
      <w:pPr>
        <w:pStyle w:val="Bullet1"/>
      </w:pPr>
      <w:r>
        <w:t>universities</w:t>
      </w:r>
    </w:p>
    <w:p w14:paraId="60FBC0C5" w14:textId="76E023BE" w:rsidR="004769F5" w:rsidRDefault="001E28CC" w:rsidP="008A555A">
      <w:pPr>
        <w:pStyle w:val="Bullet1"/>
      </w:pPr>
      <w:r>
        <w:t>TAFE</w:t>
      </w:r>
      <w:r w:rsidR="00D42AEA">
        <w:t xml:space="preserve"> and other education</w:t>
      </w:r>
    </w:p>
    <w:p w14:paraId="6EAD22EE" w14:textId="3E50701F" w:rsidR="004769F5" w:rsidRDefault="001E28CC" w:rsidP="008A555A">
      <w:pPr>
        <w:pStyle w:val="Bullet1"/>
      </w:pPr>
      <w:r>
        <w:t>transport</w:t>
      </w:r>
    </w:p>
    <w:p w14:paraId="6944B327" w14:textId="31F1A1BD" w:rsidR="004769F5" w:rsidRDefault="001E28CC" w:rsidP="008A555A">
      <w:pPr>
        <w:pStyle w:val="Bullet1"/>
      </w:pPr>
      <w:r>
        <w:t>local government.</w:t>
      </w:r>
    </w:p>
    <w:p w14:paraId="6C91FBDD" w14:textId="53CFFE8B" w:rsidR="00B80E1E" w:rsidRDefault="001E28CC" w:rsidP="004444B7">
      <w:pPr>
        <w:pStyle w:val="Bodyafterbullets"/>
      </w:pPr>
      <w:r>
        <w:t xml:space="preserve">These trends are important because </w:t>
      </w:r>
      <w:r w:rsidR="00984466">
        <w:t>sustainable</w:t>
      </w:r>
      <w:r>
        <w:t xml:space="preserve"> gender equality requires not only increased participation of women in leadership and higher-paid roles, but </w:t>
      </w:r>
      <w:r w:rsidR="00B47DAC">
        <w:t xml:space="preserve">also </w:t>
      </w:r>
      <w:r w:rsidR="00AD15B1">
        <w:t>more equal</w:t>
      </w:r>
      <w:r>
        <w:t xml:space="preserve"> participation of men in </w:t>
      </w:r>
      <w:r w:rsidR="008730AD">
        <w:t>unpaid</w:t>
      </w:r>
      <w:r>
        <w:t xml:space="preserve"> care.</w:t>
      </w:r>
      <w:r w:rsidR="003B1B71">
        <w:t xml:space="preserve"> </w:t>
      </w:r>
    </w:p>
    <w:p w14:paraId="5B8A13BF" w14:textId="56859B4E" w:rsidR="00B80E1E" w:rsidRDefault="00B80E1E" w:rsidP="0078531C">
      <w:pPr>
        <w:pStyle w:val="BodyText"/>
      </w:pPr>
      <w:r>
        <w:t xml:space="preserve">However, the </w:t>
      </w:r>
      <w:r w:rsidRPr="00B80E1E">
        <w:t>picture here is mixed</w:t>
      </w:r>
      <w:r w:rsidR="00681EBF">
        <w:t>.</w:t>
      </w:r>
      <w:r w:rsidRPr="00B80E1E">
        <w:t xml:space="preserve"> </w:t>
      </w:r>
      <w:r w:rsidR="00681EBF">
        <w:t>A</w:t>
      </w:r>
      <w:r w:rsidRPr="00B80E1E">
        <w:t>cross the sector</w:t>
      </w:r>
      <w:r>
        <w:t xml:space="preserve"> as a whole</w:t>
      </w:r>
      <w:r w:rsidRPr="00B80E1E">
        <w:t>, the average duration of men</w:t>
      </w:r>
      <w:r w:rsidR="002F55AB">
        <w:t>’</w:t>
      </w:r>
      <w:r w:rsidRPr="00B80E1E">
        <w:t>s parental leave fell between 2023 and 2025</w:t>
      </w:r>
      <w:r w:rsidR="001C4510">
        <w:t>. At the same time</w:t>
      </w:r>
      <w:r w:rsidRPr="00B80E1E">
        <w:t>, women</w:t>
      </w:r>
      <w:r w:rsidR="002F55AB">
        <w:t>’</w:t>
      </w:r>
      <w:r w:rsidRPr="00B80E1E">
        <w:t xml:space="preserve">s </w:t>
      </w:r>
      <w:r w:rsidR="00A031CE">
        <w:t>leave duration increased</w:t>
      </w:r>
      <w:r w:rsidR="00881C0E">
        <w:t>,</w:t>
      </w:r>
      <w:r w:rsidRPr="00B80E1E">
        <w:t xml:space="preserve"> widening the gap in who takes time out to care. </w:t>
      </w:r>
      <w:r w:rsidR="00134010" w:rsidRPr="00B80E1E">
        <w:t xml:space="preserve">This is despite more supportive entitlements </w:t>
      </w:r>
      <w:r w:rsidR="008730AD">
        <w:t xml:space="preserve">for all parents </w:t>
      </w:r>
      <w:r w:rsidR="00134010" w:rsidRPr="00B80E1E">
        <w:t>in many enterprise agreements and policies</w:t>
      </w:r>
      <w:r w:rsidR="00CE3AD4">
        <w:t xml:space="preserve">. </w:t>
      </w:r>
      <w:r w:rsidR="002640E4">
        <w:t>It is clear</w:t>
      </w:r>
      <w:r w:rsidR="009F78D1" w:rsidRPr="009F78D1">
        <w:t xml:space="preserve"> that policy settings alone are insufficient</w:t>
      </w:r>
      <w:r w:rsidR="00134010" w:rsidRPr="00B80E1E">
        <w:t xml:space="preserve"> to </w:t>
      </w:r>
      <w:r w:rsidR="009F78D1" w:rsidRPr="009F78D1">
        <w:t>change behaviour</w:t>
      </w:r>
      <w:r w:rsidR="002640E4">
        <w:t>,</w:t>
      </w:r>
      <w:r w:rsidR="009F78D1" w:rsidRPr="009F78D1">
        <w:t xml:space="preserve"> and that </w:t>
      </w:r>
      <w:r w:rsidR="00134010" w:rsidRPr="00B80E1E">
        <w:t xml:space="preserve">cultural </w:t>
      </w:r>
      <w:r w:rsidR="009D02A1">
        <w:t xml:space="preserve">and behavioural </w:t>
      </w:r>
      <w:r w:rsidR="00E70D02">
        <w:t>barriers</w:t>
      </w:r>
      <w:r w:rsidR="009F78D1" w:rsidRPr="009F78D1">
        <w:t xml:space="preserve"> continue to influence who takes primary responsibility for care</w:t>
      </w:r>
      <w:r w:rsidR="00134010" w:rsidRPr="00B80E1E">
        <w:t xml:space="preserve">. </w:t>
      </w:r>
      <w:r>
        <w:t xml:space="preserve">Given that </w:t>
      </w:r>
      <w:r w:rsidR="00F519BE">
        <w:t>most</w:t>
      </w:r>
      <w:r w:rsidRPr="00B80E1E">
        <w:t xml:space="preserve"> industries improved </w:t>
      </w:r>
      <w:r w:rsidR="003C6D03">
        <w:t>men’s uptake of parental leave</w:t>
      </w:r>
      <w:r w:rsidR="00134010">
        <w:t>, th</w:t>
      </w:r>
      <w:r w:rsidR="00E33BCB">
        <w:t>e</w:t>
      </w:r>
      <w:r w:rsidR="00134010">
        <w:t xml:space="preserve"> </w:t>
      </w:r>
      <w:r w:rsidR="00E1792F">
        <w:t xml:space="preserve">overall </w:t>
      </w:r>
      <w:r w:rsidR="00BC2CCB">
        <w:t>drop in the duration of men’s leave</w:t>
      </w:r>
      <w:r w:rsidR="005E267F">
        <w:t xml:space="preserve"> suggests </w:t>
      </w:r>
      <w:r w:rsidR="002E52E6">
        <w:t>that</w:t>
      </w:r>
      <w:r w:rsidR="00134010">
        <w:t xml:space="preserve"> </w:t>
      </w:r>
      <w:r w:rsidRPr="00B80E1E">
        <w:t>the sector-wide decline is heavily influenced by large falls in a few big industries</w:t>
      </w:r>
      <w:r w:rsidR="00A574EB">
        <w:t xml:space="preserve"> (see table 6.4 f</w:t>
      </w:r>
      <w:r w:rsidR="00005BB2">
        <w:t xml:space="preserve">or the </w:t>
      </w:r>
      <w:r w:rsidR="001C38F8">
        <w:t xml:space="preserve">average </w:t>
      </w:r>
      <w:r w:rsidR="00005BB2">
        <w:t>duration of men’s parental leave by industry</w:t>
      </w:r>
      <w:r w:rsidR="00A574EB">
        <w:t>)</w:t>
      </w:r>
      <w:r w:rsidR="00134010">
        <w:t xml:space="preserve">. </w:t>
      </w:r>
    </w:p>
    <w:p w14:paraId="3DECE534" w14:textId="575D4565" w:rsidR="00B80E1E" w:rsidRPr="00B80E1E" w:rsidRDefault="00B80E1E" w:rsidP="0078531C">
      <w:pPr>
        <w:pStyle w:val="BodyText"/>
      </w:pPr>
      <w:r w:rsidRPr="00B80E1E">
        <w:t xml:space="preserve">Because </w:t>
      </w:r>
      <w:r w:rsidR="0066264B" w:rsidRPr="0066264B">
        <w:t>these patterns persist</w:t>
      </w:r>
      <w:r w:rsidR="006D1418">
        <w:t>,</w:t>
      </w:r>
      <w:r w:rsidR="0066264B" w:rsidRPr="0066264B">
        <w:t xml:space="preserve"> increasing men</w:t>
      </w:r>
      <w:r w:rsidR="00381814">
        <w:t>’</w:t>
      </w:r>
      <w:r w:rsidR="0066264B" w:rsidRPr="0066264B">
        <w:t>s uptake of</w:t>
      </w:r>
      <w:r w:rsidRPr="00B80E1E">
        <w:t xml:space="preserve"> parental leave </w:t>
      </w:r>
      <w:r w:rsidR="007E3B6E">
        <w:t>will now</w:t>
      </w:r>
      <w:r w:rsidR="0066264B" w:rsidRPr="0066264B">
        <w:t xml:space="preserve"> be</w:t>
      </w:r>
      <w:r w:rsidRPr="00B80E1E">
        <w:t xml:space="preserve"> one of the </w:t>
      </w:r>
      <w:r w:rsidR="0066264B" w:rsidRPr="0066264B">
        <w:t>Commissioner</w:t>
      </w:r>
      <w:r w:rsidR="006D1418">
        <w:t>’</w:t>
      </w:r>
      <w:r w:rsidR="0066264B" w:rsidRPr="0066264B">
        <w:t>s</w:t>
      </w:r>
      <w:r w:rsidRPr="00B80E1E">
        <w:t xml:space="preserve"> regulatory priorities.</w:t>
      </w:r>
    </w:p>
    <w:p w14:paraId="4AAE0A9B" w14:textId="32E13EFA" w:rsidR="00AE535D" w:rsidRPr="000A7D4C" w:rsidRDefault="00AB3F17" w:rsidP="0078531C">
      <w:pPr>
        <w:pStyle w:val="BodyText"/>
      </w:pPr>
      <w:r w:rsidRPr="006A1DB5">
        <w:rPr>
          <w:lang w:eastAsia="en-AU"/>
        </w:rPr>
        <w:t xml:space="preserve">Key data measures are presented in Tables </w:t>
      </w:r>
      <w:r w:rsidRPr="00062527">
        <w:rPr>
          <w:lang w:eastAsia="en-AU"/>
        </w:rPr>
        <w:t>6.1 to 6.4</w:t>
      </w:r>
      <w:r w:rsidRPr="006A1DB5">
        <w:rPr>
          <w:lang w:eastAsia="en-AU"/>
        </w:rPr>
        <w:t>. Findings are discussed in further detail after the tables</w:t>
      </w:r>
      <w:r>
        <w:rPr>
          <w:lang w:eastAsia="en-AU"/>
        </w:rPr>
        <w:t>.</w:t>
      </w:r>
    </w:p>
    <w:p w14:paraId="722E4F9D" w14:textId="62271DFA" w:rsidR="00B13FD4" w:rsidRPr="006A2E07" w:rsidRDefault="00B13FD4" w:rsidP="00317980">
      <w:pPr>
        <w:pStyle w:val="Tablecaption"/>
        <w:rPr>
          <w:b w:val="0"/>
          <w:lang w:eastAsia="en-AU"/>
        </w:rPr>
      </w:pPr>
      <w:r w:rsidRPr="006A2E07">
        <w:rPr>
          <w:lang w:eastAsia="en-AU"/>
        </w:rPr>
        <w:t xml:space="preserve">Table 6.1: </w:t>
      </w:r>
      <w:r w:rsidR="00852E94" w:rsidRPr="006A2E07">
        <w:rPr>
          <w:lang w:eastAsia="en-AU"/>
        </w:rPr>
        <w:t>Uptake of</w:t>
      </w:r>
      <w:r w:rsidRPr="006A2E07">
        <w:rPr>
          <w:lang w:eastAsia="en-AU"/>
        </w:rPr>
        <w:t xml:space="preserve"> </w:t>
      </w:r>
      <w:r w:rsidR="00B15467">
        <w:rPr>
          <w:lang w:eastAsia="en-AU"/>
        </w:rPr>
        <w:t>f</w:t>
      </w:r>
      <w:r w:rsidRPr="006A2E07">
        <w:rPr>
          <w:lang w:eastAsia="en-AU"/>
        </w:rPr>
        <w:t xml:space="preserve">lexible </w:t>
      </w:r>
      <w:r w:rsidR="00B15467">
        <w:rPr>
          <w:lang w:eastAsia="en-AU"/>
        </w:rPr>
        <w:t>w</w:t>
      </w:r>
      <w:r w:rsidRPr="006A2E07">
        <w:rPr>
          <w:lang w:eastAsia="en-AU"/>
        </w:rPr>
        <w:t>ork</w:t>
      </w:r>
    </w:p>
    <w:tbl>
      <w:tblPr>
        <w:tblStyle w:val="CGEPStable"/>
        <w:tblW w:w="9016" w:type="dxa"/>
        <w:tblLook w:val="04A0" w:firstRow="1" w:lastRow="0" w:firstColumn="1" w:lastColumn="0" w:noHBand="0" w:noVBand="1"/>
      </w:tblPr>
      <w:tblGrid>
        <w:gridCol w:w="2324"/>
        <w:gridCol w:w="1107"/>
        <w:gridCol w:w="1207"/>
        <w:gridCol w:w="867"/>
        <w:gridCol w:w="1859"/>
        <w:gridCol w:w="1652"/>
      </w:tblGrid>
      <w:tr w:rsidR="00B3400F" w:rsidRPr="003365E2" w14:paraId="425FA5A6" w14:textId="77777777" w:rsidTr="008D3F4C">
        <w:trPr>
          <w:cnfStyle w:val="100000000000" w:firstRow="1" w:lastRow="0" w:firstColumn="0" w:lastColumn="0" w:oddVBand="0" w:evenVBand="0" w:oddHBand="0" w:evenHBand="0" w:firstRowFirstColumn="0" w:firstRowLastColumn="0" w:lastRowFirstColumn="0" w:lastRowLastColumn="0"/>
        </w:trPr>
        <w:tc>
          <w:tcPr>
            <w:tcW w:w="2324" w:type="dxa"/>
            <w:hideMark/>
          </w:tcPr>
          <w:p w14:paraId="75B11E23" w14:textId="09FB8818" w:rsidR="00B13FD4" w:rsidRPr="006036EF" w:rsidRDefault="00B13FD4" w:rsidP="00317980">
            <w:pPr>
              <w:pStyle w:val="Tablecolhead"/>
              <w:rPr>
                <w:lang w:eastAsia="en-AU"/>
              </w:rPr>
            </w:pPr>
            <w:r w:rsidRPr="006036EF">
              <w:rPr>
                <w:lang w:eastAsia="en-AU"/>
              </w:rPr>
              <w:t xml:space="preserve">Arrangement </w:t>
            </w:r>
            <w:r w:rsidR="00B15467">
              <w:rPr>
                <w:lang w:eastAsia="en-AU"/>
              </w:rPr>
              <w:t>t</w:t>
            </w:r>
            <w:r w:rsidRPr="006036EF">
              <w:rPr>
                <w:lang w:eastAsia="en-AU"/>
              </w:rPr>
              <w:t>ype</w:t>
            </w:r>
          </w:p>
        </w:tc>
        <w:tc>
          <w:tcPr>
            <w:tcW w:w="1107" w:type="dxa"/>
            <w:hideMark/>
          </w:tcPr>
          <w:p w14:paraId="26DE1855" w14:textId="5A34D38E" w:rsidR="00B13FD4" w:rsidRPr="00CF0617" w:rsidRDefault="00B13FD4" w:rsidP="00317980">
            <w:pPr>
              <w:pStyle w:val="Tablecolhead"/>
              <w:rPr>
                <w:lang w:eastAsia="en-AU"/>
              </w:rPr>
            </w:pPr>
            <w:r w:rsidRPr="00CF0617">
              <w:rPr>
                <w:lang w:eastAsia="en-AU"/>
              </w:rPr>
              <w:t xml:space="preserve">2021 </w:t>
            </w:r>
          </w:p>
        </w:tc>
        <w:tc>
          <w:tcPr>
            <w:tcW w:w="1207" w:type="dxa"/>
            <w:hideMark/>
          </w:tcPr>
          <w:p w14:paraId="315832D9" w14:textId="67A0543D" w:rsidR="00B13FD4" w:rsidRPr="00CF0617" w:rsidRDefault="00B13FD4" w:rsidP="00317980">
            <w:pPr>
              <w:pStyle w:val="Tablecolhead"/>
              <w:rPr>
                <w:lang w:eastAsia="en-AU"/>
              </w:rPr>
            </w:pPr>
            <w:r w:rsidRPr="00CF0617">
              <w:rPr>
                <w:lang w:eastAsia="en-AU"/>
              </w:rPr>
              <w:t>202</w:t>
            </w:r>
            <w:r w:rsidR="000F4D18" w:rsidRPr="00CF0617">
              <w:rPr>
                <w:lang w:eastAsia="en-AU"/>
              </w:rPr>
              <w:t>3</w:t>
            </w:r>
            <w:r w:rsidRPr="00CF0617">
              <w:rPr>
                <w:lang w:eastAsia="en-AU"/>
              </w:rPr>
              <w:t xml:space="preserve"> </w:t>
            </w:r>
          </w:p>
        </w:tc>
        <w:tc>
          <w:tcPr>
            <w:tcW w:w="867" w:type="dxa"/>
            <w:hideMark/>
          </w:tcPr>
          <w:p w14:paraId="1FA36AA1" w14:textId="09D14A32" w:rsidR="00B13FD4" w:rsidRPr="00CF0617" w:rsidRDefault="00B13FD4" w:rsidP="00317980">
            <w:pPr>
              <w:pStyle w:val="Tablecolhead"/>
              <w:rPr>
                <w:lang w:eastAsia="en-AU"/>
              </w:rPr>
            </w:pPr>
            <w:r w:rsidRPr="00CF0617">
              <w:rPr>
                <w:lang w:eastAsia="en-AU"/>
              </w:rPr>
              <w:t>202</w:t>
            </w:r>
            <w:r w:rsidR="000F4D18" w:rsidRPr="00CF0617">
              <w:rPr>
                <w:lang w:eastAsia="en-AU"/>
              </w:rPr>
              <w:t>5</w:t>
            </w:r>
            <w:r w:rsidRPr="00CF0617">
              <w:rPr>
                <w:lang w:eastAsia="en-AU"/>
              </w:rPr>
              <w:t xml:space="preserve"> </w:t>
            </w:r>
          </w:p>
        </w:tc>
        <w:tc>
          <w:tcPr>
            <w:tcW w:w="1859" w:type="dxa"/>
            <w:hideMark/>
          </w:tcPr>
          <w:p w14:paraId="5B3E5404" w14:textId="7B8B2D77" w:rsidR="00B13FD4" w:rsidRPr="00CF0617" w:rsidRDefault="009D3667" w:rsidP="00317980">
            <w:pPr>
              <w:pStyle w:val="Tablecolhead"/>
              <w:rPr>
                <w:lang w:eastAsia="en-AU"/>
              </w:rPr>
            </w:pPr>
            <w:r>
              <w:rPr>
                <w:lang w:eastAsia="en-AU"/>
              </w:rPr>
              <w:t>C</w:t>
            </w:r>
            <w:r w:rsidR="00BE46C0">
              <w:rPr>
                <w:lang w:eastAsia="en-AU"/>
              </w:rPr>
              <w:t>hange</w:t>
            </w:r>
            <w:r w:rsidR="009761DA">
              <w:rPr>
                <w:lang w:eastAsia="en-AU"/>
              </w:rPr>
              <w:t xml:space="preserve"> 2021</w:t>
            </w:r>
            <w:r w:rsidR="00BE46C0">
              <w:rPr>
                <w:lang w:eastAsia="en-AU"/>
              </w:rPr>
              <w:t>-</w:t>
            </w:r>
            <w:r w:rsidR="009761DA">
              <w:rPr>
                <w:lang w:eastAsia="en-AU"/>
              </w:rPr>
              <w:t>2025</w:t>
            </w:r>
          </w:p>
        </w:tc>
        <w:tc>
          <w:tcPr>
            <w:tcW w:w="1652" w:type="dxa"/>
            <w:tcBorders>
              <w:bottom w:val="single" w:sz="4" w:space="0" w:color="5C308D"/>
            </w:tcBorders>
            <w:hideMark/>
          </w:tcPr>
          <w:p w14:paraId="0129F9C5" w14:textId="37211A6C" w:rsidR="00B13FD4" w:rsidRPr="006A2E07" w:rsidRDefault="008C3606" w:rsidP="00317980">
            <w:pPr>
              <w:pStyle w:val="Tablecolhead"/>
              <w:rPr>
                <w:lang w:eastAsia="en-AU"/>
              </w:rPr>
            </w:pPr>
            <w:r>
              <w:rPr>
                <w:lang w:eastAsia="en-AU"/>
              </w:rPr>
              <w:t>Progress</w:t>
            </w:r>
          </w:p>
        </w:tc>
      </w:tr>
      <w:tr w:rsidR="006036EF" w:rsidRPr="003365E2" w14:paraId="52E39DBA" w14:textId="77777777" w:rsidTr="008D3F4C">
        <w:tc>
          <w:tcPr>
            <w:tcW w:w="2324" w:type="dxa"/>
          </w:tcPr>
          <w:p w14:paraId="3F8B1313" w14:textId="7F636615" w:rsidR="006036EF" w:rsidRPr="00C244FD" w:rsidRDefault="006036EF" w:rsidP="00317980">
            <w:pPr>
              <w:pStyle w:val="Tabletext"/>
              <w:rPr>
                <w:lang w:eastAsia="en-AU"/>
              </w:rPr>
            </w:pPr>
            <w:r>
              <w:rPr>
                <w:lang w:eastAsia="en-AU"/>
              </w:rPr>
              <w:t>Women</w:t>
            </w:r>
            <w:r w:rsidR="002F55AB">
              <w:rPr>
                <w:lang w:eastAsia="en-AU"/>
              </w:rPr>
              <w:t>’</w:t>
            </w:r>
            <w:r>
              <w:rPr>
                <w:lang w:eastAsia="en-AU"/>
              </w:rPr>
              <w:t xml:space="preserve">s uptake of flexible work </w:t>
            </w:r>
          </w:p>
        </w:tc>
        <w:tc>
          <w:tcPr>
            <w:tcW w:w="1107" w:type="dxa"/>
          </w:tcPr>
          <w:p w14:paraId="55678955" w14:textId="0A43263F" w:rsidR="006036EF" w:rsidRPr="00C244FD" w:rsidRDefault="000253B4" w:rsidP="00317980">
            <w:pPr>
              <w:pStyle w:val="Tabletext"/>
              <w:rPr>
                <w:lang w:eastAsia="en-AU"/>
              </w:rPr>
            </w:pPr>
            <w:r>
              <w:rPr>
                <w:lang w:eastAsia="en-AU"/>
              </w:rPr>
              <w:t>23.7%</w:t>
            </w:r>
          </w:p>
        </w:tc>
        <w:tc>
          <w:tcPr>
            <w:tcW w:w="1207" w:type="dxa"/>
          </w:tcPr>
          <w:p w14:paraId="000C5C06" w14:textId="486C4419" w:rsidR="006036EF" w:rsidRPr="00C244FD" w:rsidRDefault="000253B4" w:rsidP="00317980">
            <w:pPr>
              <w:pStyle w:val="Tabletext"/>
              <w:rPr>
                <w:lang w:eastAsia="en-AU"/>
              </w:rPr>
            </w:pPr>
            <w:r>
              <w:rPr>
                <w:lang w:eastAsia="en-AU"/>
              </w:rPr>
              <w:t>22.0%</w:t>
            </w:r>
          </w:p>
        </w:tc>
        <w:tc>
          <w:tcPr>
            <w:tcW w:w="867" w:type="dxa"/>
          </w:tcPr>
          <w:p w14:paraId="7532F2FF" w14:textId="27AB8202" w:rsidR="006036EF" w:rsidRPr="00C244FD" w:rsidRDefault="00837E32" w:rsidP="00317980">
            <w:pPr>
              <w:pStyle w:val="Tabletext"/>
              <w:rPr>
                <w:lang w:eastAsia="en-AU"/>
              </w:rPr>
            </w:pPr>
            <w:r>
              <w:rPr>
                <w:lang w:eastAsia="en-AU"/>
              </w:rPr>
              <w:t>27.1%</w:t>
            </w:r>
          </w:p>
        </w:tc>
        <w:tc>
          <w:tcPr>
            <w:tcW w:w="1859" w:type="dxa"/>
          </w:tcPr>
          <w:p w14:paraId="3EA10FE8" w14:textId="40C86C06" w:rsidR="006036EF" w:rsidRPr="00A34508" w:rsidRDefault="00837E32" w:rsidP="00317980">
            <w:pPr>
              <w:pStyle w:val="Tabletext"/>
              <w:rPr>
                <w:lang w:eastAsia="en-AU"/>
              </w:rPr>
            </w:pPr>
            <w:r w:rsidRPr="00A34508">
              <w:rPr>
                <w:lang w:eastAsia="en-AU"/>
              </w:rPr>
              <w:t>+3.4pp</w:t>
            </w:r>
          </w:p>
        </w:tc>
        <w:tc>
          <w:tcPr>
            <w:tcW w:w="1652" w:type="dxa"/>
            <w:tcBorders>
              <w:top w:val="single" w:sz="4" w:space="0" w:color="5C308D"/>
              <w:bottom w:val="nil"/>
            </w:tcBorders>
          </w:tcPr>
          <w:p w14:paraId="43EC14B8" w14:textId="0A36237F" w:rsidR="006036EF" w:rsidRPr="00A34508" w:rsidRDefault="00A34508" w:rsidP="00317980">
            <w:pPr>
              <w:pStyle w:val="Tabletext"/>
              <w:rPr>
                <w:lang w:eastAsia="en-AU"/>
              </w:rPr>
            </w:pPr>
            <w:r w:rsidRPr="00A34508">
              <w:rPr>
                <w:rFonts w:cs="Arial"/>
                <w:szCs w:val="21"/>
                <w:lang w:eastAsia="en-AU"/>
              </w:rPr>
              <w:t>Moderate (</w:t>
            </w:r>
            <w:r w:rsidRPr="00C27278">
              <w:rPr>
                <w:rFonts w:cs="Arial"/>
                <w:szCs w:val="21"/>
                <w:lang w:eastAsia="en-AU"/>
              </w:rPr>
              <w:t>H</w:t>
            </w:r>
            <w:r w:rsidR="00911A63">
              <w:rPr>
                <w:rFonts w:cs="Arial"/>
                <w:szCs w:val="21"/>
                <w:lang w:eastAsia="en-AU"/>
              </w:rPr>
              <w:t>olistic</w:t>
            </w:r>
            <w:r w:rsidRPr="00A34508">
              <w:rPr>
                <w:rFonts w:cs="Arial"/>
                <w:szCs w:val="21"/>
                <w:lang w:eastAsia="en-AU"/>
              </w:rPr>
              <w:t>)</w:t>
            </w:r>
          </w:p>
        </w:tc>
      </w:tr>
      <w:tr w:rsidR="00E24D5E" w:rsidRPr="003365E2" w14:paraId="09412EC2" w14:textId="77777777" w:rsidTr="008D3F4C">
        <w:tc>
          <w:tcPr>
            <w:tcW w:w="2324" w:type="dxa"/>
            <w:hideMark/>
          </w:tcPr>
          <w:p w14:paraId="6A62BC27" w14:textId="2350418C" w:rsidR="00E24D5E" w:rsidRPr="00C244FD" w:rsidRDefault="00E24D5E" w:rsidP="00E24D5E">
            <w:pPr>
              <w:pStyle w:val="Tabletext"/>
              <w:rPr>
                <w:lang w:eastAsia="en-AU"/>
              </w:rPr>
            </w:pPr>
            <w:r w:rsidRPr="00C244FD">
              <w:rPr>
                <w:lang w:eastAsia="en-AU"/>
              </w:rPr>
              <w:t>Men</w:t>
            </w:r>
            <w:r>
              <w:rPr>
                <w:lang w:eastAsia="en-AU"/>
              </w:rPr>
              <w:t>’</w:t>
            </w:r>
            <w:r w:rsidRPr="00C244FD">
              <w:rPr>
                <w:lang w:eastAsia="en-AU"/>
              </w:rPr>
              <w:t xml:space="preserve">s uptake of flexible work </w:t>
            </w:r>
          </w:p>
        </w:tc>
        <w:tc>
          <w:tcPr>
            <w:tcW w:w="1107" w:type="dxa"/>
            <w:hideMark/>
          </w:tcPr>
          <w:p w14:paraId="68D90A38" w14:textId="70E78E59" w:rsidR="00E24D5E" w:rsidRPr="00C244FD" w:rsidRDefault="00E24D5E" w:rsidP="00E24D5E">
            <w:pPr>
              <w:pStyle w:val="Tabletext"/>
              <w:rPr>
                <w:lang w:eastAsia="en-AU"/>
              </w:rPr>
            </w:pPr>
            <w:r>
              <w:rPr>
                <w:lang w:eastAsia="en-AU"/>
              </w:rPr>
              <w:t>14.9%</w:t>
            </w:r>
          </w:p>
        </w:tc>
        <w:tc>
          <w:tcPr>
            <w:tcW w:w="1207" w:type="dxa"/>
            <w:hideMark/>
          </w:tcPr>
          <w:p w14:paraId="6969EF51" w14:textId="2528EDC6" w:rsidR="00E24D5E" w:rsidRPr="00C244FD" w:rsidRDefault="00E24D5E" w:rsidP="00E24D5E">
            <w:pPr>
              <w:pStyle w:val="Tabletext"/>
              <w:rPr>
                <w:lang w:eastAsia="en-AU"/>
              </w:rPr>
            </w:pPr>
            <w:r>
              <w:rPr>
                <w:lang w:eastAsia="en-AU"/>
              </w:rPr>
              <w:t>15.7%</w:t>
            </w:r>
          </w:p>
        </w:tc>
        <w:tc>
          <w:tcPr>
            <w:tcW w:w="867" w:type="dxa"/>
            <w:hideMark/>
          </w:tcPr>
          <w:p w14:paraId="200EE2A0" w14:textId="431B93F3" w:rsidR="00E24D5E" w:rsidRPr="00C244FD" w:rsidRDefault="00E24D5E" w:rsidP="00E24D5E">
            <w:pPr>
              <w:pStyle w:val="Tabletext"/>
              <w:rPr>
                <w:lang w:eastAsia="en-AU"/>
              </w:rPr>
            </w:pPr>
            <w:r>
              <w:rPr>
                <w:lang w:eastAsia="en-AU"/>
              </w:rPr>
              <w:t>19.6%</w:t>
            </w:r>
          </w:p>
        </w:tc>
        <w:tc>
          <w:tcPr>
            <w:tcW w:w="1859" w:type="dxa"/>
            <w:hideMark/>
          </w:tcPr>
          <w:p w14:paraId="7618D2B0" w14:textId="194C7642" w:rsidR="00E24D5E" w:rsidRPr="00C244FD" w:rsidRDefault="00E24D5E" w:rsidP="00E24D5E">
            <w:pPr>
              <w:pStyle w:val="Tabletext"/>
              <w:rPr>
                <w:lang w:eastAsia="en-AU"/>
              </w:rPr>
            </w:pPr>
            <w:r>
              <w:rPr>
                <w:lang w:eastAsia="en-AU"/>
              </w:rPr>
              <w:t>+4.7pp</w:t>
            </w:r>
          </w:p>
        </w:tc>
        <w:tc>
          <w:tcPr>
            <w:tcW w:w="1652" w:type="dxa"/>
            <w:tcBorders>
              <w:top w:val="nil"/>
              <w:bottom w:val="nil"/>
            </w:tcBorders>
            <w:hideMark/>
          </w:tcPr>
          <w:p w14:paraId="31579D7A" w14:textId="0CA16E96" w:rsidR="00E24D5E" w:rsidRPr="00C244FD" w:rsidRDefault="00E24D5E" w:rsidP="00E24D5E">
            <w:pPr>
              <w:pStyle w:val="Tabletext"/>
              <w:rPr>
                <w:lang w:eastAsia="en-AU"/>
              </w:rPr>
            </w:pPr>
            <w:r w:rsidRPr="00A34508">
              <w:rPr>
                <w:rFonts w:cs="Arial"/>
                <w:szCs w:val="21"/>
                <w:lang w:eastAsia="en-AU"/>
              </w:rPr>
              <w:t>Moderate (</w:t>
            </w:r>
            <w:r w:rsidRPr="00C27278">
              <w:rPr>
                <w:rFonts w:cs="Arial"/>
                <w:szCs w:val="21"/>
                <w:lang w:eastAsia="en-AU"/>
              </w:rPr>
              <w:t>H</w:t>
            </w:r>
            <w:r>
              <w:rPr>
                <w:rFonts w:cs="Arial"/>
                <w:szCs w:val="21"/>
                <w:lang w:eastAsia="en-AU"/>
              </w:rPr>
              <w:t>olistic</w:t>
            </w:r>
            <w:r w:rsidRPr="00A34508">
              <w:rPr>
                <w:rFonts w:cs="Arial"/>
                <w:szCs w:val="21"/>
                <w:lang w:eastAsia="en-AU"/>
              </w:rPr>
              <w:t>)</w:t>
            </w:r>
          </w:p>
        </w:tc>
      </w:tr>
      <w:tr w:rsidR="00E24D5E" w:rsidRPr="003365E2" w14:paraId="2B693C67" w14:textId="77777777" w:rsidTr="008D3F4C">
        <w:tc>
          <w:tcPr>
            <w:tcW w:w="2324" w:type="dxa"/>
          </w:tcPr>
          <w:p w14:paraId="23416761" w14:textId="27A2D08E" w:rsidR="00E24D5E" w:rsidRPr="00C244FD" w:rsidRDefault="00E24D5E" w:rsidP="00E24D5E">
            <w:pPr>
              <w:pStyle w:val="Tabletext"/>
              <w:rPr>
                <w:lang w:eastAsia="en-AU"/>
              </w:rPr>
            </w:pPr>
            <w:r>
              <w:rPr>
                <w:lang w:eastAsia="en-AU"/>
              </w:rPr>
              <w:t xml:space="preserve">Gender gap in uptake of flexible work </w:t>
            </w:r>
          </w:p>
        </w:tc>
        <w:tc>
          <w:tcPr>
            <w:tcW w:w="1107" w:type="dxa"/>
          </w:tcPr>
          <w:p w14:paraId="1F27C490" w14:textId="0872A3EC" w:rsidR="00E24D5E" w:rsidRPr="00C244FD" w:rsidRDefault="00E24D5E" w:rsidP="00E24D5E">
            <w:pPr>
              <w:pStyle w:val="Tabletext"/>
              <w:rPr>
                <w:lang w:eastAsia="en-AU"/>
              </w:rPr>
            </w:pPr>
            <w:r>
              <w:rPr>
                <w:lang w:eastAsia="en-AU"/>
              </w:rPr>
              <w:t>-8.8%</w:t>
            </w:r>
          </w:p>
        </w:tc>
        <w:tc>
          <w:tcPr>
            <w:tcW w:w="1207" w:type="dxa"/>
          </w:tcPr>
          <w:p w14:paraId="53AC975C" w14:textId="7F55F231" w:rsidR="00E24D5E" w:rsidRPr="00C244FD" w:rsidRDefault="00E24D5E" w:rsidP="00E24D5E">
            <w:pPr>
              <w:pStyle w:val="Tabletext"/>
              <w:rPr>
                <w:lang w:eastAsia="en-AU"/>
              </w:rPr>
            </w:pPr>
            <w:r>
              <w:rPr>
                <w:lang w:eastAsia="en-AU"/>
              </w:rPr>
              <w:t>-6.3%</w:t>
            </w:r>
          </w:p>
        </w:tc>
        <w:tc>
          <w:tcPr>
            <w:tcW w:w="867" w:type="dxa"/>
          </w:tcPr>
          <w:p w14:paraId="1F379677" w14:textId="7127A362" w:rsidR="00E24D5E" w:rsidRPr="00C244FD" w:rsidRDefault="00E24D5E" w:rsidP="00E24D5E">
            <w:pPr>
              <w:pStyle w:val="Tabletext"/>
              <w:rPr>
                <w:lang w:eastAsia="en-AU"/>
              </w:rPr>
            </w:pPr>
            <w:r>
              <w:rPr>
                <w:lang w:eastAsia="en-AU"/>
              </w:rPr>
              <w:t>-7.4%</w:t>
            </w:r>
          </w:p>
        </w:tc>
        <w:tc>
          <w:tcPr>
            <w:tcW w:w="1859" w:type="dxa"/>
          </w:tcPr>
          <w:p w14:paraId="3294183E" w14:textId="521F8482" w:rsidR="00E24D5E" w:rsidRPr="00C244FD" w:rsidRDefault="00E24D5E" w:rsidP="00E24D5E">
            <w:pPr>
              <w:pStyle w:val="Tabletext"/>
              <w:rPr>
                <w:lang w:eastAsia="en-AU"/>
              </w:rPr>
            </w:pPr>
            <w:r>
              <w:rPr>
                <w:lang w:eastAsia="en-AU"/>
              </w:rPr>
              <w:t>+1.4pp</w:t>
            </w:r>
          </w:p>
        </w:tc>
        <w:tc>
          <w:tcPr>
            <w:tcW w:w="1652" w:type="dxa"/>
            <w:tcBorders>
              <w:top w:val="nil"/>
            </w:tcBorders>
          </w:tcPr>
          <w:p w14:paraId="7672C129" w14:textId="552F175C" w:rsidR="00E24D5E" w:rsidRPr="00C244FD" w:rsidRDefault="00E24D5E" w:rsidP="00E24D5E">
            <w:pPr>
              <w:pStyle w:val="Tabletext"/>
              <w:rPr>
                <w:lang w:eastAsia="en-AU"/>
              </w:rPr>
            </w:pPr>
            <w:r w:rsidRPr="00A34508">
              <w:rPr>
                <w:rFonts w:cs="Arial"/>
                <w:szCs w:val="21"/>
                <w:lang w:eastAsia="en-AU"/>
              </w:rPr>
              <w:t>Moderate (</w:t>
            </w:r>
            <w:r w:rsidRPr="00C27278">
              <w:rPr>
                <w:rFonts w:cs="Arial"/>
                <w:szCs w:val="21"/>
                <w:lang w:eastAsia="en-AU"/>
              </w:rPr>
              <w:t>H</w:t>
            </w:r>
            <w:r>
              <w:rPr>
                <w:rFonts w:cs="Arial"/>
                <w:szCs w:val="21"/>
                <w:lang w:eastAsia="en-AU"/>
              </w:rPr>
              <w:t>olistic</w:t>
            </w:r>
            <w:r w:rsidRPr="00A34508">
              <w:rPr>
                <w:rFonts w:cs="Arial"/>
                <w:szCs w:val="21"/>
                <w:lang w:eastAsia="en-AU"/>
              </w:rPr>
              <w:t>)</w:t>
            </w:r>
          </w:p>
        </w:tc>
      </w:tr>
      <w:tr w:rsidR="00E24D5E" w:rsidRPr="003365E2" w14:paraId="6A75E068" w14:textId="77777777" w:rsidTr="008C103C">
        <w:tc>
          <w:tcPr>
            <w:tcW w:w="2324" w:type="dxa"/>
          </w:tcPr>
          <w:p w14:paraId="024A4DF7" w14:textId="1D24E405" w:rsidR="00E24D5E" w:rsidRDefault="00E24D5E" w:rsidP="00E24D5E">
            <w:pPr>
              <w:pStyle w:val="Tabletext"/>
              <w:rPr>
                <w:lang w:eastAsia="en-AU"/>
              </w:rPr>
            </w:pPr>
            <w:r>
              <w:rPr>
                <w:lang w:eastAsia="en-AU"/>
              </w:rPr>
              <w:t>Women’s workplace flexibility support index (score out of 5)</w:t>
            </w:r>
          </w:p>
        </w:tc>
        <w:tc>
          <w:tcPr>
            <w:tcW w:w="1107" w:type="dxa"/>
          </w:tcPr>
          <w:p w14:paraId="779DA3FD" w14:textId="5EE4C97E" w:rsidR="00E24D5E" w:rsidRDefault="00E24D5E" w:rsidP="00E24D5E">
            <w:pPr>
              <w:pStyle w:val="Tabletext"/>
              <w:rPr>
                <w:lang w:eastAsia="en-AU"/>
              </w:rPr>
            </w:pPr>
            <w:r>
              <w:rPr>
                <w:lang w:eastAsia="en-AU"/>
              </w:rPr>
              <w:t>3.9</w:t>
            </w:r>
          </w:p>
        </w:tc>
        <w:tc>
          <w:tcPr>
            <w:tcW w:w="1207" w:type="dxa"/>
          </w:tcPr>
          <w:p w14:paraId="75A92801" w14:textId="0A12C21D" w:rsidR="00E24D5E" w:rsidRDefault="00E24D5E" w:rsidP="00E24D5E">
            <w:pPr>
              <w:pStyle w:val="Tabletext"/>
              <w:rPr>
                <w:lang w:eastAsia="en-AU"/>
              </w:rPr>
            </w:pPr>
            <w:r>
              <w:rPr>
                <w:lang w:eastAsia="en-AU"/>
              </w:rPr>
              <w:t>4.1</w:t>
            </w:r>
          </w:p>
        </w:tc>
        <w:tc>
          <w:tcPr>
            <w:tcW w:w="867" w:type="dxa"/>
          </w:tcPr>
          <w:p w14:paraId="7570B24F" w14:textId="0CAD9620" w:rsidR="00E24D5E" w:rsidRDefault="00E24D5E" w:rsidP="00E24D5E">
            <w:pPr>
              <w:pStyle w:val="Tabletext"/>
              <w:rPr>
                <w:lang w:eastAsia="en-AU"/>
              </w:rPr>
            </w:pPr>
            <w:r>
              <w:rPr>
                <w:lang w:eastAsia="en-AU"/>
              </w:rPr>
              <w:t>4.2</w:t>
            </w:r>
          </w:p>
        </w:tc>
        <w:tc>
          <w:tcPr>
            <w:tcW w:w="1859" w:type="dxa"/>
          </w:tcPr>
          <w:p w14:paraId="7F757BF4" w14:textId="75A79A3F" w:rsidR="00E24D5E" w:rsidRDefault="00E24D5E" w:rsidP="00E24D5E">
            <w:pPr>
              <w:pStyle w:val="Tabletext"/>
              <w:rPr>
                <w:lang w:eastAsia="en-AU"/>
              </w:rPr>
            </w:pPr>
            <w:r>
              <w:rPr>
                <w:lang w:eastAsia="en-AU"/>
              </w:rPr>
              <w:t>+0.2</w:t>
            </w:r>
          </w:p>
        </w:tc>
        <w:tc>
          <w:tcPr>
            <w:tcW w:w="1652" w:type="dxa"/>
          </w:tcPr>
          <w:p w14:paraId="59213833" w14:textId="2D7F8754" w:rsidR="00E24D5E" w:rsidRPr="00C244FD" w:rsidRDefault="00E24D5E" w:rsidP="00E24D5E">
            <w:pPr>
              <w:pStyle w:val="Tabletext"/>
              <w:rPr>
                <w:lang w:eastAsia="en-AU"/>
              </w:rPr>
            </w:pPr>
            <w:r>
              <w:rPr>
                <w:lang w:eastAsia="en-AU"/>
              </w:rPr>
              <w:t>Excellent (18</w:t>
            </w:r>
            <w:r>
              <w:rPr>
                <w:rFonts w:cs="Arial"/>
                <w:szCs w:val="21"/>
                <w:lang w:eastAsia="en-AU"/>
              </w:rPr>
              <w:t xml:space="preserve"> – Matrix</w:t>
            </w:r>
            <w:r>
              <w:rPr>
                <w:lang w:eastAsia="en-AU"/>
              </w:rPr>
              <w:t>)</w:t>
            </w:r>
          </w:p>
        </w:tc>
      </w:tr>
      <w:tr w:rsidR="00E24D5E" w:rsidRPr="003365E2" w14:paraId="051F7810" w14:textId="77777777" w:rsidTr="008C103C">
        <w:tc>
          <w:tcPr>
            <w:tcW w:w="2324" w:type="dxa"/>
          </w:tcPr>
          <w:p w14:paraId="79F648E2" w14:textId="255C23F2" w:rsidR="00E24D5E" w:rsidRDefault="00E24D5E" w:rsidP="00E24D5E">
            <w:pPr>
              <w:pStyle w:val="Tabletext"/>
              <w:rPr>
                <w:lang w:eastAsia="en-AU"/>
              </w:rPr>
            </w:pPr>
            <w:r>
              <w:rPr>
                <w:lang w:eastAsia="en-AU"/>
              </w:rPr>
              <w:t>Men’s workplace flexibility support index (score out of 5)</w:t>
            </w:r>
          </w:p>
        </w:tc>
        <w:tc>
          <w:tcPr>
            <w:tcW w:w="1107" w:type="dxa"/>
          </w:tcPr>
          <w:p w14:paraId="78570E52" w14:textId="7A64F6F4" w:rsidR="00E24D5E" w:rsidRDefault="00E24D5E" w:rsidP="00E24D5E">
            <w:pPr>
              <w:pStyle w:val="Tabletext"/>
              <w:rPr>
                <w:lang w:eastAsia="en-AU"/>
              </w:rPr>
            </w:pPr>
            <w:r>
              <w:rPr>
                <w:lang w:eastAsia="en-AU"/>
              </w:rPr>
              <w:t>3.9</w:t>
            </w:r>
          </w:p>
        </w:tc>
        <w:tc>
          <w:tcPr>
            <w:tcW w:w="1207" w:type="dxa"/>
          </w:tcPr>
          <w:p w14:paraId="3ECD5940" w14:textId="0E62EABA" w:rsidR="00E24D5E" w:rsidRDefault="00E24D5E" w:rsidP="00E24D5E">
            <w:pPr>
              <w:pStyle w:val="Tabletext"/>
              <w:rPr>
                <w:lang w:eastAsia="en-AU"/>
              </w:rPr>
            </w:pPr>
            <w:r>
              <w:rPr>
                <w:lang w:eastAsia="en-AU"/>
              </w:rPr>
              <w:t>4.1</w:t>
            </w:r>
          </w:p>
        </w:tc>
        <w:tc>
          <w:tcPr>
            <w:tcW w:w="867" w:type="dxa"/>
          </w:tcPr>
          <w:p w14:paraId="66E5B0A8" w14:textId="03D38D42" w:rsidR="00E24D5E" w:rsidRDefault="00E24D5E" w:rsidP="00E24D5E">
            <w:pPr>
              <w:pStyle w:val="Tabletext"/>
              <w:rPr>
                <w:lang w:eastAsia="en-AU"/>
              </w:rPr>
            </w:pPr>
            <w:r>
              <w:rPr>
                <w:lang w:eastAsia="en-AU"/>
              </w:rPr>
              <w:t>4.2</w:t>
            </w:r>
          </w:p>
        </w:tc>
        <w:tc>
          <w:tcPr>
            <w:tcW w:w="1859" w:type="dxa"/>
          </w:tcPr>
          <w:p w14:paraId="14B71704" w14:textId="46284A7D" w:rsidR="00E24D5E" w:rsidRDefault="00E24D5E" w:rsidP="00E24D5E">
            <w:pPr>
              <w:pStyle w:val="Tabletext"/>
              <w:rPr>
                <w:lang w:eastAsia="en-AU"/>
              </w:rPr>
            </w:pPr>
            <w:r>
              <w:rPr>
                <w:lang w:eastAsia="en-AU"/>
              </w:rPr>
              <w:t>+0.2</w:t>
            </w:r>
          </w:p>
        </w:tc>
        <w:tc>
          <w:tcPr>
            <w:tcW w:w="1652" w:type="dxa"/>
          </w:tcPr>
          <w:p w14:paraId="4EFAC334" w14:textId="710FCA1E" w:rsidR="00E24D5E" w:rsidRPr="00C244FD" w:rsidRDefault="00E24D5E" w:rsidP="00E24D5E">
            <w:pPr>
              <w:pStyle w:val="Tabletext"/>
              <w:rPr>
                <w:lang w:eastAsia="en-AU"/>
              </w:rPr>
            </w:pPr>
            <w:r>
              <w:rPr>
                <w:lang w:eastAsia="en-AU"/>
              </w:rPr>
              <w:t>Excellent (18</w:t>
            </w:r>
            <w:r>
              <w:rPr>
                <w:rFonts w:cs="Arial"/>
                <w:szCs w:val="21"/>
                <w:lang w:eastAsia="en-AU"/>
              </w:rPr>
              <w:t xml:space="preserve"> – Matrix</w:t>
            </w:r>
            <w:r>
              <w:rPr>
                <w:lang w:eastAsia="en-AU"/>
              </w:rPr>
              <w:t>)</w:t>
            </w:r>
          </w:p>
        </w:tc>
      </w:tr>
      <w:tr w:rsidR="00E24D5E" w:rsidRPr="003365E2" w14:paraId="3F4FCB9D" w14:textId="77777777" w:rsidTr="004444B7">
        <w:tc>
          <w:tcPr>
            <w:tcW w:w="2324" w:type="dxa"/>
          </w:tcPr>
          <w:p w14:paraId="560E304C" w14:textId="33016B4D" w:rsidR="00E24D5E" w:rsidRDefault="00E24D5E" w:rsidP="00E24D5E">
            <w:pPr>
              <w:pStyle w:val="Tabletext"/>
              <w:rPr>
                <w:lang w:eastAsia="en-AU"/>
              </w:rPr>
            </w:pPr>
            <w:r>
              <w:rPr>
                <w:lang w:eastAsia="en-AU"/>
              </w:rPr>
              <w:t>Workplace flexibility support index for people of self-described gender (score out of 5)</w:t>
            </w:r>
          </w:p>
        </w:tc>
        <w:tc>
          <w:tcPr>
            <w:tcW w:w="1107" w:type="dxa"/>
          </w:tcPr>
          <w:p w14:paraId="795FA80D" w14:textId="65DECC7B" w:rsidR="00E24D5E" w:rsidRDefault="00E24D5E" w:rsidP="00E24D5E">
            <w:pPr>
              <w:pStyle w:val="Tabletext"/>
              <w:rPr>
                <w:lang w:eastAsia="en-AU"/>
              </w:rPr>
            </w:pPr>
            <w:r>
              <w:rPr>
                <w:lang w:eastAsia="en-AU"/>
              </w:rPr>
              <w:t>3.6</w:t>
            </w:r>
          </w:p>
        </w:tc>
        <w:tc>
          <w:tcPr>
            <w:tcW w:w="1207" w:type="dxa"/>
          </w:tcPr>
          <w:p w14:paraId="65BEEFC2" w14:textId="2F576AAB" w:rsidR="00E24D5E" w:rsidRDefault="00E24D5E" w:rsidP="00E24D5E">
            <w:pPr>
              <w:pStyle w:val="Tabletext"/>
              <w:rPr>
                <w:lang w:eastAsia="en-AU"/>
              </w:rPr>
            </w:pPr>
            <w:r>
              <w:rPr>
                <w:lang w:eastAsia="en-AU"/>
              </w:rPr>
              <w:t>3.8</w:t>
            </w:r>
          </w:p>
        </w:tc>
        <w:tc>
          <w:tcPr>
            <w:tcW w:w="867" w:type="dxa"/>
          </w:tcPr>
          <w:p w14:paraId="6900DB30" w14:textId="47A3EFBF" w:rsidR="00E24D5E" w:rsidRDefault="00E24D5E" w:rsidP="00E24D5E">
            <w:pPr>
              <w:pStyle w:val="Tabletext"/>
              <w:rPr>
                <w:lang w:eastAsia="en-AU"/>
              </w:rPr>
            </w:pPr>
            <w:r>
              <w:rPr>
                <w:lang w:eastAsia="en-AU"/>
              </w:rPr>
              <w:t>3.9</w:t>
            </w:r>
          </w:p>
        </w:tc>
        <w:tc>
          <w:tcPr>
            <w:tcW w:w="1859" w:type="dxa"/>
          </w:tcPr>
          <w:p w14:paraId="60E5A7FD" w14:textId="325028A3" w:rsidR="00E24D5E" w:rsidRDefault="00E24D5E" w:rsidP="00E24D5E">
            <w:pPr>
              <w:pStyle w:val="Tabletext"/>
              <w:rPr>
                <w:lang w:eastAsia="en-AU"/>
              </w:rPr>
            </w:pPr>
            <w:r>
              <w:rPr>
                <w:lang w:eastAsia="en-AU"/>
              </w:rPr>
              <w:t>+0.3</w:t>
            </w:r>
          </w:p>
        </w:tc>
        <w:tc>
          <w:tcPr>
            <w:tcW w:w="1652" w:type="dxa"/>
            <w:shd w:val="clear" w:color="auto" w:fill="BFBFBF" w:themeFill="background1" w:themeFillShade="BF"/>
          </w:tcPr>
          <w:p w14:paraId="656A6FCC" w14:textId="1BE5CFA7" w:rsidR="00E24D5E" w:rsidRDefault="00E24D5E" w:rsidP="00E24D5E">
            <w:pPr>
              <w:pStyle w:val="Tabletext"/>
              <w:rPr>
                <w:lang w:eastAsia="en-AU"/>
              </w:rPr>
            </w:pPr>
            <w:r>
              <w:rPr>
                <w:lang w:eastAsia="en-AU"/>
              </w:rPr>
              <w:t>n/a</w:t>
            </w:r>
          </w:p>
        </w:tc>
      </w:tr>
    </w:tbl>
    <w:p w14:paraId="2BBFF1D6" w14:textId="24BDD1FC" w:rsidR="003C6C5F" w:rsidRDefault="003C6C5F" w:rsidP="004403D9">
      <w:pPr>
        <w:pStyle w:val="Tablefigurenote"/>
      </w:pPr>
      <w:r w:rsidRPr="00803AB3">
        <w:t>Source: Workplace gender audit workforce data, 2021, 2023 and 2025</w:t>
      </w:r>
      <w:r>
        <w:t>.</w:t>
      </w:r>
      <w:r w:rsidR="00803AB3" w:rsidRPr="006C41AA">
        <w:t>People matter survey data, 2021, 2023 and 2025.</w:t>
      </w:r>
    </w:p>
    <w:p w14:paraId="1CD83042" w14:textId="73E85E5B" w:rsidR="00ED08E7" w:rsidRDefault="004403D9" w:rsidP="004403D9">
      <w:pPr>
        <w:pStyle w:val="Tablefigurenote"/>
        <w:rPr>
          <w:b/>
          <w:bCs/>
          <w:highlight w:val="yellow"/>
          <w:lang w:eastAsia="en-AU"/>
        </w:rPr>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002F768A" w:rsidRPr="002F768A">
        <w:t xml:space="preserve"> </w:t>
      </w:r>
      <w:r w:rsidR="002F768A" w:rsidRPr="00883939">
        <w:t xml:space="preserve">To read more about how the Commission calculates gender gaps, see </w:t>
      </w:r>
      <w:hyperlink w:anchor="_Gender_gaps" w:history="1">
        <w:r w:rsidR="002F768A" w:rsidRPr="00031C4E">
          <w:rPr>
            <w:rStyle w:val="Hyperlink"/>
            <w:rFonts w:cs="Times New Roman"/>
          </w:rPr>
          <w:t>Gender gaps</w:t>
        </w:r>
      </w:hyperlink>
      <w:r w:rsidR="002F768A" w:rsidRPr="00031C4E">
        <w:t xml:space="preserve"> in Appendix 1</w:t>
      </w:r>
      <w:r w:rsidR="002F768A">
        <w:t>.</w:t>
      </w:r>
      <w:r w:rsidRPr="00C27278">
        <w:t xml:space="preserve"> Gender gaps are always calculated between men and women. </w:t>
      </w:r>
      <w:r w:rsidR="00A33093" w:rsidRPr="00C27278">
        <w:t>A</w:t>
      </w:r>
      <w:r w:rsidRPr="00C27278">
        <w:t xml:space="preserve"> gap </w:t>
      </w:r>
      <w:r w:rsidR="00A33093">
        <w:rPr>
          <w:lang w:eastAsia="en-AU"/>
        </w:rPr>
        <w:t>greater than zero</w:t>
      </w:r>
      <w:r w:rsidR="00A33093" w:rsidRPr="00C27278">
        <w:t xml:space="preserve"> </w:t>
      </w:r>
      <w:r w:rsidRPr="00C27278">
        <w:t xml:space="preserve">is in favour of men, and a gap </w:t>
      </w:r>
      <w:r w:rsidR="00A33093">
        <w:t>less than zero</w:t>
      </w:r>
      <w:r w:rsidR="00A33093" w:rsidRPr="00C27278">
        <w:t xml:space="preserve"> </w:t>
      </w:r>
      <w:r w:rsidRPr="00C27278">
        <w:t>is in favour of women.</w:t>
      </w:r>
      <w:r w:rsidR="00D95867">
        <w:t xml:space="preserve"> The workplace flexibility support index figure brings together 3 questions from the People matter survey: ‘</w:t>
      </w:r>
      <w:r w:rsidR="00D95867" w:rsidRPr="00D95867">
        <w:t>I am confident that if I requested a flexible work arrangement, it would be given due consideration</w:t>
      </w:r>
      <w:r w:rsidR="00D95867">
        <w:t>’</w:t>
      </w:r>
      <w:r w:rsidR="00B82C1A">
        <w:t>;</w:t>
      </w:r>
      <w:r w:rsidR="00D95867">
        <w:t xml:space="preserve"> </w:t>
      </w:r>
      <w:r w:rsidR="002F55AB">
        <w:t>‘</w:t>
      </w:r>
      <w:r w:rsidR="00D95867" w:rsidRPr="00D95867">
        <w:t>My organisation would support me if I needed to take family violence leave</w:t>
      </w:r>
      <w:r w:rsidR="00D95867">
        <w:t>’</w:t>
      </w:r>
      <w:r w:rsidR="00B82C1A">
        <w:t>;</w:t>
      </w:r>
      <w:r w:rsidR="00D95867">
        <w:t xml:space="preserve"> and ‘</w:t>
      </w:r>
      <w:r w:rsidR="00D95867" w:rsidRPr="00D95867">
        <w:t>My direct line manager supports working flexibly</w:t>
      </w:r>
      <w:r w:rsidR="00D95867">
        <w:t>’.</w:t>
      </w:r>
      <w:r w:rsidR="002973CF">
        <w:t xml:space="preserve"> It is measured on a 5-point scale.</w:t>
      </w:r>
      <w:r w:rsidR="00843234">
        <w:t xml:space="preserve"> </w:t>
      </w:r>
      <w:r w:rsidR="00843234" w:rsidRPr="00AE1037">
        <w:t>The</w:t>
      </w:r>
      <w:r w:rsidR="00843234">
        <w:t xml:space="preserve"> </w:t>
      </w:r>
      <w:r w:rsidR="00843234" w:rsidRPr="00AE1037">
        <w:t>change column may not always reflect the exact difference between years due to rounding</w:t>
      </w:r>
      <w:r w:rsidR="00D95867">
        <w:t>.</w:t>
      </w:r>
    </w:p>
    <w:p w14:paraId="321491B2" w14:textId="0C693779" w:rsidR="00ED08E7" w:rsidRDefault="00194751" w:rsidP="004444B7">
      <w:pPr>
        <w:pStyle w:val="Tablecaption"/>
        <w:rPr>
          <w:lang w:eastAsia="en-AU"/>
        </w:rPr>
      </w:pPr>
      <w:r w:rsidRPr="005F688D">
        <w:rPr>
          <w:lang w:eastAsia="en-AU"/>
        </w:rPr>
        <w:t>Table 6.</w:t>
      </w:r>
      <w:r>
        <w:rPr>
          <w:lang w:eastAsia="en-AU"/>
        </w:rPr>
        <w:t>2</w:t>
      </w:r>
      <w:r w:rsidRPr="005F688D">
        <w:rPr>
          <w:lang w:eastAsia="en-AU"/>
        </w:rPr>
        <w:t xml:space="preserve">: </w:t>
      </w:r>
      <w:r>
        <w:rPr>
          <w:lang w:eastAsia="en-AU"/>
        </w:rPr>
        <w:t>Gender gap in flexible work by industry</w:t>
      </w:r>
    </w:p>
    <w:tbl>
      <w:tblPr>
        <w:tblStyle w:val="CGEPStable"/>
        <w:tblW w:w="8931" w:type="dxa"/>
        <w:tblLook w:val="04A0" w:firstRow="1" w:lastRow="0" w:firstColumn="1" w:lastColumn="0" w:noHBand="0" w:noVBand="1"/>
      </w:tblPr>
      <w:tblGrid>
        <w:gridCol w:w="2670"/>
        <w:gridCol w:w="1283"/>
        <w:gridCol w:w="1284"/>
        <w:gridCol w:w="1284"/>
        <w:gridCol w:w="2410"/>
      </w:tblGrid>
      <w:tr w:rsidR="00713ACE" w:rsidRPr="00CF0F27" w14:paraId="5A33FAC0" w14:textId="77777777" w:rsidTr="005F688D">
        <w:trPr>
          <w:cnfStyle w:val="100000000000" w:firstRow="1" w:lastRow="0" w:firstColumn="0" w:lastColumn="0" w:oddVBand="0" w:evenVBand="0" w:oddHBand="0" w:evenHBand="0" w:firstRowFirstColumn="0" w:firstRowLastColumn="0" w:lastRowFirstColumn="0" w:lastRowLastColumn="0"/>
        </w:trPr>
        <w:tc>
          <w:tcPr>
            <w:tcW w:w="2670" w:type="dxa"/>
            <w:hideMark/>
          </w:tcPr>
          <w:p w14:paraId="5D11AB06" w14:textId="77777777" w:rsidR="00713ACE" w:rsidRPr="005E1B45" w:rsidRDefault="00713ACE">
            <w:pPr>
              <w:pStyle w:val="Tablecolhead"/>
              <w:rPr>
                <w:lang w:eastAsia="en-AU"/>
              </w:rPr>
            </w:pPr>
            <w:r>
              <w:rPr>
                <w:lang w:eastAsia="en-AU"/>
              </w:rPr>
              <w:t>Industry</w:t>
            </w:r>
          </w:p>
        </w:tc>
        <w:tc>
          <w:tcPr>
            <w:tcW w:w="1283" w:type="dxa"/>
            <w:hideMark/>
          </w:tcPr>
          <w:p w14:paraId="09DAF55A" w14:textId="77777777" w:rsidR="00713ACE" w:rsidRPr="005E1B45" w:rsidRDefault="00713ACE">
            <w:pPr>
              <w:pStyle w:val="Tablecolhead"/>
              <w:rPr>
                <w:lang w:eastAsia="en-AU"/>
              </w:rPr>
            </w:pPr>
            <w:r w:rsidRPr="005E1B45">
              <w:rPr>
                <w:lang w:eastAsia="en-AU"/>
              </w:rPr>
              <w:t>2021</w:t>
            </w:r>
          </w:p>
        </w:tc>
        <w:tc>
          <w:tcPr>
            <w:tcW w:w="1284" w:type="dxa"/>
            <w:hideMark/>
          </w:tcPr>
          <w:p w14:paraId="30032DF3" w14:textId="77777777" w:rsidR="00713ACE" w:rsidRPr="005E1B45" w:rsidRDefault="00713ACE">
            <w:pPr>
              <w:pStyle w:val="Tablecolhead"/>
              <w:rPr>
                <w:lang w:eastAsia="en-AU"/>
              </w:rPr>
            </w:pPr>
            <w:r w:rsidRPr="005E1B45">
              <w:rPr>
                <w:lang w:eastAsia="en-AU"/>
              </w:rPr>
              <w:t>2023</w:t>
            </w:r>
          </w:p>
        </w:tc>
        <w:tc>
          <w:tcPr>
            <w:tcW w:w="1284" w:type="dxa"/>
            <w:hideMark/>
          </w:tcPr>
          <w:p w14:paraId="05069C39" w14:textId="77777777" w:rsidR="00713ACE" w:rsidRPr="005E1B45" w:rsidRDefault="00713ACE">
            <w:pPr>
              <w:pStyle w:val="Tablecolhead"/>
              <w:rPr>
                <w:lang w:eastAsia="en-AU"/>
              </w:rPr>
            </w:pPr>
            <w:r w:rsidRPr="005E1B45">
              <w:rPr>
                <w:lang w:eastAsia="en-AU"/>
              </w:rPr>
              <w:t>2025</w:t>
            </w:r>
          </w:p>
        </w:tc>
        <w:tc>
          <w:tcPr>
            <w:tcW w:w="2410" w:type="dxa"/>
            <w:hideMark/>
          </w:tcPr>
          <w:p w14:paraId="69A3DB1F" w14:textId="77777777" w:rsidR="00713ACE" w:rsidRPr="005E1B45" w:rsidRDefault="00713ACE">
            <w:pPr>
              <w:pStyle w:val="Tablecolhead"/>
              <w:rPr>
                <w:lang w:eastAsia="en-AU"/>
              </w:rPr>
            </w:pPr>
            <w:r>
              <w:rPr>
                <w:lang w:eastAsia="en-AU"/>
              </w:rPr>
              <w:t>Percentage point c</w:t>
            </w:r>
            <w:r w:rsidRPr="00AE5A1E">
              <w:rPr>
                <w:lang w:eastAsia="en-AU"/>
              </w:rPr>
              <w:t>hange</w:t>
            </w:r>
            <w:r>
              <w:rPr>
                <w:lang w:eastAsia="en-AU"/>
              </w:rPr>
              <w:t xml:space="preserve"> 2021-2025</w:t>
            </w:r>
          </w:p>
        </w:tc>
      </w:tr>
      <w:tr w:rsidR="00713ACE" w:rsidRPr="003365E2" w14:paraId="18E50A12" w14:textId="77777777" w:rsidTr="005F688D">
        <w:tc>
          <w:tcPr>
            <w:tcW w:w="2670" w:type="dxa"/>
            <w:hideMark/>
          </w:tcPr>
          <w:p w14:paraId="17278DC4" w14:textId="77777777" w:rsidR="00713ACE" w:rsidRPr="003365E2" w:rsidRDefault="00713ACE">
            <w:pPr>
              <w:pStyle w:val="Tabletext"/>
              <w:rPr>
                <w:lang w:eastAsia="en-AU"/>
              </w:rPr>
            </w:pPr>
            <w:r>
              <w:rPr>
                <w:lang w:eastAsia="en-AU"/>
              </w:rPr>
              <w:t>Community and cultural services</w:t>
            </w:r>
          </w:p>
        </w:tc>
        <w:tc>
          <w:tcPr>
            <w:tcW w:w="1283" w:type="dxa"/>
          </w:tcPr>
          <w:p w14:paraId="63764EE6" w14:textId="659C884B" w:rsidR="00713ACE" w:rsidRPr="003365E2" w:rsidRDefault="004237B4">
            <w:pPr>
              <w:pStyle w:val="Tabletext"/>
              <w:rPr>
                <w:lang w:eastAsia="en-AU"/>
              </w:rPr>
            </w:pPr>
            <w:r w:rsidRPr="004237B4">
              <w:rPr>
                <w:lang w:eastAsia="en-AU"/>
              </w:rPr>
              <w:t xml:space="preserve">-11.5 </w:t>
            </w:r>
            <w:r w:rsidR="00EF04D7">
              <w:rPr>
                <w:lang w:eastAsia="en-AU"/>
              </w:rPr>
              <w:t>%</w:t>
            </w:r>
          </w:p>
        </w:tc>
        <w:tc>
          <w:tcPr>
            <w:tcW w:w="1284" w:type="dxa"/>
          </w:tcPr>
          <w:p w14:paraId="4CBDBE52" w14:textId="5BED0296" w:rsidR="00713ACE" w:rsidRPr="003365E2" w:rsidRDefault="004237B4">
            <w:pPr>
              <w:pStyle w:val="Tabletext"/>
              <w:rPr>
                <w:lang w:eastAsia="en-AU"/>
              </w:rPr>
            </w:pPr>
            <w:r>
              <w:rPr>
                <w:lang w:eastAsia="en-AU"/>
              </w:rPr>
              <w:t>-9.2</w:t>
            </w:r>
            <w:r w:rsidR="00EF04D7">
              <w:rPr>
                <w:lang w:eastAsia="en-AU"/>
              </w:rPr>
              <w:t>%</w:t>
            </w:r>
          </w:p>
        </w:tc>
        <w:tc>
          <w:tcPr>
            <w:tcW w:w="1284" w:type="dxa"/>
          </w:tcPr>
          <w:p w14:paraId="263B37CB" w14:textId="21C0C331" w:rsidR="00713ACE" w:rsidRPr="003365E2" w:rsidRDefault="004237B4">
            <w:pPr>
              <w:pStyle w:val="Tabletext"/>
              <w:rPr>
                <w:lang w:eastAsia="en-AU"/>
              </w:rPr>
            </w:pPr>
            <w:r>
              <w:rPr>
                <w:lang w:eastAsia="en-AU"/>
              </w:rPr>
              <w:t>-8.2</w:t>
            </w:r>
            <w:r w:rsidR="00EF04D7">
              <w:rPr>
                <w:lang w:eastAsia="en-AU"/>
              </w:rPr>
              <w:t>%</w:t>
            </w:r>
          </w:p>
        </w:tc>
        <w:tc>
          <w:tcPr>
            <w:tcW w:w="2410" w:type="dxa"/>
          </w:tcPr>
          <w:p w14:paraId="48D81EB8" w14:textId="69D5CA57" w:rsidR="00713ACE" w:rsidRPr="003365E2" w:rsidRDefault="004237B4">
            <w:pPr>
              <w:pStyle w:val="Tabletext"/>
              <w:rPr>
                <w:lang w:eastAsia="en-AU"/>
              </w:rPr>
            </w:pPr>
            <w:r>
              <w:rPr>
                <w:lang w:eastAsia="en-AU"/>
              </w:rPr>
              <w:t>+3.3pp</w:t>
            </w:r>
          </w:p>
        </w:tc>
      </w:tr>
      <w:tr w:rsidR="00713ACE" w:rsidRPr="003365E2" w14:paraId="72EBE708" w14:textId="77777777" w:rsidTr="005F688D">
        <w:tc>
          <w:tcPr>
            <w:tcW w:w="2670" w:type="dxa"/>
          </w:tcPr>
          <w:p w14:paraId="25C012E2" w14:textId="77777777" w:rsidR="00713ACE" w:rsidRDefault="00713ACE">
            <w:pPr>
              <w:pStyle w:val="Tabletext"/>
              <w:rPr>
                <w:lang w:eastAsia="en-AU"/>
              </w:rPr>
            </w:pPr>
            <w:r>
              <w:rPr>
                <w:lang w:eastAsia="en-AU"/>
              </w:rPr>
              <w:t>Finance and insurance</w:t>
            </w:r>
          </w:p>
        </w:tc>
        <w:tc>
          <w:tcPr>
            <w:tcW w:w="1283" w:type="dxa"/>
          </w:tcPr>
          <w:p w14:paraId="54A1205F" w14:textId="40913E9D" w:rsidR="00713ACE" w:rsidRPr="003365E2" w:rsidRDefault="00217B52">
            <w:pPr>
              <w:pStyle w:val="Tabletext"/>
              <w:rPr>
                <w:lang w:eastAsia="en-AU"/>
              </w:rPr>
            </w:pPr>
            <w:r>
              <w:rPr>
                <w:lang w:eastAsia="en-AU"/>
              </w:rPr>
              <w:t>-5.5</w:t>
            </w:r>
            <w:r w:rsidR="00EF04D7">
              <w:rPr>
                <w:lang w:eastAsia="en-AU"/>
              </w:rPr>
              <w:t>%</w:t>
            </w:r>
          </w:p>
        </w:tc>
        <w:tc>
          <w:tcPr>
            <w:tcW w:w="1284" w:type="dxa"/>
          </w:tcPr>
          <w:p w14:paraId="4463C629" w14:textId="06C7D0DD" w:rsidR="00713ACE" w:rsidRPr="003365E2" w:rsidRDefault="00217B52">
            <w:pPr>
              <w:pStyle w:val="Tabletext"/>
              <w:rPr>
                <w:lang w:eastAsia="en-AU"/>
              </w:rPr>
            </w:pPr>
            <w:r>
              <w:rPr>
                <w:lang w:eastAsia="en-AU"/>
              </w:rPr>
              <w:t>-23.9</w:t>
            </w:r>
            <w:r w:rsidR="00EF04D7">
              <w:rPr>
                <w:lang w:eastAsia="en-AU"/>
              </w:rPr>
              <w:t>%</w:t>
            </w:r>
          </w:p>
        </w:tc>
        <w:tc>
          <w:tcPr>
            <w:tcW w:w="1284" w:type="dxa"/>
          </w:tcPr>
          <w:p w14:paraId="42B5F114" w14:textId="3995E1AA" w:rsidR="00713ACE" w:rsidRPr="003365E2" w:rsidRDefault="00217B52">
            <w:pPr>
              <w:pStyle w:val="Tabletext"/>
              <w:rPr>
                <w:lang w:eastAsia="en-AU"/>
              </w:rPr>
            </w:pPr>
            <w:r>
              <w:rPr>
                <w:lang w:eastAsia="en-AU"/>
              </w:rPr>
              <w:t>-15.6</w:t>
            </w:r>
            <w:r w:rsidR="00EF04D7">
              <w:rPr>
                <w:lang w:eastAsia="en-AU"/>
              </w:rPr>
              <w:t>%</w:t>
            </w:r>
          </w:p>
        </w:tc>
        <w:tc>
          <w:tcPr>
            <w:tcW w:w="2410" w:type="dxa"/>
          </w:tcPr>
          <w:p w14:paraId="58EE7277" w14:textId="4C3F3FD2" w:rsidR="00713ACE" w:rsidRPr="003365E2" w:rsidRDefault="00217B52">
            <w:pPr>
              <w:pStyle w:val="Tabletext"/>
              <w:rPr>
                <w:lang w:eastAsia="en-AU"/>
              </w:rPr>
            </w:pPr>
            <w:r>
              <w:rPr>
                <w:lang w:eastAsia="en-AU"/>
              </w:rPr>
              <w:t>-10.1pp</w:t>
            </w:r>
          </w:p>
        </w:tc>
      </w:tr>
      <w:tr w:rsidR="00713ACE" w:rsidRPr="003365E2" w14:paraId="4D8ECAF3" w14:textId="77777777" w:rsidTr="005F688D">
        <w:tc>
          <w:tcPr>
            <w:tcW w:w="2670" w:type="dxa"/>
            <w:hideMark/>
          </w:tcPr>
          <w:p w14:paraId="5F0B0395" w14:textId="77777777" w:rsidR="00713ACE" w:rsidRPr="003365E2" w:rsidRDefault="00713ACE">
            <w:pPr>
              <w:pStyle w:val="Tabletext"/>
              <w:rPr>
                <w:lang w:eastAsia="en-AU"/>
              </w:rPr>
            </w:pPr>
            <w:r w:rsidRPr="00406DA3">
              <w:rPr>
                <w:lang w:eastAsia="en-AU"/>
              </w:rPr>
              <w:t>Local government</w:t>
            </w:r>
          </w:p>
        </w:tc>
        <w:tc>
          <w:tcPr>
            <w:tcW w:w="1283" w:type="dxa"/>
          </w:tcPr>
          <w:p w14:paraId="30524F6F" w14:textId="4FEB8811" w:rsidR="00713ACE" w:rsidRPr="003365E2" w:rsidRDefault="008C7E2B">
            <w:pPr>
              <w:pStyle w:val="Tabletext"/>
              <w:rPr>
                <w:lang w:eastAsia="en-AU"/>
              </w:rPr>
            </w:pPr>
            <w:r w:rsidRPr="008C7E2B">
              <w:rPr>
                <w:lang w:eastAsia="en-AU"/>
              </w:rPr>
              <w:t>+0.2</w:t>
            </w:r>
            <w:r w:rsidR="00EF04D7">
              <w:rPr>
                <w:lang w:eastAsia="en-AU"/>
              </w:rPr>
              <w:t>%</w:t>
            </w:r>
          </w:p>
        </w:tc>
        <w:tc>
          <w:tcPr>
            <w:tcW w:w="1284" w:type="dxa"/>
          </w:tcPr>
          <w:p w14:paraId="60BE3442" w14:textId="4BFDA01D" w:rsidR="00713ACE" w:rsidRPr="003365E2" w:rsidRDefault="008C7E2B">
            <w:pPr>
              <w:pStyle w:val="Tabletext"/>
              <w:rPr>
                <w:lang w:eastAsia="en-AU"/>
              </w:rPr>
            </w:pPr>
            <w:r>
              <w:rPr>
                <w:lang w:eastAsia="en-AU"/>
              </w:rPr>
              <w:t>-2.2</w:t>
            </w:r>
            <w:r w:rsidR="00EF04D7">
              <w:rPr>
                <w:lang w:eastAsia="en-AU"/>
              </w:rPr>
              <w:t>%</w:t>
            </w:r>
          </w:p>
        </w:tc>
        <w:tc>
          <w:tcPr>
            <w:tcW w:w="1284" w:type="dxa"/>
          </w:tcPr>
          <w:p w14:paraId="7BE7A722" w14:textId="643B1A1E" w:rsidR="00713ACE" w:rsidRPr="003365E2" w:rsidRDefault="008C7E2B">
            <w:pPr>
              <w:pStyle w:val="Tabletext"/>
              <w:rPr>
                <w:lang w:eastAsia="en-AU"/>
              </w:rPr>
            </w:pPr>
            <w:r>
              <w:rPr>
                <w:lang w:eastAsia="en-AU"/>
              </w:rPr>
              <w:t>-2.2</w:t>
            </w:r>
            <w:r w:rsidR="00EF04D7">
              <w:rPr>
                <w:lang w:eastAsia="en-AU"/>
              </w:rPr>
              <w:t>%</w:t>
            </w:r>
          </w:p>
        </w:tc>
        <w:tc>
          <w:tcPr>
            <w:tcW w:w="2410" w:type="dxa"/>
          </w:tcPr>
          <w:p w14:paraId="0103B76B" w14:textId="4164AC61" w:rsidR="00713ACE" w:rsidRPr="003365E2" w:rsidRDefault="00087921">
            <w:pPr>
              <w:pStyle w:val="Tabletext"/>
              <w:rPr>
                <w:lang w:eastAsia="en-AU"/>
              </w:rPr>
            </w:pPr>
            <w:r>
              <w:rPr>
                <w:lang w:eastAsia="en-AU"/>
              </w:rPr>
              <w:t>-2.4pp</w:t>
            </w:r>
          </w:p>
        </w:tc>
      </w:tr>
      <w:tr w:rsidR="00713ACE" w:rsidRPr="003365E2" w14:paraId="4BD36259" w14:textId="77777777" w:rsidTr="005F688D">
        <w:tc>
          <w:tcPr>
            <w:tcW w:w="2670" w:type="dxa"/>
          </w:tcPr>
          <w:p w14:paraId="7A0CB1E9" w14:textId="77777777" w:rsidR="00713ACE" w:rsidRDefault="00713ACE">
            <w:pPr>
              <w:pStyle w:val="Tabletext"/>
              <w:rPr>
                <w:lang w:eastAsia="en-AU"/>
              </w:rPr>
            </w:pPr>
            <w:r>
              <w:rPr>
                <w:lang w:eastAsia="en-AU"/>
              </w:rPr>
              <w:t>Other</w:t>
            </w:r>
          </w:p>
        </w:tc>
        <w:tc>
          <w:tcPr>
            <w:tcW w:w="1283" w:type="dxa"/>
          </w:tcPr>
          <w:p w14:paraId="54122C3B" w14:textId="2AFA820C" w:rsidR="00713ACE" w:rsidRDefault="00887A03">
            <w:pPr>
              <w:pStyle w:val="Tabletext"/>
              <w:rPr>
                <w:lang w:eastAsia="en-AU"/>
              </w:rPr>
            </w:pPr>
            <w:r w:rsidRPr="00887A03">
              <w:rPr>
                <w:lang w:eastAsia="en-AU"/>
              </w:rPr>
              <w:t>-6.9</w:t>
            </w:r>
            <w:r w:rsidR="00EF04D7">
              <w:rPr>
                <w:lang w:eastAsia="en-AU"/>
              </w:rPr>
              <w:t>%</w:t>
            </w:r>
          </w:p>
        </w:tc>
        <w:tc>
          <w:tcPr>
            <w:tcW w:w="1284" w:type="dxa"/>
          </w:tcPr>
          <w:p w14:paraId="5837C58C" w14:textId="18ACC99F" w:rsidR="00713ACE" w:rsidRDefault="00887A03">
            <w:pPr>
              <w:pStyle w:val="Tabletext"/>
              <w:rPr>
                <w:lang w:eastAsia="en-AU"/>
              </w:rPr>
            </w:pPr>
            <w:r w:rsidRPr="00887A03">
              <w:rPr>
                <w:lang w:eastAsia="en-AU"/>
              </w:rPr>
              <w:t>-1.8</w:t>
            </w:r>
            <w:r w:rsidR="00EF04D7">
              <w:rPr>
                <w:lang w:eastAsia="en-AU"/>
              </w:rPr>
              <w:t>%</w:t>
            </w:r>
            <w:r w:rsidRPr="00887A03">
              <w:rPr>
                <w:lang w:eastAsia="en-AU"/>
              </w:rPr>
              <w:tab/>
            </w:r>
          </w:p>
        </w:tc>
        <w:tc>
          <w:tcPr>
            <w:tcW w:w="1284" w:type="dxa"/>
          </w:tcPr>
          <w:p w14:paraId="6EA27E33" w14:textId="3E30C58E" w:rsidR="00713ACE" w:rsidRPr="003365E2" w:rsidRDefault="00887A03">
            <w:pPr>
              <w:pStyle w:val="Tabletext"/>
              <w:rPr>
                <w:lang w:eastAsia="en-AU"/>
              </w:rPr>
            </w:pPr>
            <w:r w:rsidRPr="00887A03">
              <w:rPr>
                <w:lang w:eastAsia="en-AU"/>
              </w:rPr>
              <w:t>-2.4</w:t>
            </w:r>
            <w:r w:rsidR="00EF04D7">
              <w:rPr>
                <w:lang w:eastAsia="en-AU"/>
              </w:rPr>
              <w:t>%</w:t>
            </w:r>
            <w:r w:rsidRPr="00887A03">
              <w:rPr>
                <w:lang w:eastAsia="en-AU"/>
              </w:rPr>
              <w:tab/>
            </w:r>
          </w:p>
        </w:tc>
        <w:tc>
          <w:tcPr>
            <w:tcW w:w="2410" w:type="dxa"/>
          </w:tcPr>
          <w:p w14:paraId="6AD04B68" w14:textId="291AED93" w:rsidR="00713ACE" w:rsidRPr="003365E2" w:rsidRDefault="00887A03">
            <w:pPr>
              <w:pStyle w:val="Tabletext"/>
              <w:rPr>
                <w:lang w:eastAsia="en-AU"/>
              </w:rPr>
            </w:pPr>
            <w:r w:rsidRPr="00887A03">
              <w:rPr>
                <w:lang w:eastAsia="en-AU"/>
              </w:rPr>
              <w:t>+4.5pp</w:t>
            </w:r>
          </w:p>
        </w:tc>
      </w:tr>
      <w:tr w:rsidR="00713ACE" w14:paraId="31132E0F" w14:textId="77777777" w:rsidTr="005F688D">
        <w:tc>
          <w:tcPr>
            <w:tcW w:w="2670" w:type="dxa"/>
          </w:tcPr>
          <w:p w14:paraId="0770BE43" w14:textId="77777777" w:rsidR="00713ACE" w:rsidRDefault="00713ACE">
            <w:pPr>
              <w:pStyle w:val="Tabletext"/>
              <w:rPr>
                <w:lang w:eastAsia="en-AU"/>
              </w:rPr>
            </w:pPr>
            <w:r w:rsidRPr="00406DA3">
              <w:rPr>
                <w:lang w:eastAsia="en-AU"/>
              </w:rPr>
              <w:t>Police and emergency services</w:t>
            </w:r>
          </w:p>
        </w:tc>
        <w:tc>
          <w:tcPr>
            <w:tcW w:w="1283" w:type="dxa"/>
          </w:tcPr>
          <w:p w14:paraId="0B3FC039" w14:textId="0101EFBC" w:rsidR="00713ACE" w:rsidRPr="003365E2" w:rsidRDefault="00F90F84">
            <w:pPr>
              <w:pStyle w:val="Tabletext"/>
              <w:rPr>
                <w:lang w:eastAsia="en-AU"/>
              </w:rPr>
            </w:pPr>
            <w:r w:rsidRPr="00F90F84">
              <w:rPr>
                <w:lang w:eastAsia="en-AU"/>
              </w:rPr>
              <w:t>-44.7</w:t>
            </w:r>
            <w:r w:rsidR="00EF04D7">
              <w:rPr>
                <w:lang w:eastAsia="en-AU"/>
              </w:rPr>
              <w:t>%</w:t>
            </w:r>
          </w:p>
        </w:tc>
        <w:tc>
          <w:tcPr>
            <w:tcW w:w="1284" w:type="dxa"/>
          </w:tcPr>
          <w:p w14:paraId="27BE00CF" w14:textId="5FBEAA10" w:rsidR="00713ACE" w:rsidRPr="003365E2" w:rsidRDefault="00F90F84">
            <w:pPr>
              <w:pStyle w:val="Tabletext"/>
              <w:rPr>
                <w:lang w:eastAsia="en-AU"/>
              </w:rPr>
            </w:pPr>
            <w:r w:rsidRPr="00F90F84">
              <w:rPr>
                <w:lang w:eastAsia="en-AU"/>
              </w:rPr>
              <w:t>-16.5</w:t>
            </w:r>
            <w:r w:rsidR="00EF04D7">
              <w:rPr>
                <w:lang w:eastAsia="en-AU"/>
              </w:rPr>
              <w:t>%</w:t>
            </w:r>
          </w:p>
        </w:tc>
        <w:tc>
          <w:tcPr>
            <w:tcW w:w="1284" w:type="dxa"/>
          </w:tcPr>
          <w:p w14:paraId="3F31BE38" w14:textId="5A1EBA82" w:rsidR="00713ACE" w:rsidRPr="003365E2" w:rsidRDefault="00D5365E">
            <w:pPr>
              <w:pStyle w:val="Tabletext"/>
              <w:rPr>
                <w:lang w:eastAsia="en-AU"/>
              </w:rPr>
            </w:pPr>
            <w:r w:rsidRPr="00F90F84">
              <w:rPr>
                <w:lang w:eastAsia="en-AU"/>
              </w:rPr>
              <w:t>-19.8</w:t>
            </w:r>
            <w:r w:rsidR="00EF04D7">
              <w:rPr>
                <w:lang w:eastAsia="en-AU"/>
              </w:rPr>
              <w:t>%</w:t>
            </w:r>
          </w:p>
        </w:tc>
        <w:tc>
          <w:tcPr>
            <w:tcW w:w="2410" w:type="dxa"/>
          </w:tcPr>
          <w:p w14:paraId="725B4CF2" w14:textId="0EBF202A" w:rsidR="00713ACE" w:rsidRPr="003365E2" w:rsidRDefault="00D5365E">
            <w:pPr>
              <w:pStyle w:val="Tabletext"/>
              <w:rPr>
                <w:lang w:eastAsia="en-AU"/>
              </w:rPr>
            </w:pPr>
            <w:r w:rsidRPr="00F90F84">
              <w:rPr>
                <w:lang w:eastAsia="en-AU"/>
              </w:rPr>
              <w:t>+24.9pp</w:t>
            </w:r>
          </w:p>
        </w:tc>
      </w:tr>
      <w:tr w:rsidR="00713ACE" w14:paraId="6BF3A82B" w14:textId="77777777" w:rsidTr="005F688D">
        <w:tc>
          <w:tcPr>
            <w:tcW w:w="2670" w:type="dxa"/>
          </w:tcPr>
          <w:p w14:paraId="47DAD01D" w14:textId="77777777" w:rsidR="00713ACE" w:rsidRPr="00406DA3" w:rsidRDefault="00713ACE">
            <w:pPr>
              <w:pStyle w:val="Tabletext"/>
              <w:rPr>
                <w:lang w:eastAsia="en-AU"/>
              </w:rPr>
            </w:pPr>
            <w:r w:rsidRPr="00406DA3">
              <w:rPr>
                <w:lang w:eastAsia="en-AU"/>
              </w:rPr>
              <w:t>Public health care</w:t>
            </w:r>
          </w:p>
        </w:tc>
        <w:tc>
          <w:tcPr>
            <w:tcW w:w="1283" w:type="dxa"/>
          </w:tcPr>
          <w:p w14:paraId="306EBA22" w14:textId="1223B278" w:rsidR="00713ACE" w:rsidRPr="003365E2" w:rsidRDefault="00C42E16">
            <w:pPr>
              <w:pStyle w:val="Tabletext"/>
              <w:rPr>
                <w:lang w:eastAsia="en-AU"/>
              </w:rPr>
            </w:pPr>
            <w:r w:rsidRPr="00C42E16">
              <w:rPr>
                <w:lang w:eastAsia="en-AU"/>
              </w:rPr>
              <w:t>-1.6</w:t>
            </w:r>
            <w:r w:rsidR="00EF04D7">
              <w:rPr>
                <w:lang w:eastAsia="en-AU"/>
              </w:rPr>
              <w:t>%</w:t>
            </w:r>
          </w:p>
        </w:tc>
        <w:tc>
          <w:tcPr>
            <w:tcW w:w="1284" w:type="dxa"/>
          </w:tcPr>
          <w:p w14:paraId="22E77CC6" w14:textId="0FF2C301" w:rsidR="00713ACE" w:rsidRPr="003365E2" w:rsidRDefault="00C42E16">
            <w:pPr>
              <w:pStyle w:val="Tabletext"/>
              <w:rPr>
                <w:lang w:eastAsia="en-AU"/>
              </w:rPr>
            </w:pPr>
            <w:r w:rsidRPr="00C42E16">
              <w:rPr>
                <w:lang w:eastAsia="en-AU"/>
              </w:rPr>
              <w:t>-1.8</w:t>
            </w:r>
            <w:r w:rsidR="00EF04D7">
              <w:rPr>
                <w:lang w:eastAsia="en-AU"/>
              </w:rPr>
              <w:t>%</w:t>
            </w:r>
          </w:p>
        </w:tc>
        <w:tc>
          <w:tcPr>
            <w:tcW w:w="1284" w:type="dxa"/>
          </w:tcPr>
          <w:p w14:paraId="25AA8A47" w14:textId="7A5CC327" w:rsidR="00713ACE" w:rsidRPr="003365E2" w:rsidRDefault="00C42E16">
            <w:pPr>
              <w:pStyle w:val="Tabletext"/>
              <w:rPr>
                <w:lang w:eastAsia="en-AU"/>
              </w:rPr>
            </w:pPr>
            <w:r w:rsidRPr="00C42E16">
              <w:rPr>
                <w:lang w:eastAsia="en-AU"/>
              </w:rPr>
              <w:t>-0.7</w:t>
            </w:r>
            <w:r w:rsidR="00EF04D7">
              <w:rPr>
                <w:lang w:eastAsia="en-AU"/>
              </w:rPr>
              <w:t>%</w:t>
            </w:r>
          </w:p>
        </w:tc>
        <w:tc>
          <w:tcPr>
            <w:tcW w:w="2410" w:type="dxa"/>
          </w:tcPr>
          <w:p w14:paraId="1A87912C" w14:textId="569B2F29" w:rsidR="00713ACE" w:rsidRPr="003365E2" w:rsidRDefault="00C42E16">
            <w:pPr>
              <w:pStyle w:val="Tabletext"/>
              <w:rPr>
                <w:lang w:eastAsia="en-AU"/>
              </w:rPr>
            </w:pPr>
            <w:r w:rsidRPr="00C42E16">
              <w:rPr>
                <w:lang w:eastAsia="en-AU"/>
              </w:rPr>
              <w:t>+0.9pp</w:t>
            </w:r>
          </w:p>
        </w:tc>
      </w:tr>
      <w:tr w:rsidR="00713ACE" w14:paraId="16E7694D" w14:textId="77777777" w:rsidTr="005F688D">
        <w:tc>
          <w:tcPr>
            <w:tcW w:w="2670" w:type="dxa"/>
          </w:tcPr>
          <w:p w14:paraId="7D8772A0" w14:textId="77777777" w:rsidR="00713ACE" w:rsidRPr="00406DA3" w:rsidRDefault="00713ACE">
            <w:pPr>
              <w:pStyle w:val="Tabletext"/>
              <w:rPr>
                <w:lang w:eastAsia="en-AU"/>
              </w:rPr>
            </w:pPr>
            <w:r w:rsidRPr="00406DA3">
              <w:rPr>
                <w:lang w:eastAsia="en-AU"/>
              </w:rPr>
              <w:t>TAFE and other education</w:t>
            </w:r>
          </w:p>
        </w:tc>
        <w:tc>
          <w:tcPr>
            <w:tcW w:w="1283" w:type="dxa"/>
          </w:tcPr>
          <w:p w14:paraId="504571D0" w14:textId="6B68E4A5" w:rsidR="00713ACE" w:rsidRPr="003365E2" w:rsidRDefault="00E84A85">
            <w:pPr>
              <w:pStyle w:val="Tabletext"/>
              <w:rPr>
                <w:lang w:eastAsia="en-AU"/>
              </w:rPr>
            </w:pPr>
            <w:r w:rsidRPr="00E84A85">
              <w:rPr>
                <w:lang w:eastAsia="en-AU"/>
              </w:rPr>
              <w:t>-6.8</w:t>
            </w:r>
            <w:r w:rsidR="00EF04D7">
              <w:rPr>
                <w:lang w:eastAsia="en-AU"/>
              </w:rPr>
              <w:t>%</w:t>
            </w:r>
          </w:p>
        </w:tc>
        <w:tc>
          <w:tcPr>
            <w:tcW w:w="1284" w:type="dxa"/>
          </w:tcPr>
          <w:p w14:paraId="132C24FD" w14:textId="2A5D9DD2" w:rsidR="00713ACE" w:rsidRPr="003365E2" w:rsidRDefault="00E84A85">
            <w:pPr>
              <w:pStyle w:val="Tabletext"/>
              <w:rPr>
                <w:lang w:eastAsia="en-AU"/>
              </w:rPr>
            </w:pPr>
            <w:r w:rsidRPr="00E84A85">
              <w:rPr>
                <w:lang w:eastAsia="en-AU"/>
              </w:rPr>
              <w:t>-7.9</w:t>
            </w:r>
            <w:r w:rsidR="00EF04D7">
              <w:rPr>
                <w:lang w:eastAsia="en-AU"/>
              </w:rPr>
              <w:t>%</w:t>
            </w:r>
          </w:p>
        </w:tc>
        <w:tc>
          <w:tcPr>
            <w:tcW w:w="1284" w:type="dxa"/>
          </w:tcPr>
          <w:p w14:paraId="1F93AB05" w14:textId="4A50CFEE" w:rsidR="00713ACE" w:rsidRPr="003365E2" w:rsidRDefault="00E84A85">
            <w:pPr>
              <w:pStyle w:val="Tabletext"/>
              <w:rPr>
                <w:lang w:eastAsia="en-AU"/>
              </w:rPr>
            </w:pPr>
            <w:r>
              <w:rPr>
                <w:lang w:eastAsia="en-AU"/>
              </w:rPr>
              <w:t>-</w:t>
            </w:r>
            <w:r w:rsidRPr="00E84A85">
              <w:rPr>
                <w:lang w:eastAsia="en-AU"/>
              </w:rPr>
              <w:t>8.6</w:t>
            </w:r>
            <w:r w:rsidR="00EF04D7">
              <w:rPr>
                <w:lang w:eastAsia="en-AU"/>
              </w:rPr>
              <w:t>%</w:t>
            </w:r>
          </w:p>
        </w:tc>
        <w:tc>
          <w:tcPr>
            <w:tcW w:w="2410" w:type="dxa"/>
          </w:tcPr>
          <w:p w14:paraId="7F149FA0" w14:textId="6FA47F05" w:rsidR="00713ACE" w:rsidRPr="003365E2" w:rsidRDefault="00E84A85">
            <w:pPr>
              <w:pStyle w:val="Tabletext"/>
              <w:rPr>
                <w:lang w:eastAsia="en-AU"/>
              </w:rPr>
            </w:pPr>
            <w:r w:rsidRPr="00E84A85">
              <w:rPr>
                <w:lang w:eastAsia="en-AU"/>
              </w:rPr>
              <w:t>-1.8pp</w:t>
            </w:r>
          </w:p>
        </w:tc>
      </w:tr>
      <w:tr w:rsidR="00713ACE" w14:paraId="0399E1F7" w14:textId="77777777" w:rsidTr="005F688D">
        <w:tc>
          <w:tcPr>
            <w:tcW w:w="2670" w:type="dxa"/>
          </w:tcPr>
          <w:p w14:paraId="46BF7328" w14:textId="77777777" w:rsidR="00713ACE" w:rsidRPr="00406DA3" w:rsidRDefault="00713ACE">
            <w:pPr>
              <w:pStyle w:val="Tabletext"/>
              <w:rPr>
                <w:lang w:eastAsia="en-AU"/>
              </w:rPr>
            </w:pPr>
            <w:r>
              <w:rPr>
                <w:lang w:eastAsia="en-AU"/>
              </w:rPr>
              <w:t>Transport</w:t>
            </w:r>
          </w:p>
        </w:tc>
        <w:tc>
          <w:tcPr>
            <w:tcW w:w="1283" w:type="dxa"/>
          </w:tcPr>
          <w:p w14:paraId="39B1AA9C" w14:textId="728DB922" w:rsidR="00713ACE" w:rsidRPr="003365E2" w:rsidRDefault="00D92F42">
            <w:pPr>
              <w:pStyle w:val="Tabletext"/>
              <w:rPr>
                <w:lang w:eastAsia="en-AU"/>
              </w:rPr>
            </w:pPr>
            <w:r w:rsidRPr="00D92F42">
              <w:rPr>
                <w:lang w:eastAsia="en-AU"/>
              </w:rPr>
              <w:t>-1.7</w:t>
            </w:r>
            <w:r w:rsidR="00EF04D7">
              <w:rPr>
                <w:lang w:eastAsia="en-AU"/>
              </w:rPr>
              <w:t>%</w:t>
            </w:r>
          </w:p>
        </w:tc>
        <w:tc>
          <w:tcPr>
            <w:tcW w:w="1284" w:type="dxa"/>
          </w:tcPr>
          <w:p w14:paraId="6FEAFDC8" w14:textId="1F293E18" w:rsidR="00713ACE" w:rsidRPr="003365E2" w:rsidRDefault="00D92F42">
            <w:pPr>
              <w:pStyle w:val="Tabletext"/>
              <w:rPr>
                <w:lang w:eastAsia="en-AU"/>
              </w:rPr>
            </w:pPr>
            <w:r w:rsidRPr="00D92F42">
              <w:rPr>
                <w:lang w:eastAsia="en-AU"/>
              </w:rPr>
              <w:t>-5.5</w:t>
            </w:r>
            <w:r w:rsidR="00EF04D7">
              <w:rPr>
                <w:lang w:eastAsia="en-AU"/>
              </w:rPr>
              <w:t>%</w:t>
            </w:r>
          </w:p>
        </w:tc>
        <w:tc>
          <w:tcPr>
            <w:tcW w:w="1284" w:type="dxa"/>
          </w:tcPr>
          <w:p w14:paraId="2516DD11" w14:textId="5FB6BFE7" w:rsidR="00713ACE" w:rsidRPr="003365E2" w:rsidRDefault="00D92F42">
            <w:pPr>
              <w:pStyle w:val="Tabletext"/>
              <w:rPr>
                <w:lang w:eastAsia="en-AU"/>
              </w:rPr>
            </w:pPr>
            <w:r w:rsidRPr="00D92F42">
              <w:rPr>
                <w:lang w:eastAsia="en-AU"/>
              </w:rPr>
              <w:t>-8.0</w:t>
            </w:r>
            <w:r w:rsidR="00EF04D7">
              <w:rPr>
                <w:lang w:eastAsia="en-AU"/>
              </w:rPr>
              <w:t>%</w:t>
            </w:r>
          </w:p>
        </w:tc>
        <w:tc>
          <w:tcPr>
            <w:tcW w:w="2410" w:type="dxa"/>
          </w:tcPr>
          <w:p w14:paraId="792B8EF1" w14:textId="6AC27DDC" w:rsidR="00713ACE" w:rsidRPr="003365E2" w:rsidRDefault="00D92F42">
            <w:pPr>
              <w:pStyle w:val="Tabletext"/>
              <w:rPr>
                <w:lang w:eastAsia="en-AU"/>
              </w:rPr>
            </w:pPr>
            <w:r w:rsidRPr="00D92F42">
              <w:rPr>
                <w:lang w:eastAsia="en-AU"/>
              </w:rPr>
              <w:t>-6.3pp</w:t>
            </w:r>
          </w:p>
        </w:tc>
      </w:tr>
      <w:tr w:rsidR="00713ACE" w14:paraId="172EA814" w14:textId="77777777" w:rsidTr="005F688D">
        <w:tc>
          <w:tcPr>
            <w:tcW w:w="2670" w:type="dxa"/>
          </w:tcPr>
          <w:p w14:paraId="417E6FA3" w14:textId="77777777" w:rsidR="00713ACE" w:rsidRDefault="00713ACE">
            <w:pPr>
              <w:pStyle w:val="Tabletext"/>
              <w:rPr>
                <w:lang w:eastAsia="en-AU"/>
              </w:rPr>
            </w:pPr>
            <w:r w:rsidRPr="00406DA3">
              <w:rPr>
                <w:lang w:eastAsia="en-AU"/>
              </w:rPr>
              <w:t>Universities</w:t>
            </w:r>
          </w:p>
        </w:tc>
        <w:tc>
          <w:tcPr>
            <w:tcW w:w="1283" w:type="dxa"/>
          </w:tcPr>
          <w:p w14:paraId="2A8D8ED1" w14:textId="3AC3EAE3" w:rsidR="00713ACE" w:rsidRPr="003365E2" w:rsidRDefault="008B0DC3">
            <w:pPr>
              <w:pStyle w:val="Tabletext"/>
              <w:rPr>
                <w:lang w:eastAsia="en-AU"/>
              </w:rPr>
            </w:pPr>
            <w:r w:rsidRPr="008B0DC3">
              <w:rPr>
                <w:lang w:eastAsia="en-AU"/>
              </w:rPr>
              <w:t>-10.4</w:t>
            </w:r>
            <w:r w:rsidR="00EF04D7">
              <w:rPr>
                <w:lang w:eastAsia="en-AU"/>
              </w:rPr>
              <w:t>%</w:t>
            </w:r>
          </w:p>
        </w:tc>
        <w:tc>
          <w:tcPr>
            <w:tcW w:w="1284" w:type="dxa"/>
          </w:tcPr>
          <w:p w14:paraId="13ACB029" w14:textId="7996D2AE" w:rsidR="00713ACE" w:rsidRPr="003365E2" w:rsidRDefault="008B0DC3">
            <w:pPr>
              <w:pStyle w:val="Tabletext"/>
              <w:rPr>
                <w:lang w:eastAsia="en-AU"/>
              </w:rPr>
            </w:pPr>
            <w:r w:rsidRPr="008B0DC3">
              <w:rPr>
                <w:lang w:eastAsia="en-AU"/>
              </w:rPr>
              <w:t>-2.8</w:t>
            </w:r>
            <w:r w:rsidR="00EF04D7">
              <w:rPr>
                <w:lang w:eastAsia="en-AU"/>
              </w:rPr>
              <w:t>%</w:t>
            </w:r>
          </w:p>
        </w:tc>
        <w:tc>
          <w:tcPr>
            <w:tcW w:w="1284" w:type="dxa"/>
          </w:tcPr>
          <w:p w14:paraId="62EECC44" w14:textId="0792C9B1" w:rsidR="00713ACE" w:rsidRPr="003365E2" w:rsidRDefault="008B0DC3">
            <w:pPr>
              <w:pStyle w:val="Tabletext"/>
              <w:rPr>
                <w:lang w:eastAsia="en-AU"/>
              </w:rPr>
            </w:pPr>
            <w:r w:rsidRPr="008B0DC3">
              <w:rPr>
                <w:lang w:eastAsia="en-AU"/>
              </w:rPr>
              <w:t>-2.3</w:t>
            </w:r>
            <w:r w:rsidR="00EF04D7">
              <w:rPr>
                <w:lang w:eastAsia="en-AU"/>
              </w:rPr>
              <w:t>%</w:t>
            </w:r>
          </w:p>
        </w:tc>
        <w:tc>
          <w:tcPr>
            <w:tcW w:w="2410" w:type="dxa"/>
          </w:tcPr>
          <w:p w14:paraId="7E1F2F75" w14:textId="53AAAF32" w:rsidR="00713ACE" w:rsidRPr="003365E2" w:rsidRDefault="008B0DC3">
            <w:pPr>
              <w:pStyle w:val="Tabletext"/>
              <w:rPr>
                <w:lang w:eastAsia="en-AU"/>
              </w:rPr>
            </w:pPr>
            <w:r w:rsidRPr="008B0DC3">
              <w:rPr>
                <w:lang w:eastAsia="en-AU"/>
              </w:rPr>
              <w:t>+8.1pp</w:t>
            </w:r>
          </w:p>
        </w:tc>
      </w:tr>
      <w:tr w:rsidR="00713ACE" w14:paraId="424C3F6A" w14:textId="77777777" w:rsidTr="005F688D">
        <w:tc>
          <w:tcPr>
            <w:tcW w:w="2670" w:type="dxa"/>
          </w:tcPr>
          <w:p w14:paraId="73F2BC50" w14:textId="2F486946" w:rsidR="00713ACE" w:rsidRPr="00406DA3" w:rsidRDefault="00713ACE">
            <w:pPr>
              <w:pStyle w:val="Tabletext"/>
              <w:rPr>
                <w:lang w:eastAsia="en-AU"/>
              </w:rPr>
            </w:pPr>
            <w:r w:rsidRPr="00406DA3">
              <w:rPr>
                <w:lang w:eastAsia="en-AU"/>
              </w:rPr>
              <w:t xml:space="preserve">Victorian </w:t>
            </w:r>
            <w:r w:rsidR="006276DF">
              <w:rPr>
                <w:lang w:eastAsia="en-AU"/>
              </w:rPr>
              <w:t>P</w:t>
            </w:r>
            <w:r w:rsidRPr="00406DA3">
              <w:rPr>
                <w:lang w:eastAsia="en-AU"/>
              </w:rPr>
              <w:t xml:space="preserve">ublic </w:t>
            </w:r>
            <w:r w:rsidR="006276DF">
              <w:rPr>
                <w:lang w:eastAsia="en-AU"/>
              </w:rPr>
              <w:t>S</w:t>
            </w:r>
            <w:r w:rsidRPr="00406DA3">
              <w:rPr>
                <w:lang w:eastAsia="en-AU"/>
              </w:rPr>
              <w:t>ervice</w:t>
            </w:r>
          </w:p>
        </w:tc>
        <w:tc>
          <w:tcPr>
            <w:tcW w:w="1283" w:type="dxa"/>
          </w:tcPr>
          <w:p w14:paraId="422F39FB" w14:textId="039BB5AA" w:rsidR="00713ACE" w:rsidRPr="003365E2" w:rsidRDefault="00215C80">
            <w:pPr>
              <w:pStyle w:val="Tabletext"/>
              <w:rPr>
                <w:lang w:eastAsia="en-AU"/>
              </w:rPr>
            </w:pPr>
            <w:r w:rsidRPr="00215C80">
              <w:rPr>
                <w:lang w:eastAsia="en-AU"/>
              </w:rPr>
              <w:t>-18.9</w:t>
            </w:r>
            <w:r w:rsidR="00EF04D7">
              <w:rPr>
                <w:lang w:eastAsia="en-AU"/>
              </w:rPr>
              <w:t>%</w:t>
            </w:r>
          </w:p>
        </w:tc>
        <w:tc>
          <w:tcPr>
            <w:tcW w:w="1284" w:type="dxa"/>
          </w:tcPr>
          <w:p w14:paraId="28D021D6" w14:textId="391F95D8" w:rsidR="00713ACE" w:rsidRPr="003365E2" w:rsidRDefault="00215C80">
            <w:pPr>
              <w:pStyle w:val="Tabletext"/>
              <w:rPr>
                <w:lang w:eastAsia="en-AU"/>
              </w:rPr>
            </w:pPr>
            <w:r w:rsidRPr="00215C80">
              <w:rPr>
                <w:lang w:eastAsia="en-AU"/>
              </w:rPr>
              <w:t>-21.2</w:t>
            </w:r>
            <w:r w:rsidR="00EF04D7">
              <w:rPr>
                <w:lang w:eastAsia="en-AU"/>
              </w:rPr>
              <w:t>%</w:t>
            </w:r>
          </w:p>
        </w:tc>
        <w:tc>
          <w:tcPr>
            <w:tcW w:w="1284" w:type="dxa"/>
          </w:tcPr>
          <w:p w14:paraId="53AEC570" w14:textId="662D2639" w:rsidR="00713ACE" w:rsidRPr="003365E2" w:rsidRDefault="00215C80">
            <w:pPr>
              <w:pStyle w:val="Tabletext"/>
              <w:rPr>
                <w:lang w:eastAsia="en-AU"/>
              </w:rPr>
            </w:pPr>
            <w:r w:rsidRPr="00215C80">
              <w:rPr>
                <w:lang w:eastAsia="en-AU"/>
              </w:rPr>
              <w:t>-21.5</w:t>
            </w:r>
            <w:r w:rsidR="00EF04D7">
              <w:rPr>
                <w:lang w:eastAsia="en-AU"/>
              </w:rPr>
              <w:t>%</w:t>
            </w:r>
          </w:p>
        </w:tc>
        <w:tc>
          <w:tcPr>
            <w:tcW w:w="2410" w:type="dxa"/>
          </w:tcPr>
          <w:p w14:paraId="72D94A74" w14:textId="04387ED9" w:rsidR="00713ACE" w:rsidRPr="003365E2" w:rsidRDefault="00215C80">
            <w:pPr>
              <w:pStyle w:val="Tabletext"/>
              <w:rPr>
                <w:lang w:eastAsia="en-AU"/>
              </w:rPr>
            </w:pPr>
            <w:r w:rsidRPr="00215C80">
              <w:rPr>
                <w:lang w:eastAsia="en-AU"/>
              </w:rPr>
              <w:t>-2.6pp</w:t>
            </w:r>
          </w:p>
        </w:tc>
      </w:tr>
      <w:tr w:rsidR="00713ACE" w14:paraId="75103D51" w14:textId="77777777" w:rsidTr="005F688D">
        <w:tc>
          <w:tcPr>
            <w:tcW w:w="2670" w:type="dxa"/>
          </w:tcPr>
          <w:p w14:paraId="0229934A" w14:textId="77777777" w:rsidR="00713ACE" w:rsidRPr="00406DA3" w:rsidRDefault="00713ACE">
            <w:pPr>
              <w:pStyle w:val="Tabletext"/>
              <w:rPr>
                <w:lang w:eastAsia="en-AU"/>
              </w:rPr>
            </w:pPr>
            <w:r w:rsidRPr="00406DA3">
              <w:rPr>
                <w:lang w:eastAsia="en-AU"/>
              </w:rPr>
              <w:t>Water and land management</w:t>
            </w:r>
          </w:p>
        </w:tc>
        <w:tc>
          <w:tcPr>
            <w:tcW w:w="1283" w:type="dxa"/>
          </w:tcPr>
          <w:p w14:paraId="10041FD4" w14:textId="77A6C3EA" w:rsidR="00713ACE" w:rsidRPr="003365E2" w:rsidRDefault="00E67C0C">
            <w:pPr>
              <w:pStyle w:val="Tabletext"/>
              <w:rPr>
                <w:lang w:eastAsia="en-AU"/>
              </w:rPr>
            </w:pPr>
            <w:r w:rsidRPr="00E67C0C">
              <w:rPr>
                <w:lang w:eastAsia="en-AU"/>
              </w:rPr>
              <w:t>-3.9</w:t>
            </w:r>
            <w:r w:rsidR="00EF04D7">
              <w:rPr>
                <w:lang w:eastAsia="en-AU"/>
              </w:rPr>
              <w:t>%</w:t>
            </w:r>
          </w:p>
        </w:tc>
        <w:tc>
          <w:tcPr>
            <w:tcW w:w="1284" w:type="dxa"/>
          </w:tcPr>
          <w:p w14:paraId="0945C65D" w14:textId="34DD255A" w:rsidR="00713ACE" w:rsidRPr="003365E2" w:rsidRDefault="00E67C0C">
            <w:pPr>
              <w:pStyle w:val="Tabletext"/>
              <w:rPr>
                <w:lang w:eastAsia="en-AU"/>
              </w:rPr>
            </w:pPr>
            <w:r w:rsidRPr="00E67C0C">
              <w:rPr>
                <w:lang w:eastAsia="en-AU"/>
              </w:rPr>
              <w:t>-15.9</w:t>
            </w:r>
            <w:r w:rsidR="00EF04D7">
              <w:rPr>
                <w:lang w:eastAsia="en-AU"/>
              </w:rPr>
              <w:t>%</w:t>
            </w:r>
          </w:p>
        </w:tc>
        <w:tc>
          <w:tcPr>
            <w:tcW w:w="1284" w:type="dxa"/>
          </w:tcPr>
          <w:p w14:paraId="54D786B2" w14:textId="09BE19D3" w:rsidR="00713ACE" w:rsidRPr="003365E2" w:rsidRDefault="00E67C0C">
            <w:pPr>
              <w:pStyle w:val="Tabletext"/>
              <w:rPr>
                <w:lang w:eastAsia="en-AU"/>
              </w:rPr>
            </w:pPr>
            <w:r w:rsidRPr="00E67C0C">
              <w:rPr>
                <w:lang w:eastAsia="en-AU"/>
              </w:rPr>
              <w:t>-15.2</w:t>
            </w:r>
            <w:r w:rsidR="00EF04D7">
              <w:rPr>
                <w:lang w:eastAsia="en-AU"/>
              </w:rPr>
              <w:t>%</w:t>
            </w:r>
          </w:p>
        </w:tc>
        <w:tc>
          <w:tcPr>
            <w:tcW w:w="2410" w:type="dxa"/>
          </w:tcPr>
          <w:p w14:paraId="6B573B3F" w14:textId="2A604FE5" w:rsidR="00713ACE" w:rsidRPr="003365E2" w:rsidRDefault="00E67C0C">
            <w:pPr>
              <w:pStyle w:val="Tabletext"/>
              <w:rPr>
                <w:lang w:eastAsia="en-AU"/>
              </w:rPr>
            </w:pPr>
            <w:r w:rsidRPr="00E67C0C">
              <w:rPr>
                <w:lang w:eastAsia="en-AU"/>
              </w:rPr>
              <w:t>-11.4pp</w:t>
            </w:r>
          </w:p>
        </w:tc>
      </w:tr>
    </w:tbl>
    <w:p w14:paraId="469FA770" w14:textId="3DD1D138" w:rsidR="00171E98" w:rsidRDefault="00171E98" w:rsidP="00171E98">
      <w:pPr>
        <w:pStyle w:val="Tablefigurenote"/>
      </w:pPr>
      <w:r w:rsidRPr="00803AB3">
        <w:t>Source: Workplace gender audit workforce data, 2021, 2023 and 2025</w:t>
      </w:r>
      <w:r>
        <w:t>.</w:t>
      </w:r>
    </w:p>
    <w:p w14:paraId="03500AA2" w14:textId="2A0B75EB" w:rsidR="006A2E07" w:rsidRDefault="00171E98" w:rsidP="004444B7">
      <w:pPr>
        <w:pStyle w:val="Tablefigurenote"/>
        <w:rPr>
          <w:lang w:eastAsia="en-AU"/>
        </w:rPr>
      </w:pPr>
      <w:r>
        <w:t xml:space="preserve">Notes: To read more about how the Commission calculates gender gaps, see </w:t>
      </w:r>
      <w:hyperlink w:anchor="_Gender_gaps" w:history="1">
        <w:r w:rsidR="002F768A" w:rsidRPr="00031C4E">
          <w:rPr>
            <w:rStyle w:val="Hyperlink"/>
            <w:rFonts w:cs="Times New Roman"/>
          </w:rPr>
          <w:t>Gender gaps</w:t>
        </w:r>
      </w:hyperlink>
      <w:r w:rsidR="002F768A" w:rsidRPr="00031C4E">
        <w:t xml:space="preserve"> in Appendix 1</w:t>
      </w:r>
      <w:r w:rsidR="002F768A" w:rsidRPr="00883939">
        <w:t>.</w:t>
      </w:r>
      <w:r>
        <w:t xml:space="preserve"> Gender gaps are always calculated between men and women. </w:t>
      </w:r>
      <w:r w:rsidRPr="00C27278">
        <w:t>A</w:t>
      </w:r>
      <w:r>
        <w:t xml:space="preserve"> gap </w:t>
      </w:r>
      <w:r>
        <w:rPr>
          <w:lang w:eastAsia="en-AU"/>
        </w:rPr>
        <w:t>greater than zero</w:t>
      </w:r>
      <w:r w:rsidRPr="00C27278">
        <w:t xml:space="preserve"> </w:t>
      </w:r>
      <w:r>
        <w:t>is in favour of men, and a gap less than zero</w:t>
      </w:r>
      <w:r w:rsidRPr="00C27278">
        <w:t xml:space="preserve"> </w:t>
      </w:r>
      <w:r>
        <w:t>is in favour of women.</w:t>
      </w:r>
      <w:r w:rsidR="00843234">
        <w:t xml:space="preserve"> </w:t>
      </w:r>
      <w:r w:rsidR="00843234" w:rsidRPr="00AE1037">
        <w:t xml:space="preserve">The </w:t>
      </w:r>
      <w:r w:rsidR="00843234">
        <w:t xml:space="preserve">percentage point </w:t>
      </w:r>
      <w:r w:rsidR="00843234" w:rsidRPr="00AE1037">
        <w:t>change column may not always reflect the exact difference between years due to rounding</w:t>
      </w:r>
      <w:r w:rsidR="00843234">
        <w:t>.</w:t>
      </w:r>
    </w:p>
    <w:p w14:paraId="22AA6B4A" w14:textId="6AB278D9" w:rsidR="00B13FD4" w:rsidRPr="006A2E07" w:rsidRDefault="00B13FD4" w:rsidP="00C87119">
      <w:pPr>
        <w:pStyle w:val="Tablecaption"/>
        <w:rPr>
          <w:b w:val="0"/>
          <w:bCs/>
          <w:lang w:eastAsia="en-AU"/>
        </w:rPr>
      </w:pPr>
      <w:r w:rsidRPr="006A2E07">
        <w:rPr>
          <w:lang w:eastAsia="en-AU"/>
        </w:rPr>
        <w:t>Table 6.</w:t>
      </w:r>
      <w:r w:rsidR="00BF45C9">
        <w:rPr>
          <w:lang w:eastAsia="en-AU"/>
        </w:rPr>
        <w:t>3</w:t>
      </w:r>
      <w:r w:rsidRPr="006A2E07">
        <w:rPr>
          <w:lang w:eastAsia="en-AU"/>
        </w:rPr>
        <w:t xml:space="preserve">: Parental and </w:t>
      </w:r>
      <w:r w:rsidR="00C87119">
        <w:rPr>
          <w:lang w:eastAsia="en-AU"/>
        </w:rPr>
        <w:t>c</w:t>
      </w:r>
      <w:r w:rsidRPr="006A2E07">
        <w:rPr>
          <w:lang w:eastAsia="en-AU"/>
        </w:rPr>
        <w:t xml:space="preserve">arers </w:t>
      </w:r>
      <w:r w:rsidR="00C87119">
        <w:rPr>
          <w:lang w:eastAsia="en-AU"/>
        </w:rPr>
        <w:t>l</w:t>
      </w:r>
      <w:r w:rsidRPr="006A2E07">
        <w:rPr>
          <w:lang w:eastAsia="en-AU"/>
        </w:rPr>
        <w:t xml:space="preserve">eave </w:t>
      </w:r>
      <w:r w:rsidR="00C87119">
        <w:rPr>
          <w:lang w:eastAsia="en-AU"/>
        </w:rPr>
        <w:t>t</w:t>
      </w:r>
      <w:r w:rsidRPr="006A2E07">
        <w:rPr>
          <w:lang w:eastAsia="en-AU"/>
        </w:rPr>
        <w:t>rends</w:t>
      </w:r>
    </w:p>
    <w:tbl>
      <w:tblPr>
        <w:tblStyle w:val="CGEPStable"/>
        <w:tblW w:w="0" w:type="auto"/>
        <w:tblLook w:val="04A0" w:firstRow="1" w:lastRow="0" w:firstColumn="1" w:lastColumn="0" w:noHBand="0" w:noVBand="1"/>
      </w:tblPr>
      <w:tblGrid>
        <w:gridCol w:w="2664"/>
        <w:gridCol w:w="1002"/>
        <w:gridCol w:w="1002"/>
        <w:gridCol w:w="1002"/>
        <w:gridCol w:w="1701"/>
        <w:gridCol w:w="1927"/>
      </w:tblGrid>
      <w:tr w:rsidR="006A2E07" w:rsidRPr="003365E2" w14:paraId="071CEE58" w14:textId="77777777" w:rsidTr="008D3F4C">
        <w:trPr>
          <w:cnfStyle w:val="100000000000" w:firstRow="1" w:lastRow="0" w:firstColumn="0" w:lastColumn="0" w:oddVBand="0" w:evenVBand="0" w:oddHBand="0" w:evenHBand="0" w:firstRowFirstColumn="0" w:firstRowLastColumn="0" w:lastRowFirstColumn="0" w:lastRowLastColumn="0"/>
        </w:trPr>
        <w:tc>
          <w:tcPr>
            <w:tcW w:w="0" w:type="auto"/>
            <w:hideMark/>
          </w:tcPr>
          <w:p w14:paraId="7EE2B6FE" w14:textId="77777777" w:rsidR="00B13FD4" w:rsidRPr="006A2E07" w:rsidRDefault="00B13FD4" w:rsidP="00C87119">
            <w:pPr>
              <w:pStyle w:val="Tablecolhead"/>
              <w:rPr>
                <w:b w:val="0"/>
                <w:lang w:eastAsia="en-AU"/>
              </w:rPr>
            </w:pPr>
            <w:r w:rsidRPr="006A2E07">
              <w:rPr>
                <w:lang w:eastAsia="en-AU"/>
              </w:rPr>
              <w:t>Measure</w:t>
            </w:r>
          </w:p>
        </w:tc>
        <w:tc>
          <w:tcPr>
            <w:tcW w:w="1002" w:type="dxa"/>
            <w:tcBorders>
              <w:bottom w:val="single" w:sz="4" w:space="0" w:color="5C308D"/>
            </w:tcBorders>
            <w:hideMark/>
          </w:tcPr>
          <w:p w14:paraId="5A93288E" w14:textId="77777777" w:rsidR="00B13FD4" w:rsidRPr="006A2E07" w:rsidRDefault="00B13FD4" w:rsidP="00C87119">
            <w:pPr>
              <w:pStyle w:val="Tablecolhead"/>
              <w:rPr>
                <w:b w:val="0"/>
                <w:lang w:eastAsia="en-AU"/>
              </w:rPr>
            </w:pPr>
            <w:r w:rsidRPr="006A2E07">
              <w:rPr>
                <w:lang w:eastAsia="en-AU"/>
              </w:rPr>
              <w:t>2021</w:t>
            </w:r>
          </w:p>
        </w:tc>
        <w:tc>
          <w:tcPr>
            <w:tcW w:w="1002" w:type="dxa"/>
            <w:hideMark/>
          </w:tcPr>
          <w:p w14:paraId="5A87BA35" w14:textId="77777777" w:rsidR="00B13FD4" w:rsidRPr="006A2E07" w:rsidRDefault="00B13FD4" w:rsidP="00C87119">
            <w:pPr>
              <w:pStyle w:val="Tablecolhead"/>
              <w:rPr>
                <w:b w:val="0"/>
                <w:lang w:eastAsia="en-AU"/>
              </w:rPr>
            </w:pPr>
            <w:r w:rsidRPr="006A2E07">
              <w:rPr>
                <w:lang w:eastAsia="en-AU"/>
              </w:rPr>
              <w:t>2023</w:t>
            </w:r>
          </w:p>
        </w:tc>
        <w:tc>
          <w:tcPr>
            <w:tcW w:w="1002" w:type="dxa"/>
            <w:hideMark/>
          </w:tcPr>
          <w:p w14:paraId="23FF6F4D" w14:textId="77777777" w:rsidR="00B13FD4" w:rsidRPr="006A2E07" w:rsidRDefault="00B13FD4" w:rsidP="00C87119">
            <w:pPr>
              <w:pStyle w:val="Tablecolhead"/>
              <w:rPr>
                <w:b w:val="0"/>
                <w:lang w:eastAsia="en-AU"/>
              </w:rPr>
            </w:pPr>
            <w:r w:rsidRPr="006A2E07">
              <w:rPr>
                <w:lang w:eastAsia="en-AU"/>
              </w:rPr>
              <w:t>2025</w:t>
            </w:r>
          </w:p>
        </w:tc>
        <w:tc>
          <w:tcPr>
            <w:tcW w:w="1701" w:type="dxa"/>
            <w:hideMark/>
          </w:tcPr>
          <w:p w14:paraId="195DB3F8" w14:textId="49D66C6E" w:rsidR="00B13FD4" w:rsidRPr="006A2E07" w:rsidRDefault="0081242A" w:rsidP="00C87119">
            <w:pPr>
              <w:pStyle w:val="Tablecolhead"/>
              <w:rPr>
                <w:b w:val="0"/>
                <w:lang w:eastAsia="en-AU"/>
              </w:rPr>
            </w:pPr>
            <w:r>
              <w:rPr>
                <w:lang w:eastAsia="en-AU"/>
              </w:rPr>
              <w:t>C</w:t>
            </w:r>
            <w:r w:rsidR="00BE46C0" w:rsidRPr="0081242A">
              <w:rPr>
                <w:lang w:eastAsia="en-AU"/>
              </w:rPr>
              <w:t>hange</w:t>
            </w:r>
            <w:r w:rsidR="009761DA">
              <w:rPr>
                <w:lang w:eastAsia="en-AU"/>
              </w:rPr>
              <w:t xml:space="preserve"> 2021</w:t>
            </w:r>
            <w:r w:rsidR="00BE46C0">
              <w:rPr>
                <w:bCs/>
                <w:lang w:eastAsia="en-AU"/>
              </w:rPr>
              <w:t>-</w:t>
            </w:r>
            <w:r w:rsidR="009761DA">
              <w:rPr>
                <w:lang w:eastAsia="en-AU"/>
              </w:rPr>
              <w:t>2025</w:t>
            </w:r>
          </w:p>
        </w:tc>
        <w:tc>
          <w:tcPr>
            <w:tcW w:w="1927" w:type="dxa"/>
            <w:tcBorders>
              <w:bottom w:val="single" w:sz="4" w:space="0" w:color="5C308D"/>
            </w:tcBorders>
            <w:hideMark/>
          </w:tcPr>
          <w:p w14:paraId="3ACDE026" w14:textId="61EDEF05" w:rsidR="00B13FD4" w:rsidRPr="006A2E07" w:rsidRDefault="008C3606" w:rsidP="00C87119">
            <w:pPr>
              <w:pStyle w:val="Tablecolhead"/>
              <w:rPr>
                <w:b w:val="0"/>
                <w:lang w:eastAsia="en-AU"/>
              </w:rPr>
            </w:pPr>
            <w:r>
              <w:rPr>
                <w:lang w:eastAsia="en-AU"/>
              </w:rPr>
              <w:t>Progress</w:t>
            </w:r>
          </w:p>
        </w:tc>
      </w:tr>
      <w:tr w:rsidR="00CF6DFF" w:rsidRPr="00A6575B" w14:paraId="305C958B" w14:textId="77777777" w:rsidTr="008D3F4C">
        <w:tc>
          <w:tcPr>
            <w:tcW w:w="0" w:type="auto"/>
            <w:hideMark/>
          </w:tcPr>
          <w:p w14:paraId="7BF065F4" w14:textId="77777777" w:rsidR="00CF6DFF" w:rsidRPr="003365E2" w:rsidRDefault="00CF6DFF" w:rsidP="00C87119">
            <w:pPr>
              <w:pStyle w:val="Tabletext"/>
              <w:rPr>
                <w:lang w:eastAsia="en-AU"/>
              </w:rPr>
            </w:pPr>
            <w:r w:rsidRPr="003365E2">
              <w:rPr>
                <w:lang w:eastAsia="en-AU"/>
              </w:rPr>
              <w:t xml:space="preserve">Average </w:t>
            </w:r>
            <w:r>
              <w:rPr>
                <w:lang w:eastAsia="en-AU"/>
              </w:rPr>
              <w:t xml:space="preserve">parental </w:t>
            </w:r>
            <w:r w:rsidRPr="003365E2">
              <w:rPr>
                <w:lang w:eastAsia="en-AU"/>
              </w:rPr>
              <w:t>leave taken by women (weeks)</w:t>
            </w:r>
          </w:p>
        </w:tc>
        <w:tc>
          <w:tcPr>
            <w:tcW w:w="1002" w:type="dxa"/>
            <w:tcBorders>
              <w:top w:val="single" w:sz="4" w:space="0" w:color="5C308D"/>
            </w:tcBorders>
            <w:shd w:val="clear" w:color="auto" w:fill="BFBFBF" w:themeFill="background1" w:themeFillShade="BF"/>
            <w:hideMark/>
          </w:tcPr>
          <w:p w14:paraId="5084467D" w14:textId="5182DC88" w:rsidR="00CF6DFF" w:rsidRPr="003365E2" w:rsidRDefault="00CA18E5" w:rsidP="00C87119">
            <w:pPr>
              <w:pStyle w:val="Tabletext"/>
              <w:rPr>
                <w:lang w:eastAsia="en-AU"/>
              </w:rPr>
            </w:pPr>
            <w:r>
              <w:rPr>
                <w:lang w:eastAsia="en-AU"/>
              </w:rPr>
              <w:t>n/a</w:t>
            </w:r>
          </w:p>
        </w:tc>
        <w:tc>
          <w:tcPr>
            <w:tcW w:w="1002" w:type="dxa"/>
            <w:hideMark/>
          </w:tcPr>
          <w:p w14:paraId="7D910532" w14:textId="5CDBF86B" w:rsidR="00CF6DFF" w:rsidRPr="003365E2" w:rsidRDefault="00A75B83" w:rsidP="00C87119">
            <w:pPr>
              <w:pStyle w:val="Tabletext"/>
              <w:rPr>
                <w:lang w:eastAsia="en-AU"/>
              </w:rPr>
            </w:pPr>
            <w:r>
              <w:rPr>
                <w:lang w:eastAsia="en-AU"/>
              </w:rPr>
              <w:t>25.7</w:t>
            </w:r>
          </w:p>
        </w:tc>
        <w:tc>
          <w:tcPr>
            <w:tcW w:w="1002" w:type="dxa"/>
            <w:hideMark/>
          </w:tcPr>
          <w:p w14:paraId="3F813C8F" w14:textId="1DA97B69" w:rsidR="00CF6DFF" w:rsidRPr="003365E2" w:rsidRDefault="00A75B83" w:rsidP="00C87119">
            <w:pPr>
              <w:pStyle w:val="Tabletext"/>
              <w:rPr>
                <w:lang w:eastAsia="en-AU"/>
              </w:rPr>
            </w:pPr>
            <w:r>
              <w:rPr>
                <w:lang w:eastAsia="en-AU"/>
              </w:rPr>
              <w:t>27.0</w:t>
            </w:r>
          </w:p>
        </w:tc>
        <w:tc>
          <w:tcPr>
            <w:tcW w:w="1701" w:type="dxa"/>
            <w:hideMark/>
          </w:tcPr>
          <w:p w14:paraId="5BFD1B48" w14:textId="6DB898B2" w:rsidR="00CF6DFF" w:rsidRPr="003365E2" w:rsidRDefault="009F0CFC" w:rsidP="00C87119">
            <w:pPr>
              <w:pStyle w:val="Tabletext"/>
              <w:rPr>
                <w:lang w:eastAsia="en-AU"/>
              </w:rPr>
            </w:pPr>
            <w:r>
              <w:rPr>
                <w:lang w:eastAsia="en-AU"/>
              </w:rPr>
              <w:t>+</w:t>
            </w:r>
            <w:r w:rsidR="003066F6">
              <w:rPr>
                <w:lang w:eastAsia="en-AU"/>
              </w:rPr>
              <w:t>1.</w:t>
            </w:r>
            <w:r w:rsidR="00422E2E">
              <w:rPr>
                <w:lang w:eastAsia="en-AU"/>
              </w:rPr>
              <w:t>2</w:t>
            </w:r>
          </w:p>
        </w:tc>
        <w:tc>
          <w:tcPr>
            <w:tcW w:w="1927" w:type="dxa"/>
            <w:tcBorders>
              <w:top w:val="single" w:sz="4" w:space="0" w:color="5C308D"/>
              <w:bottom w:val="nil"/>
            </w:tcBorders>
            <w:hideMark/>
          </w:tcPr>
          <w:p w14:paraId="180C7120" w14:textId="564988E2" w:rsidR="00CF6DFF" w:rsidRPr="00A6575B" w:rsidRDefault="00A34508" w:rsidP="00C87119">
            <w:pPr>
              <w:pStyle w:val="Tabletext"/>
              <w:rPr>
                <w:highlight w:val="magenta"/>
                <w:lang w:eastAsia="en-AU"/>
              </w:rPr>
            </w:pPr>
            <w:r w:rsidRPr="00A34508">
              <w:rPr>
                <w:rFonts w:cs="Arial"/>
                <w:szCs w:val="21"/>
                <w:lang w:eastAsia="en-AU"/>
              </w:rPr>
              <w:t>Poor (</w:t>
            </w:r>
            <w:r w:rsidRPr="00C27278">
              <w:rPr>
                <w:rFonts w:cs="Arial"/>
                <w:szCs w:val="21"/>
                <w:lang w:eastAsia="en-AU"/>
              </w:rPr>
              <w:t>H</w:t>
            </w:r>
            <w:r w:rsidR="008741AC">
              <w:rPr>
                <w:rFonts w:cs="Arial"/>
                <w:szCs w:val="21"/>
                <w:lang w:eastAsia="en-AU"/>
              </w:rPr>
              <w:t>olistic</w:t>
            </w:r>
            <w:r w:rsidRPr="00A34508">
              <w:rPr>
                <w:rFonts w:cs="Arial"/>
                <w:szCs w:val="21"/>
                <w:lang w:eastAsia="en-AU"/>
              </w:rPr>
              <w:t>)</w:t>
            </w:r>
          </w:p>
        </w:tc>
      </w:tr>
      <w:tr w:rsidR="00CF6DFF" w:rsidRPr="00A6575B" w14:paraId="1367F580" w14:textId="77777777" w:rsidTr="008D3F4C">
        <w:tc>
          <w:tcPr>
            <w:tcW w:w="0" w:type="auto"/>
            <w:hideMark/>
          </w:tcPr>
          <w:p w14:paraId="6AE1C2D2" w14:textId="77777777" w:rsidR="00CF6DFF" w:rsidRPr="003365E2" w:rsidRDefault="00CF6DFF" w:rsidP="00C87119">
            <w:pPr>
              <w:pStyle w:val="Tabletext"/>
              <w:rPr>
                <w:lang w:eastAsia="en-AU"/>
              </w:rPr>
            </w:pPr>
            <w:r w:rsidRPr="003365E2">
              <w:rPr>
                <w:lang w:eastAsia="en-AU"/>
              </w:rPr>
              <w:t xml:space="preserve">Average </w:t>
            </w:r>
            <w:r>
              <w:rPr>
                <w:lang w:eastAsia="en-AU"/>
              </w:rPr>
              <w:t xml:space="preserve">parental </w:t>
            </w:r>
            <w:r w:rsidRPr="003365E2">
              <w:rPr>
                <w:lang w:eastAsia="en-AU"/>
              </w:rPr>
              <w:t>leave taken by men (weeks)</w:t>
            </w:r>
          </w:p>
        </w:tc>
        <w:tc>
          <w:tcPr>
            <w:tcW w:w="1002" w:type="dxa"/>
            <w:tcBorders>
              <w:top w:val="single" w:sz="4" w:space="0" w:color="5C308D"/>
            </w:tcBorders>
            <w:shd w:val="clear" w:color="auto" w:fill="BFBFBF" w:themeFill="background1" w:themeFillShade="BF"/>
            <w:hideMark/>
          </w:tcPr>
          <w:p w14:paraId="71FBDD82" w14:textId="033B22A7" w:rsidR="00CF6DFF" w:rsidRPr="003365E2" w:rsidRDefault="00CA18E5" w:rsidP="00C87119">
            <w:pPr>
              <w:pStyle w:val="Tabletext"/>
              <w:rPr>
                <w:lang w:eastAsia="en-AU"/>
              </w:rPr>
            </w:pPr>
            <w:r>
              <w:rPr>
                <w:lang w:eastAsia="en-AU"/>
              </w:rPr>
              <w:t>n/a</w:t>
            </w:r>
          </w:p>
        </w:tc>
        <w:tc>
          <w:tcPr>
            <w:tcW w:w="1002" w:type="dxa"/>
            <w:hideMark/>
          </w:tcPr>
          <w:p w14:paraId="666DC1BB" w14:textId="5D0C5A91" w:rsidR="00CF6DFF" w:rsidRPr="003365E2" w:rsidRDefault="005C7773" w:rsidP="00C87119">
            <w:pPr>
              <w:pStyle w:val="Tabletext"/>
              <w:rPr>
                <w:lang w:eastAsia="en-AU"/>
              </w:rPr>
            </w:pPr>
            <w:r>
              <w:rPr>
                <w:lang w:eastAsia="en-AU"/>
              </w:rPr>
              <w:t>7.4</w:t>
            </w:r>
          </w:p>
        </w:tc>
        <w:tc>
          <w:tcPr>
            <w:tcW w:w="1002" w:type="dxa"/>
            <w:hideMark/>
          </w:tcPr>
          <w:p w14:paraId="1BAE065E" w14:textId="6A3FD75B" w:rsidR="00CF6DFF" w:rsidRPr="003365E2" w:rsidRDefault="005C7773" w:rsidP="00C87119">
            <w:pPr>
              <w:pStyle w:val="Tabletext"/>
              <w:rPr>
                <w:lang w:eastAsia="en-AU"/>
              </w:rPr>
            </w:pPr>
            <w:r>
              <w:rPr>
                <w:lang w:eastAsia="en-AU"/>
              </w:rPr>
              <w:t>5.7</w:t>
            </w:r>
          </w:p>
        </w:tc>
        <w:tc>
          <w:tcPr>
            <w:tcW w:w="1701" w:type="dxa"/>
            <w:hideMark/>
          </w:tcPr>
          <w:p w14:paraId="7E36F90B" w14:textId="5D0A25FC" w:rsidR="00CF6DFF" w:rsidRPr="003365E2" w:rsidRDefault="00E912B0" w:rsidP="00C87119">
            <w:pPr>
              <w:pStyle w:val="Tabletext"/>
              <w:rPr>
                <w:lang w:eastAsia="en-AU"/>
              </w:rPr>
            </w:pPr>
            <w:r>
              <w:rPr>
                <w:lang w:eastAsia="en-AU"/>
              </w:rPr>
              <w:t>-1.</w:t>
            </w:r>
            <w:r w:rsidR="00873A2A">
              <w:rPr>
                <w:lang w:eastAsia="en-AU"/>
              </w:rPr>
              <w:t>8</w:t>
            </w:r>
          </w:p>
        </w:tc>
        <w:tc>
          <w:tcPr>
            <w:tcW w:w="1927" w:type="dxa"/>
            <w:tcBorders>
              <w:top w:val="nil"/>
              <w:bottom w:val="nil"/>
            </w:tcBorders>
            <w:hideMark/>
          </w:tcPr>
          <w:p w14:paraId="1DFD2458" w14:textId="56CD7365" w:rsidR="00CF6DFF" w:rsidRPr="00A6575B" w:rsidRDefault="0000128B" w:rsidP="00C87119">
            <w:pPr>
              <w:pStyle w:val="Tabletext"/>
              <w:rPr>
                <w:highlight w:val="magenta"/>
                <w:lang w:eastAsia="en-AU"/>
              </w:rPr>
            </w:pPr>
            <w:r w:rsidRPr="00A34508">
              <w:rPr>
                <w:rFonts w:cs="Arial"/>
                <w:szCs w:val="21"/>
                <w:lang w:eastAsia="en-AU"/>
              </w:rPr>
              <w:t>Poor (</w:t>
            </w:r>
            <w:r w:rsidRPr="00C27278">
              <w:rPr>
                <w:rFonts w:cs="Arial"/>
                <w:szCs w:val="21"/>
                <w:lang w:eastAsia="en-AU"/>
              </w:rPr>
              <w:t>H</w:t>
            </w:r>
            <w:r>
              <w:rPr>
                <w:rFonts w:cs="Arial"/>
                <w:szCs w:val="21"/>
                <w:lang w:eastAsia="en-AU"/>
              </w:rPr>
              <w:t>olistic</w:t>
            </w:r>
            <w:r w:rsidRPr="00A34508">
              <w:rPr>
                <w:rFonts w:cs="Arial"/>
                <w:szCs w:val="21"/>
                <w:lang w:eastAsia="en-AU"/>
              </w:rPr>
              <w:t>)</w:t>
            </w:r>
          </w:p>
        </w:tc>
      </w:tr>
      <w:tr w:rsidR="00CF6DFF" w:rsidRPr="003365E2" w14:paraId="5A9F634F" w14:textId="77777777" w:rsidTr="008D3F4C">
        <w:tc>
          <w:tcPr>
            <w:tcW w:w="0" w:type="auto"/>
          </w:tcPr>
          <w:p w14:paraId="1933891F" w14:textId="53B6DCAC" w:rsidR="00CF6DFF" w:rsidRDefault="00CF6DFF" w:rsidP="00C87119">
            <w:pPr>
              <w:pStyle w:val="Tabletext"/>
              <w:rPr>
                <w:lang w:eastAsia="en-AU"/>
              </w:rPr>
            </w:pPr>
            <w:r>
              <w:rPr>
                <w:lang w:eastAsia="en-AU"/>
              </w:rPr>
              <w:t>Gender gap in average</w:t>
            </w:r>
            <w:r w:rsidR="00ED08E7">
              <w:rPr>
                <w:lang w:eastAsia="en-AU"/>
              </w:rPr>
              <w:t xml:space="preserve"> weeks of</w:t>
            </w:r>
            <w:r>
              <w:rPr>
                <w:lang w:eastAsia="en-AU"/>
              </w:rPr>
              <w:t xml:space="preserve"> parental leave</w:t>
            </w:r>
            <w:r w:rsidR="003D7D60">
              <w:rPr>
                <w:lang w:eastAsia="en-AU"/>
              </w:rPr>
              <w:t xml:space="preserve"> taken</w:t>
            </w:r>
            <w:r w:rsidR="009D0E51">
              <w:rPr>
                <w:lang w:eastAsia="en-AU"/>
              </w:rPr>
              <w:t xml:space="preserve"> </w:t>
            </w:r>
          </w:p>
        </w:tc>
        <w:tc>
          <w:tcPr>
            <w:tcW w:w="1002" w:type="dxa"/>
            <w:tcBorders>
              <w:top w:val="single" w:sz="4" w:space="0" w:color="5C308D"/>
              <w:bottom w:val="single" w:sz="4" w:space="0" w:color="auto"/>
            </w:tcBorders>
            <w:shd w:val="clear" w:color="auto" w:fill="BFBFBF" w:themeFill="background1" w:themeFillShade="BF"/>
          </w:tcPr>
          <w:p w14:paraId="69201977" w14:textId="6897680B" w:rsidR="00CF6DFF" w:rsidRPr="003365E2" w:rsidRDefault="00CA18E5" w:rsidP="00C87119">
            <w:pPr>
              <w:pStyle w:val="Tabletext"/>
              <w:rPr>
                <w:lang w:eastAsia="en-AU"/>
              </w:rPr>
            </w:pPr>
            <w:r>
              <w:rPr>
                <w:lang w:eastAsia="en-AU"/>
              </w:rPr>
              <w:t>n/a</w:t>
            </w:r>
          </w:p>
        </w:tc>
        <w:tc>
          <w:tcPr>
            <w:tcW w:w="1002" w:type="dxa"/>
          </w:tcPr>
          <w:p w14:paraId="0F7DD4B5" w14:textId="11D1E9FC" w:rsidR="00CF6DFF" w:rsidRPr="003365E2" w:rsidRDefault="000464B9" w:rsidP="00C87119">
            <w:pPr>
              <w:pStyle w:val="Tabletext"/>
              <w:rPr>
                <w:lang w:eastAsia="en-AU"/>
              </w:rPr>
            </w:pPr>
            <w:r>
              <w:rPr>
                <w:lang w:eastAsia="en-AU"/>
              </w:rPr>
              <w:t>-</w:t>
            </w:r>
            <w:r w:rsidR="009D0E51">
              <w:rPr>
                <w:lang w:eastAsia="en-AU"/>
              </w:rPr>
              <w:t>71.1</w:t>
            </w:r>
            <w:r w:rsidR="00EF04D7">
              <w:rPr>
                <w:lang w:eastAsia="en-AU"/>
              </w:rPr>
              <w:t>%</w:t>
            </w:r>
          </w:p>
        </w:tc>
        <w:tc>
          <w:tcPr>
            <w:tcW w:w="1002" w:type="dxa"/>
          </w:tcPr>
          <w:p w14:paraId="6955DB80" w14:textId="48605E29" w:rsidR="00CF6DFF" w:rsidRPr="003365E2" w:rsidRDefault="009D0E51" w:rsidP="00C87119">
            <w:pPr>
              <w:pStyle w:val="Tabletext"/>
              <w:rPr>
                <w:lang w:eastAsia="en-AU"/>
              </w:rPr>
            </w:pPr>
            <w:r>
              <w:rPr>
                <w:lang w:eastAsia="en-AU"/>
              </w:rPr>
              <w:t>-78.9</w:t>
            </w:r>
            <w:r w:rsidR="00EF04D7">
              <w:rPr>
                <w:lang w:eastAsia="en-AU"/>
              </w:rPr>
              <w:t>%</w:t>
            </w:r>
          </w:p>
        </w:tc>
        <w:tc>
          <w:tcPr>
            <w:tcW w:w="1701" w:type="dxa"/>
          </w:tcPr>
          <w:p w14:paraId="1DD29CBC" w14:textId="19019F8B" w:rsidR="00CF6DFF" w:rsidRPr="003365E2" w:rsidRDefault="007675F7" w:rsidP="00C87119">
            <w:pPr>
              <w:pStyle w:val="Tabletext"/>
              <w:rPr>
                <w:lang w:eastAsia="en-AU"/>
              </w:rPr>
            </w:pPr>
            <w:r>
              <w:rPr>
                <w:lang w:eastAsia="en-AU"/>
              </w:rPr>
              <w:t>-7.9pp</w:t>
            </w:r>
          </w:p>
        </w:tc>
        <w:tc>
          <w:tcPr>
            <w:tcW w:w="1927" w:type="dxa"/>
            <w:tcBorders>
              <w:top w:val="nil"/>
            </w:tcBorders>
          </w:tcPr>
          <w:p w14:paraId="33D3ACF8" w14:textId="101474E7" w:rsidR="00CF6DFF" w:rsidRPr="00CF6DFF" w:rsidRDefault="0000128B" w:rsidP="00C87119">
            <w:pPr>
              <w:pStyle w:val="Tabletext"/>
              <w:rPr>
                <w:lang w:eastAsia="en-AU"/>
              </w:rPr>
            </w:pPr>
            <w:r w:rsidRPr="00A34508">
              <w:rPr>
                <w:rFonts w:cs="Arial"/>
                <w:szCs w:val="21"/>
                <w:lang w:eastAsia="en-AU"/>
              </w:rPr>
              <w:t>Poor (</w:t>
            </w:r>
            <w:r w:rsidRPr="00C27278">
              <w:rPr>
                <w:rFonts w:cs="Arial"/>
                <w:szCs w:val="21"/>
                <w:lang w:eastAsia="en-AU"/>
              </w:rPr>
              <w:t>H</w:t>
            </w:r>
            <w:r>
              <w:rPr>
                <w:rFonts w:cs="Arial"/>
                <w:szCs w:val="21"/>
                <w:lang w:eastAsia="en-AU"/>
              </w:rPr>
              <w:t>olistic</w:t>
            </w:r>
            <w:r w:rsidRPr="00A34508">
              <w:rPr>
                <w:rFonts w:cs="Arial"/>
                <w:szCs w:val="21"/>
                <w:lang w:eastAsia="en-AU"/>
              </w:rPr>
              <w:t>)</w:t>
            </w:r>
          </w:p>
        </w:tc>
      </w:tr>
      <w:tr w:rsidR="00886D21" w:rsidRPr="003365E2" w14:paraId="68DA77FA" w14:textId="77777777" w:rsidTr="00C01F7F">
        <w:tc>
          <w:tcPr>
            <w:tcW w:w="0" w:type="auto"/>
            <w:hideMark/>
          </w:tcPr>
          <w:p w14:paraId="1641E574" w14:textId="69601221" w:rsidR="00886D21" w:rsidRPr="00062A95" w:rsidRDefault="003D7D60" w:rsidP="00C87119">
            <w:pPr>
              <w:pStyle w:val="Tabletext"/>
              <w:rPr>
                <w:strike/>
                <w:lang w:eastAsia="en-AU"/>
              </w:rPr>
            </w:pPr>
            <w:r>
              <w:rPr>
                <w:lang w:eastAsia="en-AU"/>
              </w:rPr>
              <w:t>W</w:t>
            </w:r>
            <w:r w:rsidR="00886D21">
              <w:rPr>
                <w:lang w:eastAsia="en-AU"/>
              </w:rPr>
              <w:t>omen accessing carer</w:t>
            </w:r>
            <w:r w:rsidR="002F55AB">
              <w:rPr>
                <w:lang w:eastAsia="en-AU"/>
              </w:rPr>
              <w:t>’</w:t>
            </w:r>
            <w:r w:rsidR="00886D21">
              <w:rPr>
                <w:lang w:eastAsia="en-AU"/>
              </w:rPr>
              <w:t>s leave</w:t>
            </w:r>
            <w:r w:rsidR="00886D21" w:rsidRPr="00062A95">
              <w:rPr>
                <w:strike/>
                <w:lang w:eastAsia="en-AU"/>
              </w:rPr>
              <w:t xml:space="preserve"> </w:t>
            </w:r>
          </w:p>
        </w:tc>
        <w:tc>
          <w:tcPr>
            <w:tcW w:w="1002" w:type="dxa"/>
            <w:tcBorders>
              <w:top w:val="single" w:sz="4" w:space="0" w:color="auto"/>
            </w:tcBorders>
            <w:hideMark/>
          </w:tcPr>
          <w:p w14:paraId="790C3E39" w14:textId="2A53FA40" w:rsidR="00886D21" w:rsidRPr="003365E2" w:rsidRDefault="009D0E51" w:rsidP="00C87119">
            <w:pPr>
              <w:pStyle w:val="Tabletext"/>
              <w:rPr>
                <w:lang w:eastAsia="en-AU"/>
              </w:rPr>
            </w:pPr>
            <w:r>
              <w:rPr>
                <w:lang w:eastAsia="en-AU"/>
              </w:rPr>
              <w:t>29.9%</w:t>
            </w:r>
          </w:p>
        </w:tc>
        <w:tc>
          <w:tcPr>
            <w:tcW w:w="1002" w:type="dxa"/>
            <w:hideMark/>
          </w:tcPr>
          <w:p w14:paraId="65BBFB8E" w14:textId="129B8361" w:rsidR="00886D21" w:rsidRPr="003365E2" w:rsidRDefault="00CF2AD0" w:rsidP="00C87119">
            <w:pPr>
              <w:pStyle w:val="Tabletext"/>
              <w:rPr>
                <w:lang w:eastAsia="en-AU"/>
              </w:rPr>
            </w:pPr>
            <w:r>
              <w:rPr>
                <w:lang w:eastAsia="en-AU"/>
              </w:rPr>
              <w:t>33.5%</w:t>
            </w:r>
          </w:p>
        </w:tc>
        <w:tc>
          <w:tcPr>
            <w:tcW w:w="1002" w:type="dxa"/>
            <w:hideMark/>
          </w:tcPr>
          <w:p w14:paraId="77AE5152" w14:textId="2224FD64" w:rsidR="00886D21" w:rsidRPr="003365E2" w:rsidRDefault="00CF2AD0" w:rsidP="00C87119">
            <w:pPr>
              <w:pStyle w:val="Tabletext"/>
              <w:rPr>
                <w:lang w:eastAsia="en-AU"/>
              </w:rPr>
            </w:pPr>
            <w:r>
              <w:rPr>
                <w:lang w:eastAsia="en-AU"/>
              </w:rPr>
              <w:t>38.4%</w:t>
            </w:r>
          </w:p>
        </w:tc>
        <w:tc>
          <w:tcPr>
            <w:tcW w:w="1701" w:type="dxa"/>
            <w:hideMark/>
          </w:tcPr>
          <w:p w14:paraId="7572B5B7" w14:textId="2659375F" w:rsidR="00886D21" w:rsidRPr="003365E2" w:rsidRDefault="00CF2AD0" w:rsidP="00C87119">
            <w:pPr>
              <w:pStyle w:val="Tabletext"/>
              <w:rPr>
                <w:lang w:eastAsia="en-AU"/>
              </w:rPr>
            </w:pPr>
            <w:r>
              <w:rPr>
                <w:lang w:eastAsia="en-AU"/>
              </w:rPr>
              <w:t>+8.5pp</w:t>
            </w:r>
          </w:p>
        </w:tc>
        <w:tc>
          <w:tcPr>
            <w:tcW w:w="1927" w:type="dxa"/>
            <w:shd w:val="clear" w:color="auto" w:fill="BFBFBF" w:themeFill="background1" w:themeFillShade="BF"/>
            <w:hideMark/>
          </w:tcPr>
          <w:p w14:paraId="4CB2224B" w14:textId="3727BFAF" w:rsidR="00886D21" w:rsidRPr="00CF6DFF" w:rsidRDefault="00CF6DFF" w:rsidP="00C87119">
            <w:pPr>
              <w:pStyle w:val="Tabletext"/>
              <w:rPr>
                <w:lang w:eastAsia="en-AU"/>
              </w:rPr>
            </w:pPr>
            <w:r>
              <w:rPr>
                <w:lang w:eastAsia="en-AU"/>
              </w:rPr>
              <w:t>n/a</w:t>
            </w:r>
          </w:p>
        </w:tc>
      </w:tr>
      <w:tr w:rsidR="00886D21" w:rsidRPr="003365E2" w14:paraId="55A9CD07" w14:textId="77777777" w:rsidTr="00C01F7F">
        <w:tc>
          <w:tcPr>
            <w:tcW w:w="0" w:type="auto"/>
            <w:hideMark/>
          </w:tcPr>
          <w:p w14:paraId="20399EC5" w14:textId="25A4772C" w:rsidR="00886D21" w:rsidRPr="00062A95" w:rsidRDefault="003D7D60" w:rsidP="00C87119">
            <w:pPr>
              <w:pStyle w:val="Tabletext"/>
              <w:rPr>
                <w:strike/>
                <w:lang w:eastAsia="en-AU"/>
              </w:rPr>
            </w:pPr>
            <w:r>
              <w:rPr>
                <w:lang w:eastAsia="en-AU"/>
              </w:rPr>
              <w:t>M</w:t>
            </w:r>
            <w:r w:rsidR="00886D21">
              <w:rPr>
                <w:lang w:eastAsia="en-AU"/>
              </w:rPr>
              <w:t>en accessing carer</w:t>
            </w:r>
            <w:r w:rsidR="002F55AB">
              <w:rPr>
                <w:lang w:eastAsia="en-AU"/>
              </w:rPr>
              <w:t>’</w:t>
            </w:r>
            <w:r w:rsidR="00886D21">
              <w:rPr>
                <w:lang w:eastAsia="en-AU"/>
              </w:rPr>
              <w:t>s leave</w:t>
            </w:r>
            <w:r w:rsidR="00886D21" w:rsidRPr="00062A95">
              <w:rPr>
                <w:strike/>
                <w:lang w:eastAsia="en-AU"/>
              </w:rPr>
              <w:t xml:space="preserve"> </w:t>
            </w:r>
          </w:p>
        </w:tc>
        <w:tc>
          <w:tcPr>
            <w:tcW w:w="1002" w:type="dxa"/>
            <w:hideMark/>
          </w:tcPr>
          <w:p w14:paraId="5D8CA316" w14:textId="29AE59E0" w:rsidR="00886D21" w:rsidRPr="003365E2" w:rsidRDefault="00CF2AD0" w:rsidP="00C87119">
            <w:pPr>
              <w:pStyle w:val="Tabletext"/>
              <w:rPr>
                <w:lang w:eastAsia="en-AU"/>
              </w:rPr>
            </w:pPr>
            <w:r>
              <w:rPr>
                <w:lang w:eastAsia="en-AU"/>
              </w:rPr>
              <w:t>27.9%</w:t>
            </w:r>
          </w:p>
        </w:tc>
        <w:tc>
          <w:tcPr>
            <w:tcW w:w="1002" w:type="dxa"/>
            <w:hideMark/>
          </w:tcPr>
          <w:p w14:paraId="775973AE" w14:textId="3778D50D" w:rsidR="00886D21" w:rsidRPr="003365E2" w:rsidRDefault="00CF2AD0" w:rsidP="00C87119">
            <w:pPr>
              <w:pStyle w:val="Tabletext"/>
              <w:rPr>
                <w:lang w:eastAsia="en-AU"/>
              </w:rPr>
            </w:pPr>
            <w:r>
              <w:rPr>
                <w:lang w:eastAsia="en-AU"/>
              </w:rPr>
              <w:t>30.9%</w:t>
            </w:r>
          </w:p>
        </w:tc>
        <w:tc>
          <w:tcPr>
            <w:tcW w:w="1002" w:type="dxa"/>
            <w:hideMark/>
          </w:tcPr>
          <w:p w14:paraId="3DB7E19B" w14:textId="34468965" w:rsidR="00886D21" w:rsidRPr="003365E2" w:rsidRDefault="00CF2AD0" w:rsidP="00C87119">
            <w:pPr>
              <w:pStyle w:val="Tabletext"/>
              <w:rPr>
                <w:lang w:eastAsia="en-AU"/>
              </w:rPr>
            </w:pPr>
            <w:r>
              <w:rPr>
                <w:lang w:eastAsia="en-AU"/>
              </w:rPr>
              <w:t>34.2%</w:t>
            </w:r>
          </w:p>
        </w:tc>
        <w:tc>
          <w:tcPr>
            <w:tcW w:w="1701" w:type="dxa"/>
            <w:hideMark/>
          </w:tcPr>
          <w:p w14:paraId="5256D9D7" w14:textId="14640D1D" w:rsidR="00886D21" w:rsidRPr="003365E2" w:rsidRDefault="00CF2AD0" w:rsidP="00C87119">
            <w:pPr>
              <w:pStyle w:val="Tabletext"/>
              <w:rPr>
                <w:lang w:eastAsia="en-AU"/>
              </w:rPr>
            </w:pPr>
            <w:r>
              <w:rPr>
                <w:lang w:eastAsia="en-AU"/>
              </w:rPr>
              <w:t>+6.3pp</w:t>
            </w:r>
          </w:p>
        </w:tc>
        <w:tc>
          <w:tcPr>
            <w:tcW w:w="1927" w:type="dxa"/>
            <w:shd w:val="clear" w:color="auto" w:fill="BFBFBF" w:themeFill="background1" w:themeFillShade="BF"/>
            <w:hideMark/>
          </w:tcPr>
          <w:p w14:paraId="68EFE179" w14:textId="78E1E95A" w:rsidR="00886D21" w:rsidRPr="00CF6DFF" w:rsidRDefault="005C439D" w:rsidP="00C87119">
            <w:pPr>
              <w:pStyle w:val="Tabletext"/>
              <w:rPr>
                <w:lang w:eastAsia="en-AU"/>
              </w:rPr>
            </w:pPr>
            <w:r>
              <w:rPr>
                <w:lang w:eastAsia="en-AU"/>
              </w:rPr>
              <w:t>n/a</w:t>
            </w:r>
          </w:p>
        </w:tc>
      </w:tr>
    </w:tbl>
    <w:p w14:paraId="4E6C93DD" w14:textId="1247B7E2" w:rsidR="00D11A91" w:rsidRDefault="00D11A91" w:rsidP="004403D9">
      <w:pPr>
        <w:pStyle w:val="Tablefigurenote"/>
      </w:pPr>
      <w:r w:rsidRPr="00136D6E">
        <w:t>Source: Workplace gender audit workforce data, 2021</w:t>
      </w:r>
      <w:r>
        <w:t>, 2023 and 2025.</w:t>
      </w:r>
    </w:p>
    <w:p w14:paraId="33802051" w14:textId="5474913B" w:rsidR="004403D9" w:rsidRPr="00C27278" w:rsidRDefault="004403D9" w:rsidP="004403D9">
      <w:pPr>
        <w:pStyle w:val="Tablefigurenote"/>
      </w:pPr>
      <w:r w:rsidRPr="00C27278">
        <w:t>Notes</w:t>
      </w:r>
      <w:r w:rsidR="006E7B3C">
        <w:t>: 2021</w:t>
      </w:r>
      <w:r w:rsidR="006E7B3C" w:rsidRPr="006E7B3C">
        <w:t xml:space="preserve"> parental leave data </w:t>
      </w:r>
      <w:r w:rsidR="006E7B3C">
        <w:t xml:space="preserve">is excluded </w:t>
      </w:r>
      <w:r w:rsidR="006E7B3C" w:rsidRPr="006E7B3C">
        <w:t>from this analysis because of inconsistencies in how data was captured and reported across organisations in that reporting year. To support comparability and consistency of analysis, parental leave insights are based on 2023 and 2025 data only.</w:t>
      </w:r>
      <w:r w:rsidRPr="00C27278">
        <w:t xml:space="preserve">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t xml:space="preserve"> </w:t>
      </w:r>
      <w:r w:rsidR="002F768A" w:rsidRPr="00883939">
        <w:t xml:space="preserve">To read more about how the Commission calculates gender gaps, see </w:t>
      </w:r>
      <w:hyperlink w:anchor="_Gender_gaps" w:history="1">
        <w:r w:rsidR="002F768A" w:rsidRPr="00031C4E">
          <w:rPr>
            <w:rStyle w:val="Hyperlink"/>
            <w:rFonts w:cs="Times New Roman"/>
          </w:rPr>
          <w:t>Gender gaps</w:t>
        </w:r>
      </w:hyperlink>
      <w:r w:rsidR="002F768A" w:rsidRPr="00031C4E">
        <w:t xml:space="preserve"> in Appendix 1</w:t>
      </w:r>
      <w:r w:rsidR="002F768A" w:rsidRPr="00883939">
        <w:t>.</w:t>
      </w:r>
      <w:r w:rsidRPr="00C27278">
        <w:t xml:space="preserve"> Gender gaps are always calculated between men and women. </w:t>
      </w:r>
      <w:r w:rsidR="00A33093" w:rsidRPr="00C27278">
        <w:t>A</w:t>
      </w:r>
      <w:r w:rsidRPr="00C27278">
        <w:t xml:space="preserve"> gap </w:t>
      </w:r>
      <w:r w:rsidR="00A33093">
        <w:rPr>
          <w:lang w:eastAsia="en-AU"/>
        </w:rPr>
        <w:t>greater than zero</w:t>
      </w:r>
      <w:r w:rsidR="00A33093" w:rsidRPr="00C27278">
        <w:t xml:space="preserve"> </w:t>
      </w:r>
      <w:r w:rsidRPr="00C27278">
        <w:t xml:space="preserve">is in favour of men, and a gap </w:t>
      </w:r>
      <w:r w:rsidR="00A33093">
        <w:t>less than zero</w:t>
      </w:r>
      <w:r w:rsidR="00A33093" w:rsidRPr="00C27278">
        <w:t xml:space="preserve"> </w:t>
      </w:r>
      <w:r w:rsidRPr="00C27278">
        <w:t>is in favour of women.</w:t>
      </w:r>
      <w:r w:rsidR="00D10E14">
        <w:t xml:space="preserve"> </w:t>
      </w:r>
      <w:r w:rsidR="00D10E14" w:rsidRPr="00AE1037">
        <w:t>The</w:t>
      </w:r>
      <w:r w:rsidR="00D10E14">
        <w:t xml:space="preserve"> </w:t>
      </w:r>
      <w:r w:rsidR="00D10E14" w:rsidRPr="00AE1037">
        <w:t>change column may not always reflect the exact difference between years due to rounding</w:t>
      </w:r>
      <w:r w:rsidR="00D10E14">
        <w:t>.</w:t>
      </w:r>
    </w:p>
    <w:p w14:paraId="125E614F" w14:textId="5ED3F2F8" w:rsidR="00AD3F5D" w:rsidRPr="005F688D" w:rsidRDefault="009F51D0" w:rsidP="005F688D">
      <w:pPr>
        <w:pStyle w:val="Tablecaption"/>
        <w:rPr>
          <w:lang w:eastAsia="en-AU"/>
        </w:rPr>
      </w:pPr>
      <w:r w:rsidRPr="00325903">
        <w:rPr>
          <w:lang w:eastAsia="en-AU"/>
        </w:rPr>
        <w:t>Table 6.4:</w:t>
      </w:r>
      <w:r w:rsidRPr="005F688D">
        <w:rPr>
          <w:b w:val="0"/>
          <w:lang w:eastAsia="en-AU"/>
        </w:rPr>
        <w:t xml:space="preserve"> </w:t>
      </w:r>
      <w:r w:rsidR="00720B2F" w:rsidRPr="005F688D">
        <w:rPr>
          <w:lang w:eastAsia="en-AU"/>
        </w:rPr>
        <w:t>Men</w:t>
      </w:r>
      <w:r w:rsidR="002F55AB">
        <w:rPr>
          <w:lang w:eastAsia="en-AU"/>
        </w:rPr>
        <w:t>’</w:t>
      </w:r>
      <w:r w:rsidR="00720B2F" w:rsidRPr="005F688D">
        <w:rPr>
          <w:lang w:eastAsia="en-AU"/>
        </w:rPr>
        <w:t>s</w:t>
      </w:r>
      <w:r w:rsidR="006558CC" w:rsidRPr="005F688D">
        <w:rPr>
          <w:lang w:eastAsia="en-AU"/>
        </w:rPr>
        <w:t xml:space="preserve"> average weeks of parental leave by industry</w:t>
      </w:r>
      <w:r w:rsidR="00720B2F" w:rsidRPr="005F688D">
        <w:rPr>
          <w:b w:val="0"/>
          <w:lang w:eastAsia="en-AU"/>
        </w:rPr>
        <w:t xml:space="preserve"> </w:t>
      </w:r>
    </w:p>
    <w:tbl>
      <w:tblPr>
        <w:tblStyle w:val="CGEPStable"/>
        <w:tblW w:w="9356" w:type="dxa"/>
        <w:tblLook w:val="04A0" w:firstRow="1" w:lastRow="0" w:firstColumn="1" w:lastColumn="0" w:noHBand="0" w:noVBand="1"/>
      </w:tblPr>
      <w:tblGrid>
        <w:gridCol w:w="2670"/>
        <w:gridCol w:w="1854"/>
        <w:gridCol w:w="1855"/>
        <w:gridCol w:w="2977"/>
      </w:tblGrid>
      <w:tr w:rsidR="00141338" w:rsidRPr="00CF0F27" w14:paraId="121F797F" w14:textId="77777777" w:rsidTr="005F688D">
        <w:trPr>
          <w:cnfStyle w:val="100000000000" w:firstRow="1" w:lastRow="0" w:firstColumn="0" w:lastColumn="0" w:oddVBand="0" w:evenVBand="0" w:oddHBand="0" w:evenHBand="0" w:firstRowFirstColumn="0" w:firstRowLastColumn="0" w:lastRowFirstColumn="0" w:lastRowLastColumn="0"/>
        </w:trPr>
        <w:tc>
          <w:tcPr>
            <w:tcW w:w="2670" w:type="dxa"/>
            <w:hideMark/>
          </w:tcPr>
          <w:p w14:paraId="09015069" w14:textId="77777777" w:rsidR="00141338" w:rsidRPr="005E1B45" w:rsidRDefault="00141338">
            <w:pPr>
              <w:pStyle w:val="Tablecolhead"/>
              <w:rPr>
                <w:lang w:eastAsia="en-AU"/>
              </w:rPr>
            </w:pPr>
            <w:r>
              <w:rPr>
                <w:lang w:eastAsia="en-AU"/>
              </w:rPr>
              <w:t>Industry</w:t>
            </w:r>
          </w:p>
        </w:tc>
        <w:tc>
          <w:tcPr>
            <w:tcW w:w="1854" w:type="dxa"/>
            <w:hideMark/>
          </w:tcPr>
          <w:p w14:paraId="69DF27D7" w14:textId="77777777" w:rsidR="00141338" w:rsidRPr="005E1B45" w:rsidRDefault="00141338">
            <w:pPr>
              <w:pStyle w:val="Tablecolhead"/>
              <w:rPr>
                <w:lang w:eastAsia="en-AU"/>
              </w:rPr>
            </w:pPr>
            <w:r w:rsidRPr="005E1B45">
              <w:rPr>
                <w:lang w:eastAsia="en-AU"/>
              </w:rPr>
              <w:t>2023</w:t>
            </w:r>
          </w:p>
        </w:tc>
        <w:tc>
          <w:tcPr>
            <w:tcW w:w="1855" w:type="dxa"/>
            <w:hideMark/>
          </w:tcPr>
          <w:p w14:paraId="31086029" w14:textId="77777777" w:rsidR="00141338" w:rsidRPr="005E1B45" w:rsidRDefault="00141338">
            <w:pPr>
              <w:pStyle w:val="Tablecolhead"/>
              <w:rPr>
                <w:lang w:eastAsia="en-AU"/>
              </w:rPr>
            </w:pPr>
            <w:r w:rsidRPr="005E1B45">
              <w:rPr>
                <w:lang w:eastAsia="en-AU"/>
              </w:rPr>
              <w:t>2025</w:t>
            </w:r>
          </w:p>
        </w:tc>
        <w:tc>
          <w:tcPr>
            <w:tcW w:w="2977" w:type="dxa"/>
            <w:hideMark/>
          </w:tcPr>
          <w:p w14:paraId="295DE4CE" w14:textId="2D6B09B6" w:rsidR="00141338" w:rsidRPr="005E1B45" w:rsidRDefault="00090C19">
            <w:pPr>
              <w:pStyle w:val="Tablecolhead"/>
              <w:rPr>
                <w:lang w:eastAsia="en-AU"/>
              </w:rPr>
            </w:pPr>
            <w:r>
              <w:rPr>
                <w:lang w:eastAsia="en-AU"/>
              </w:rPr>
              <w:t>Number of weeks change</w:t>
            </w:r>
            <w:r w:rsidR="00141338">
              <w:rPr>
                <w:lang w:eastAsia="en-AU"/>
              </w:rPr>
              <w:t xml:space="preserve"> 202</w:t>
            </w:r>
            <w:r>
              <w:rPr>
                <w:lang w:eastAsia="en-AU"/>
              </w:rPr>
              <w:t>3</w:t>
            </w:r>
            <w:r w:rsidR="00141338">
              <w:rPr>
                <w:lang w:eastAsia="en-AU"/>
              </w:rPr>
              <w:t>-2025</w:t>
            </w:r>
          </w:p>
        </w:tc>
      </w:tr>
      <w:tr w:rsidR="00141338" w:rsidRPr="003365E2" w14:paraId="70552D99" w14:textId="77777777" w:rsidTr="005F688D">
        <w:tc>
          <w:tcPr>
            <w:tcW w:w="2670" w:type="dxa"/>
            <w:hideMark/>
          </w:tcPr>
          <w:p w14:paraId="5C84BBA0" w14:textId="77777777" w:rsidR="00141338" w:rsidRPr="003365E2" w:rsidRDefault="00141338" w:rsidP="00141338">
            <w:pPr>
              <w:pStyle w:val="Tabletext"/>
              <w:rPr>
                <w:lang w:eastAsia="en-AU"/>
              </w:rPr>
            </w:pPr>
            <w:r>
              <w:rPr>
                <w:lang w:eastAsia="en-AU"/>
              </w:rPr>
              <w:t>Community and cultural services</w:t>
            </w:r>
          </w:p>
        </w:tc>
        <w:tc>
          <w:tcPr>
            <w:tcW w:w="1854" w:type="dxa"/>
          </w:tcPr>
          <w:p w14:paraId="18F8EF13" w14:textId="00248B1E" w:rsidR="00141338" w:rsidRPr="003365E2" w:rsidRDefault="00141338" w:rsidP="00141338">
            <w:pPr>
              <w:pStyle w:val="Tabletext"/>
              <w:rPr>
                <w:lang w:eastAsia="en-AU"/>
              </w:rPr>
            </w:pPr>
            <w:r w:rsidRPr="00141338">
              <w:rPr>
                <w:lang w:eastAsia="en-AU"/>
              </w:rPr>
              <w:t>4.3</w:t>
            </w:r>
          </w:p>
        </w:tc>
        <w:tc>
          <w:tcPr>
            <w:tcW w:w="1855" w:type="dxa"/>
          </w:tcPr>
          <w:p w14:paraId="20F8647A" w14:textId="14F9BB91" w:rsidR="00141338" w:rsidRPr="003365E2" w:rsidRDefault="00141338" w:rsidP="00141338">
            <w:pPr>
              <w:pStyle w:val="Tabletext"/>
              <w:rPr>
                <w:lang w:eastAsia="en-AU"/>
              </w:rPr>
            </w:pPr>
            <w:r w:rsidRPr="00141338">
              <w:rPr>
                <w:lang w:eastAsia="en-AU"/>
              </w:rPr>
              <w:t>8.5</w:t>
            </w:r>
          </w:p>
        </w:tc>
        <w:tc>
          <w:tcPr>
            <w:tcW w:w="2977" w:type="dxa"/>
          </w:tcPr>
          <w:p w14:paraId="7433551D" w14:textId="2FED3356" w:rsidR="00141338" w:rsidRPr="003365E2" w:rsidRDefault="00141338" w:rsidP="00141338">
            <w:pPr>
              <w:pStyle w:val="Tabletext"/>
              <w:rPr>
                <w:lang w:eastAsia="en-AU"/>
              </w:rPr>
            </w:pPr>
            <w:r w:rsidRPr="00141338">
              <w:rPr>
                <w:lang w:eastAsia="en-AU"/>
              </w:rPr>
              <w:t>+4.2 weeks</w:t>
            </w:r>
          </w:p>
        </w:tc>
      </w:tr>
      <w:tr w:rsidR="00141338" w:rsidRPr="003365E2" w14:paraId="6A25BCF4" w14:textId="77777777" w:rsidTr="005F688D">
        <w:tc>
          <w:tcPr>
            <w:tcW w:w="2670" w:type="dxa"/>
          </w:tcPr>
          <w:p w14:paraId="0EC32E5C" w14:textId="77777777" w:rsidR="00141338" w:rsidRDefault="00141338" w:rsidP="00141338">
            <w:pPr>
              <w:pStyle w:val="Tabletext"/>
              <w:rPr>
                <w:lang w:eastAsia="en-AU"/>
              </w:rPr>
            </w:pPr>
            <w:r>
              <w:rPr>
                <w:lang w:eastAsia="en-AU"/>
              </w:rPr>
              <w:t>Finance and insurance</w:t>
            </w:r>
          </w:p>
        </w:tc>
        <w:tc>
          <w:tcPr>
            <w:tcW w:w="1854" w:type="dxa"/>
          </w:tcPr>
          <w:p w14:paraId="67B88D34" w14:textId="07EACC10" w:rsidR="00141338" w:rsidRPr="003365E2" w:rsidRDefault="00E67C30" w:rsidP="00141338">
            <w:pPr>
              <w:pStyle w:val="Tabletext"/>
              <w:rPr>
                <w:lang w:eastAsia="en-AU"/>
              </w:rPr>
            </w:pPr>
            <w:r w:rsidRPr="00E67C30">
              <w:rPr>
                <w:lang w:eastAsia="en-AU"/>
              </w:rPr>
              <w:t>7.9</w:t>
            </w:r>
          </w:p>
        </w:tc>
        <w:tc>
          <w:tcPr>
            <w:tcW w:w="1855" w:type="dxa"/>
          </w:tcPr>
          <w:p w14:paraId="2E0DED51" w14:textId="5EDA61F1" w:rsidR="00141338" w:rsidRPr="003365E2" w:rsidRDefault="00E67C30" w:rsidP="00141338">
            <w:pPr>
              <w:pStyle w:val="Tabletext"/>
              <w:rPr>
                <w:lang w:eastAsia="en-AU"/>
              </w:rPr>
            </w:pPr>
            <w:r w:rsidRPr="00E67C30">
              <w:rPr>
                <w:lang w:eastAsia="en-AU"/>
              </w:rPr>
              <w:t>6.2</w:t>
            </w:r>
          </w:p>
        </w:tc>
        <w:tc>
          <w:tcPr>
            <w:tcW w:w="2977" w:type="dxa"/>
          </w:tcPr>
          <w:p w14:paraId="675605B4" w14:textId="1061E810" w:rsidR="00141338" w:rsidRPr="003365E2" w:rsidRDefault="00E67C30" w:rsidP="00141338">
            <w:pPr>
              <w:pStyle w:val="Tabletext"/>
              <w:rPr>
                <w:lang w:eastAsia="en-AU"/>
              </w:rPr>
            </w:pPr>
            <w:r w:rsidRPr="00E67C30">
              <w:rPr>
                <w:lang w:eastAsia="en-AU"/>
              </w:rPr>
              <w:t>-1.7 weeks</w:t>
            </w:r>
          </w:p>
        </w:tc>
      </w:tr>
      <w:tr w:rsidR="00141338" w:rsidRPr="003365E2" w14:paraId="1E56B4FB" w14:textId="77777777" w:rsidTr="005F688D">
        <w:tc>
          <w:tcPr>
            <w:tcW w:w="2670" w:type="dxa"/>
            <w:hideMark/>
          </w:tcPr>
          <w:p w14:paraId="44CED26E" w14:textId="77777777" w:rsidR="00141338" w:rsidRPr="003365E2" w:rsidRDefault="00141338" w:rsidP="00141338">
            <w:pPr>
              <w:pStyle w:val="Tabletext"/>
              <w:rPr>
                <w:lang w:eastAsia="en-AU"/>
              </w:rPr>
            </w:pPr>
            <w:r w:rsidRPr="00406DA3">
              <w:rPr>
                <w:lang w:eastAsia="en-AU"/>
              </w:rPr>
              <w:t>Local government</w:t>
            </w:r>
          </w:p>
        </w:tc>
        <w:tc>
          <w:tcPr>
            <w:tcW w:w="1854" w:type="dxa"/>
          </w:tcPr>
          <w:p w14:paraId="3237EBAB" w14:textId="65F67360" w:rsidR="00141338" w:rsidRPr="003365E2" w:rsidRDefault="00DE73ED" w:rsidP="00141338">
            <w:pPr>
              <w:pStyle w:val="Tabletext"/>
              <w:rPr>
                <w:lang w:eastAsia="en-AU"/>
              </w:rPr>
            </w:pPr>
            <w:r w:rsidRPr="00DE73ED">
              <w:rPr>
                <w:lang w:eastAsia="en-AU"/>
              </w:rPr>
              <w:t>6.2</w:t>
            </w:r>
          </w:p>
        </w:tc>
        <w:tc>
          <w:tcPr>
            <w:tcW w:w="1855" w:type="dxa"/>
          </w:tcPr>
          <w:p w14:paraId="2658BFA3" w14:textId="1D0DBBEB" w:rsidR="00141338" w:rsidRPr="003365E2" w:rsidRDefault="00DE73ED" w:rsidP="00141338">
            <w:pPr>
              <w:pStyle w:val="Tabletext"/>
              <w:rPr>
                <w:lang w:eastAsia="en-AU"/>
              </w:rPr>
            </w:pPr>
            <w:r w:rsidRPr="00DE73ED">
              <w:rPr>
                <w:lang w:eastAsia="en-AU"/>
              </w:rPr>
              <w:t>7.3</w:t>
            </w:r>
          </w:p>
        </w:tc>
        <w:tc>
          <w:tcPr>
            <w:tcW w:w="2977" w:type="dxa"/>
          </w:tcPr>
          <w:p w14:paraId="35BC92C1" w14:textId="01BE8ECA" w:rsidR="00141338" w:rsidRPr="003365E2" w:rsidRDefault="00DE73ED" w:rsidP="00141338">
            <w:pPr>
              <w:pStyle w:val="Tabletext"/>
              <w:rPr>
                <w:lang w:eastAsia="en-AU"/>
              </w:rPr>
            </w:pPr>
            <w:r w:rsidRPr="00DE73ED">
              <w:rPr>
                <w:lang w:eastAsia="en-AU"/>
              </w:rPr>
              <w:t>+1.1 weeks</w:t>
            </w:r>
          </w:p>
        </w:tc>
      </w:tr>
      <w:tr w:rsidR="00141338" w:rsidRPr="003365E2" w14:paraId="1325AFAD" w14:textId="77777777" w:rsidTr="005F688D">
        <w:tc>
          <w:tcPr>
            <w:tcW w:w="2670" w:type="dxa"/>
          </w:tcPr>
          <w:p w14:paraId="7F69C3DE" w14:textId="77777777" w:rsidR="00141338" w:rsidRDefault="00141338" w:rsidP="00141338">
            <w:pPr>
              <w:pStyle w:val="Tabletext"/>
              <w:rPr>
                <w:lang w:eastAsia="en-AU"/>
              </w:rPr>
            </w:pPr>
            <w:r>
              <w:rPr>
                <w:lang w:eastAsia="en-AU"/>
              </w:rPr>
              <w:t>Other</w:t>
            </w:r>
          </w:p>
        </w:tc>
        <w:tc>
          <w:tcPr>
            <w:tcW w:w="1854" w:type="dxa"/>
          </w:tcPr>
          <w:p w14:paraId="73212271" w14:textId="7E590999" w:rsidR="00141338" w:rsidRDefault="00A929E7" w:rsidP="00141338">
            <w:pPr>
              <w:pStyle w:val="Tabletext"/>
              <w:rPr>
                <w:lang w:eastAsia="en-AU"/>
              </w:rPr>
            </w:pPr>
            <w:r w:rsidRPr="00A929E7">
              <w:rPr>
                <w:lang w:eastAsia="en-AU"/>
              </w:rPr>
              <w:t>7.4</w:t>
            </w:r>
          </w:p>
        </w:tc>
        <w:tc>
          <w:tcPr>
            <w:tcW w:w="1855" w:type="dxa"/>
          </w:tcPr>
          <w:p w14:paraId="593343EF" w14:textId="1685B923" w:rsidR="00141338" w:rsidRPr="003365E2" w:rsidRDefault="00A929E7" w:rsidP="00141338">
            <w:pPr>
              <w:pStyle w:val="Tabletext"/>
              <w:rPr>
                <w:lang w:eastAsia="en-AU"/>
              </w:rPr>
            </w:pPr>
            <w:r w:rsidRPr="00A929E7">
              <w:rPr>
                <w:lang w:eastAsia="en-AU"/>
              </w:rPr>
              <w:t>6.0</w:t>
            </w:r>
          </w:p>
        </w:tc>
        <w:tc>
          <w:tcPr>
            <w:tcW w:w="2977" w:type="dxa"/>
          </w:tcPr>
          <w:p w14:paraId="1EC1FD78" w14:textId="3916D0AE" w:rsidR="00141338" w:rsidRPr="003365E2" w:rsidRDefault="00A929E7" w:rsidP="00141338">
            <w:pPr>
              <w:pStyle w:val="Tabletext"/>
              <w:rPr>
                <w:lang w:eastAsia="en-AU"/>
              </w:rPr>
            </w:pPr>
            <w:r w:rsidRPr="00A929E7">
              <w:rPr>
                <w:lang w:eastAsia="en-AU"/>
              </w:rPr>
              <w:t>-1.4 weeks</w:t>
            </w:r>
          </w:p>
        </w:tc>
      </w:tr>
      <w:tr w:rsidR="00141338" w14:paraId="61EFF2A8" w14:textId="77777777" w:rsidTr="005F688D">
        <w:tc>
          <w:tcPr>
            <w:tcW w:w="2670" w:type="dxa"/>
          </w:tcPr>
          <w:p w14:paraId="27D1337A" w14:textId="77777777" w:rsidR="00141338" w:rsidRDefault="00141338" w:rsidP="00141338">
            <w:pPr>
              <w:pStyle w:val="Tabletext"/>
              <w:rPr>
                <w:lang w:eastAsia="en-AU"/>
              </w:rPr>
            </w:pPr>
            <w:r w:rsidRPr="00406DA3">
              <w:rPr>
                <w:lang w:eastAsia="en-AU"/>
              </w:rPr>
              <w:t>Police and emergency services</w:t>
            </w:r>
          </w:p>
        </w:tc>
        <w:tc>
          <w:tcPr>
            <w:tcW w:w="1854" w:type="dxa"/>
          </w:tcPr>
          <w:p w14:paraId="5273F3D3" w14:textId="2FC28C20" w:rsidR="00141338" w:rsidRPr="003365E2" w:rsidRDefault="00A929E7" w:rsidP="00141338">
            <w:pPr>
              <w:pStyle w:val="Tabletext"/>
              <w:rPr>
                <w:lang w:eastAsia="en-AU"/>
              </w:rPr>
            </w:pPr>
            <w:r w:rsidRPr="00A929E7">
              <w:rPr>
                <w:lang w:eastAsia="en-AU"/>
              </w:rPr>
              <w:t>8.0</w:t>
            </w:r>
          </w:p>
        </w:tc>
        <w:tc>
          <w:tcPr>
            <w:tcW w:w="1855" w:type="dxa"/>
          </w:tcPr>
          <w:p w14:paraId="455DB4A0" w14:textId="38FE7371" w:rsidR="00141338" w:rsidRPr="003365E2" w:rsidRDefault="00A929E7" w:rsidP="00141338">
            <w:pPr>
              <w:pStyle w:val="Tabletext"/>
              <w:rPr>
                <w:lang w:eastAsia="en-AU"/>
              </w:rPr>
            </w:pPr>
            <w:r w:rsidRPr="00A929E7">
              <w:rPr>
                <w:lang w:eastAsia="en-AU"/>
              </w:rPr>
              <w:t>1.8</w:t>
            </w:r>
          </w:p>
        </w:tc>
        <w:tc>
          <w:tcPr>
            <w:tcW w:w="2977" w:type="dxa"/>
          </w:tcPr>
          <w:p w14:paraId="36E74933" w14:textId="615A3731" w:rsidR="00141338" w:rsidRPr="003365E2" w:rsidRDefault="00A929E7" w:rsidP="00141338">
            <w:pPr>
              <w:pStyle w:val="Tabletext"/>
              <w:rPr>
                <w:lang w:eastAsia="en-AU"/>
              </w:rPr>
            </w:pPr>
            <w:r w:rsidRPr="00A929E7">
              <w:rPr>
                <w:lang w:eastAsia="en-AU"/>
              </w:rPr>
              <w:t>-6.2 weeks</w:t>
            </w:r>
          </w:p>
        </w:tc>
      </w:tr>
      <w:tr w:rsidR="00141338" w14:paraId="2FC259FC" w14:textId="77777777" w:rsidTr="005F688D">
        <w:tc>
          <w:tcPr>
            <w:tcW w:w="2670" w:type="dxa"/>
          </w:tcPr>
          <w:p w14:paraId="4D3CFBA9" w14:textId="77777777" w:rsidR="00141338" w:rsidRPr="00406DA3" w:rsidRDefault="00141338" w:rsidP="00141338">
            <w:pPr>
              <w:pStyle w:val="Tabletext"/>
              <w:rPr>
                <w:lang w:eastAsia="en-AU"/>
              </w:rPr>
            </w:pPr>
            <w:r w:rsidRPr="00406DA3">
              <w:rPr>
                <w:lang w:eastAsia="en-AU"/>
              </w:rPr>
              <w:t>Public health care</w:t>
            </w:r>
          </w:p>
        </w:tc>
        <w:tc>
          <w:tcPr>
            <w:tcW w:w="1854" w:type="dxa"/>
          </w:tcPr>
          <w:p w14:paraId="117EDF39" w14:textId="7389A40B" w:rsidR="00141338" w:rsidRPr="003365E2" w:rsidRDefault="00D562B1" w:rsidP="00141338">
            <w:pPr>
              <w:pStyle w:val="Tabletext"/>
              <w:rPr>
                <w:lang w:eastAsia="en-AU"/>
              </w:rPr>
            </w:pPr>
            <w:r w:rsidRPr="00D562B1">
              <w:rPr>
                <w:lang w:eastAsia="en-AU"/>
              </w:rPr>
              <w:t>12.3</w:t>
            </w:r>
          </w:p>
        </w:tc>
        <w:tc>
          <w:tcPr>
            <w:tcW w:w="1855" w:type="dxa"/>
          </w:tcPr>
          <w:p w14:paraId="4B464527" w14:textId="2922692B" w:rsidR="00141338" w:rsidRPr="003365E2" w:rsidRDefault="00D562B1" w:rsidP="00141338">
            <w:pPr>
              <w:pStyle w:val="Tabletext"/>
              <w:rPr>
                <w:lang w:eastAsia="en-AU"/>
              </w:rPr>
            </w:pPr>
            <w:r w:rsidRPr="00D562B1">
              <w:rPr>
                <w:lang w:eastAsia="en-AU"/>
              </w:rPr>
              <w:t>4.4</w:t>
            </w:r>
          </w:p>
        </w:tc>
        <w:tc>
          <w:tcPr>
            <w:tcW w:w="2977" w:type="dxa"/>
          </w:tcPr>
          <w:p w14:paraId="61D7D2E4" w14:textId="1ABA9C1F" w:rsidR="00141338" w:rsidRPr="003365E2" w:rsidRDefault="00D562B1" w:rsidP="00141338">
            <w:pPr>
              <w:pStyle w:val="Tabletext"/>
              <w:rPr>
                <w:lang w:eastAsia="en-AU"/>
              </w:rPr>
            </w:pPr>
            <w:r w:rsidRPr="00D562B1">
              <w:rPr>
                <w:lang w:eastAsia="en-AU"/>
              </w:rPr>
              <w:t>-7.9 weeks</w:t>
            </w:r>
          </w:p>
        </w:tc>
      </w:tr>
      <w:tr w:rsidR="00141338" w14:paraId="71CBFE44" w14:textId="77777777" w:rsidTr="005F688D">
        <w:tc>
          <w:tcPr>
            <w:tcW w:w="2670" w:type="dxa"/>
          </w:tcPr>
          <w:p w14:paraId="4E02D444" w14:textId="77777777" w:rsidR="00141338" w:rsidRPr="00406DA3" w:rsidRDefault="00141338" w:rsidP="00141338">
            <w:pPr>
              <w:pStyle w:val="Tabletext"/>
              <w:rPr>
                <w:lang w:eastAsia="en-AU"/>
              </w:rPr>
            </w:pPr>
            <w:r w:rsidRPr="00406DA3">
              <w:rPr>
                <w:lang w:eastAsia="en-AU"/>
              </w:rPr>
              <w:t>TAFE and other education</w:t>
            </w:r>
          </w:p>
        </w:tc>
        <w:tc>
          <w:tcPr>
            <w:tcW w:w="1854" w:type="dxa"/>
          </w:tcPr>
          <w:p w14:paraId="5F62AB8E" w14:textId="6115A36B" w:rsidR="00141338" w:rsidRPr="003365E2" w:rsidRDefault="00215D6D" w:rsidP="00141338">
            <w:pPr>
              <w:pStyle w:val="Tabletext"/>
              <w:rPr>
                <w:lang w:eastAsia="en-AU"/>
              </w:rPr>
            </w:pPr>
            <w:r w:rsidRPr="00215D6D">
              <w:rPr>
                <w:lang w:eastAsia="en-AU"/>
              </w:rPr>
              <w:t>2.6</w:t>
            </w:r>
          </w:p>
        </w:tc>
        <w:tc>
          <w:tcPr>
            <w:tcW w:w="1855" w:type="dxa"/>
          </w:tcPr>
          <w:p w14:paraId="675C5E05" w14:textId="53BE2836" w:rsidR="00141338" w:rsidRPr="003365E2" w:rsidRDefault="00215D6D" w:rsidP="00141338">
            <w:pPr>
              <w:pStyle w:val="Tabletext"/>
              <w:rPr>
                <w:lang w:eastAsia="en-AU"/>
              </w:rPr>
            </w:pPr>
            <w:r w:rsidRPr="00215D6D">
              <w:rPr>
                <w:lang w:eastAsia="en-AU"/>
              </w:rPr>
              <w:t>4.7</w:t>
            </w:r>
          </w:p>
        </w:tc>
        <w:tc>
          <w:tcPr>
            <w:tcW w:w="2977" w:type="dxa"/>
          </w:tcPr>
          <w:p w14:paraId="5D8FD42F" w14:textId="34C027A8" w:rsidR="00141338" w:rsidRPr="003365E2" w:rsidRDefault="00215D6D" w:rsidP="00141338">
            <w:pPr>
              <w:pStyle w:val="Tabletext"/>
              <w:rPr>
                <w:lang w:eastAsia="en-AU"/>
              </w:rPr>
            </w:pPr>
            <w:r w:rsidRPr="00215D6D">
              <w:rPr>
                <w:lang w:eastAsia="en-AU"/>
              </w:rPr>
              <w:t>+2.1 weeks</w:t>
            </w:r>
          </w:p>
        </w:tc>
      </w:tr>
      <w:tr w:rsidR="00141338" w14:paraId="7C4A8A5B" w14:textId="77777777" w:rsidTr="005F688D">
        <w:tc>
          <w:tcPr>
            <w:tcW w:w="2670" w:type="dxa"/>
          </w:tcPr>
          <w:p w14:paraId="39E665D3" w14:textId="77777777" w:rsidR="00141338" w:rsidRPr="00406DA3" w:rsidRDefault="00141338" w:rsidP="00141338">
            <w:pPr>
              <w:pStyle w:val="Tabletext"/>
              <w:rPr>
                <w:lang w:eastAsia="en-AU"/>
              </w:rPr>
            </w:pPr>
            <w:r>
              <w:rPr>
                <w:lang w:eastAsia="en-AU"/>
              </w:rPr>
              <w:t>Transport</w:t>
            </w:r>
          </w:p>
        </w:tc>
        <w:tc>
          <w:tcPr>
            <w:tcW w:w="1854" w:type="dxa"/>
          </w:tcPr>
          <w:p w14:paraId="79F5C1D4" w14:textId="43D0F6B7" w:rsidR="00141338" w:rsidRPr="003365E2" w:rsidRDefault="003209FF" w:rsidP="00141338">
            <w:pPr>
              <w:pStyle w:val="Tabletext"/>
              <w:rPr>
                <w:lang w:eastAsia="en-AU"/>
              </w:rPr>
            </w:pPr>
            <w:r w:rsidRPr="003209FF">
              <w:rPr>
                <w:lang w:eastAsia="en-AU"/>
              </w:rPr>
              <w:t>3.1</w:t>
            </w:r>
          </w:p>
        </w:tc>
        <w:tc>
          <w:tcPr>
            <w:tcW w:w="1855" w:type="dxa"/>
          </w:tcPr>
          <w:p w14:paraId="6419C9CA" w14:textId="296999C7" w:rsidR="00141338" w:rsidRPr="003365E2" w:rsidRDefault="003209FF" w:rsidP="00141338">
            <w:pPr>
              <w:pStyle w:val="Tabletext"/>
              <w:rPr>
                <w:lang w:eastAsia="en-AU"/>
              </w:rPr>
            </w:pPr>
            <w:r w:rsidRPr="003209FF">
              <w:rPr>
                <w:lang w:eastAsia="en-AU"/>
              </w:rPr>
              <w:t>5.0</w:t>
            </w:r>
          </w:p>
        </w:tc>
        <w:tc>
          <w:tcPr>
            <w:tcW w:w="2977" w:type="dxa"/>
          </w:tcPr>
          <w:p w14:paraId="4C5F3A40" w14:textId="5D7E2A1B" w:rsidR="00141338" w:rsidRPr="003365E2" w:rsidRDefault="003209FF" w:rsidP="00141338">
            <w:pPr>
              <w:pStyle w:val="Tabletext"/>
              <w:rPr>
                <w:lang w:eastAsia="en-AU"/>
              </w:rPr>
            </w:pPr>
            <w:r w:rsidRPr="003209FF">
              <w:rPr>
                <w:lang w:eastAsia="en-AU"/>
              </w:rPr>
              <w:t>+1.8 weeks</w:t>
            </w:r>
          </w:p>
        </w:tc>
      </w:tr>
      <w:tr w:rsidR="00141338" w14:paraId="4E99FFA0" w14:textId="77777777" w:rsidTr="005F688D">
        <w:tc>
          <w:tcPr>
            <w:tcW w:w="2670" w:type="dxa"/>
          </w:tcPr>
          <w:p w14:paraId="52AAAE7B" w14:textId="77777777" w:rsidR="00141338" w:rsidRDefault="00141338" w:rsidP="00141338">
            <w:pPr>
              <w:pStyle w:val="Tabletext"/>
              <w:rPr>
                <w:lang w:eastAsia="en-AU"/>
              </w:rPr>
            </w:pPr>
            <w:r w:rsidRPr="00406DA3">
              <w:rPr>
                <w:lang w:eastAsia="en-AU"/>
              </w:rPr>
              <w:t>Universities</w:t>
            </w:r>
          </w:p>
        </w:tc>
        <w:tc>
          <w:tcPr>
            <w:tcW w:w="1854" w:type="dxa"/>
          </w:tcPr>
          <w:p w14:paraId="59EE0696" w14:textId="1DE8371A" w:rsidR="00141338" w:rsidRPr="003365E2" w:rsidRDefault="003209FF" w:rsidP="00141338">
            <w:pPr>
              <w:pStyle w:val="Tabletext"/>
              <w:rPr>
                <w:lang w:eastAsia="en-AU"/>
              </w:rPr>
            </w:pPr>
            <w:r w:rsidRPr="003209FF">
              <w:rPr>
                <w:lang w:eastAsia="en-AU"/>
              </w:rPr>
              <w:t>4.7</w:t>
            </w:r>
          </w:p>
        </w:tc>
        <w:tc>
          <w:tcPr>
            <w:tcW w:w="1855" w:type="dxa"/>
          </w:tcPr>
          <w:p w14:paraId="1B7F9A50" w14:textId="511FD27C" w:rsidR="00141338" w:rsidRPr="003365E2" w:rsidRDefault="003209FF" w:rsidP="00141338">
            <w:pPr>
              <w:pStyle w:val="Tabletext"/>
              <w:rPr>
                <w:lang w:eastAsia="en-AU"/>
              </w:rPr>
            </w:pPr>
            <w:r w:rsidRPr="003209FF">
              <w:rPr>
                <w:lang w:eastAsia="en-AU"/>
              </w:rPr>
              <w:t>8.3</w:t>
            </w:r>
          </w:p>
        </w:tc>
        <w:tc>
          <w:tcPr>
            <w:tcW w:w="2977" w:type="dxa"/>
          </w:tcPr>
          <w:p w14:paraId="094F9F2C" w14:textId="756B60BC" w:rsidR="00141338" w:rsidRPr="003365E2" w:rsidRDefault="003209FF" w:rsidP="00141338">
            <w:pPr>
              <w:pStyle w:val="Tabletext"/>
              <w:rPr>
                <w:lang w:eastAsia="en-AU"/>
              </w:rPr>
            </w:pPr>
            <w:r w:rsidRPr="003209FF">
              <w:rPr>
                <w:lang w:eastAsia="en-AU"/>
              </w:rPr>
              <w:t>+3.6 weeks</w:t>
            </w:r>
          </w:p>
        </w:tc>
      </w:tr>
      <w:tr w:rsidR="00141338" w14:paraId="5DDFB32F" w14:textId="77777777" w:rsidTr="005F688D">
        <w:tc>
          <w:tcPr>
            <w:tcW w:w="2670" w:type="dxa"/>
          </w:tcPr>
          <w:p w14:paraId="04F07026" w14:textId="5B8EB6FB" w:rsidR="00141338" w:rsidRPr="00406DA3" w:rsidRDefault="00141338" w:rsidP="00141338">
            <w:pPr>
              <w:pStyle w:val="Tabletext"/>
              <w:rPr>
                <w:lang w:eastAsia="en-AU"/>
              </w:rPr>
            </w:pPr>
            <w:r w:rsidRPr="00406DA3">
              <w:rPr>
                <w:lang w:eastAsia="en-AU"/>
              </w:rPr>
              <w:t xml:space="preserve">Victorian </w:t>
            </w:r>
            <w:r w:rsidR="006276DF">
              <w:rPr>
                <w:lang w:eastAsia="en-AU"/>
              </w:rPr>
              <w:t>P</w:t>
            </w:r>
            <w:r w:rsidRPr="00406DA3">
              <w:rPr>
                <w:lang w:eastAsia="en-AU"/>
              </w:rPr>
              <w:t xml:space="preserve">ublic </w:t>
            </w:r>
            <w:r w:rsidR="006276DF">
              <w:rPr>
                <w:lang w:eastAsia="en-AU"/>
              </w:rPr>
              <w:t>S</w:t>
            </w:r>
            <w:r w:rsidRPr="00406DA3">
              <w:rPr>
                <w:lang w:eastAsia="en-AU"/>
              </w:rPr>
              <w:t>ervice</w:t>
            </w:r>
          </w:p>
        </w:tc>
        <w:tc>
          <w:tcPr>
            <w:tcW w:w="1854" w:type="dxa"/>
          </w:tcPr>
          <w:p w14:paraId="20B7ABC2" w14:textId="2B255A3A" w:rsidR="00141338" w:rsidRPr="003365E2" w:rsidRDefault="00F67F7C" w:rsidP="00141338">
            <w:pPr>
              <w:pStyle w:val="Tabletext"/>
              <w:rPr>
                <w:lang w:eastAsia="en-AU"/>
              </w:rPr>
            </w:pPr>
            <w:r w:rsidRPr="00F67F7C">
              <w:rPr>
                <w:lang w:eastAsia="en-AU"/>
              </w:rPr>
              <w:t>5.6</w:t>
            </w:r>
          </w:p>
        </w:tc>
        <w:tc>
          <w:tcPr>
            <w:tcW w:w="1855" w:type="dxa"/>
          </w:tcPr>
          <w:p w14:paraId="414503F9" w14:textId="59B538FF" w:rsidR="00141338" w:rsidRPr="003365E2" w:rsidRDefault="00F67F7C" w:rsidP="00141338">
            <w:pPr>
              <w:pStyle w:val="Tabletext"/>
              <w:rPr>
                <w:lang w:eastAsia="en-AU"/>
              </w:rPr>
            </w:pPr>
            <w:r w:rsidRPr="00F67F7C">
              <w:rPr>
                <w:lang w:eastAsia="en-AU"/>
              </w:rPr>
              <w:t>5.5</w:t>
            </w:r>
          </w:p>
        </w:tc>
        <w:tc>
          <w:tcPr>
            <w:tcW w:w="2977" w:type="dxa"/>
          </w:tcPr>
          <w:p w14:paraId="0FB640C6" w14:textId="2F3406FD" w:rsidR="00141338" w:rsidRPr="003365E2" w:rsidRDefault="00F67F7C" w:rsidP="00141338">
            <w:pPr>
              <w:pStyle w:val="Tabletext"/>
              <w:rPr>
                <w:lang w:eastAsia="en-AU"/>
              </w:rPr>
            </w:pPr>
            <w:r w:rsidRPr="00F67F7C">
              <w:rPr>
                <w:lang w:eastAsia="en-AU"/>
              </w:rPr>
              <w:t>-0.1 weeks</w:t>
            </w:r>
          </w:p>
        </w:tc>
      </w:tr>
      <w:tr w:rsidR="00141338" w14:paraId="269C4255" w14:textId="77777777" w:rsidTr="005F688D">
        <w:tc>
          <w:tcPr>
            <w:tcW w:w="2670" w:type="dxa"/>
          </w:tcPr>
          <w:p w14:paraId="69EA084F" w14:textId="77777777" w:rsidR="00141338" w:rsidRPr="00406DA3" w:rsidRDefault="00141338" w:rsidP="00141338">
            <w:pPr>
              <w:pStyle w:val="Tabletext"/>
              <w:rPr>
                <w:lang w:eastAsia="en-AU"/>
              </w:rPr>
            </w:pPr>
            <w:r w:rsidRPr="00406DA3">
              <w:rPr>
                <w:lang w:eastAsia="en-AU"/>
              </w:rPr>
              <w:t>Water and land management</w:t>
            </w:r>
          </w:p>
        </w:tc>
        <w:tc>
          <w:tcPr>
            <w:tcW w:w="1854" w:type="dxa"/>
          </w:tcPr>
          <w:p w14:paraId="097F4E2A" w14:textId="3D7830E1" w:rsidR="00141338" w:rsidRPr="003365E2" w:rsidRDefault="00F67F7C" w:rsidP="00141338">
            <w:pPr>
              <w:pStyle w:val="Tabletext"/>
              <w:rPr>
                <w:lang w:eastAsia="en-AU"/>
              </w:rPr>
            </w:pPr>
            <w:r w:rsidRPr="00F67F7C">
              <w:rPr>
                <w:lang w:eastAsia="en-AU"/>
              </w:rPr>
              <w:t>5.0</w:t>
            </w:r>
          </w:p>
        </w:tc>
        <w:tc>
          <w:tcPr>
            <w:tcW w:w="1855" w:type="dxa"/>
          </w:tcPr>
          <w:p w14:paraId="73E66404" w14:textId="6ED4638C" w:rsidR="00141338" w:rsidRPr="003365E2" w:rsidRDefault="00F67F7C" w:rsidP="00141338">
            <w:pPr>
              <w:pStyle w:val="Tabletext"/>
              <w:rPr>
                <w:lang w:eastAsia="en-AU"/>
              </w:rPr>
            </w:pPr>
            <w:r w:rsidRPr="00F67F7C">
              <w:rPr>
                <w:lang w:eastAsia="en-AU"/>
              </w:rPr>
              <w:t>8.6</w:t>
            </w:r>
          </w:p>
        </w:tc>
        <w:tc>
          <w:tcPr>
            <w:tcW w:w="2977" w:type="dxa"/>
          </w:tcPr>
          <w:p w14:paraId="6897E796" w14:textId="60CBCBC7" w:rsidR="00141338" w:rsidRPr="003365E2" w:rsidRDefault="00F67F7C" w:rsidP="00141338">
            <w:pPr>
              <w:pStyle w:val="Tabletext"/>
              <w:rPr>
                <w:lang w:eastAsia="en-AU"/>
              </w:rPr>
            </w:pPr>
            <w:r w:rsidRPr="00F67F7C">
              <w:rPr>
                <w:lang w:eastAsia="en-AU"/>
              </w:rPr>
              <w:t>+3.6 weeks</w:t>
            </w:r>
          </w:p>
        </w:tc>
      </w:tr>
    </w:tbl>
    <w:p w14:paraId="6053672D" w14:textId="77777777" w:rsidR="00300094" w:rsidRDefault="00300094" w:rsidP="00300094">
      <w:pPr>
        <w:pStyle w:val="Tablefigurenote"/>
      </w:pPr>
      <w:r w:rsidRPr="00136D6E">
        <w:t>Source: Workplace gender audit workforce data, 2021</w:t>
      </w:r>
      <w:r>
        <w:t>, 2023 and 2025.</w:t>
      </w:r>
    </w:p>
    <w:p w14:paraId="5FDA0829" w14:textId="3CE871A4" w:rsidR="00300094" w:rsidRDefault="004C3436" w:rsidP="004444B7">
      <w:pPr>
        <w:pStyle w:val="Tablefigurenote"/>
      </w:pPr>
      <w:r>
        <w:t xml:space="preserve">Notes: </w:t>
      </w:r>
      <w:r w:rsidRPr="00AE1037">
        <w:t xml:space="preserve">The </w:t>
      </w:r>
      <w:r>
        <w:t xml:space="preserve">number of weeks </w:t>
      </w:r>
      <w:r w:rsidRPr="00AE1037">
        <w:t>change column may not always reflect the exact difference between years due to rounding</w:t>
      </w:r>
      <w:r>
        <w:t>.</w:t>
      </w:r>
    </w:p>
    <w:p w14:paraId="1DCA068D" w14:textId="2580C6F1" w:rsidR="007150FC" w:rsidRDefault="00280AAC" w:rsidP="009A3C55">
      <w:pPr>
        <w:pStyle w:val="Heading3"/>
      </w:pPr>
      <w:r>
        <w:t>Signs of progress</w:t>
      </w:r>
    </w:p>
    <w:p w14:paraId="70335671" w14:textId="2F29F052" w:rsidR="00B35BC3" w:rsidRDefault="00B35BC3" w:rsidP="00B35BC3">
      <w:pPr>
        <w:pStyle w:val="Heading4"/>
      </w:pPr>
      <w:r>
        <w:t>Industry breakdowns show</w:t>
      </w:r>
      <w:r w:rsidR="00B41FAB">
        <w:t>ed</w:t>
      </w:r>
      <w:r>
        <w:t xml:space="preserve"> positive trends in parental leave</w:t>
      </w:r>
    </w:p>
    <w:p w14:paraId="7C88303F" w14:textId="1CDB68FC" w:rsidR="00B35BC3" w:rsidRDefault="00B35BC3" w:rsidP="0078531C">
      <w:pPr>
        <w:pStyle w:val="BodyText"/>
      </w:pPr>
      <w:r>
        <w:t>Men</w:t>
      </w:r>
      <w:r w:rsidR="002F55AB">
        <w:t>’</w:t>
      </w:r>
      <w:r>
        <w:t xml:space="preserve">s uptake of parental leave improved across </w:t>
      </w:r>
      <w:r w:rsidR="00281771">
        <w:t>6</w:t>
      </w:r>
      <w:r>
        <w:t xml:space="preserve"> out of 11 industries</w:t>
      </w:r>
      <w:r w:rsidR="001676CA" w:rsidRPr="001676CA">
        <w:t xml:space="preserve"> </w:t>
      </w:r>
      <w:r w:rsidR="001676CA">
        <w:t>between 2023 and 2025</w:t>
      </w:r>
      <w:r>
        <w:t>. The greatest increase was in c</w:t>
      </w:r>
      <w:r w:rsidRPr="00FE52F4">
        <w:t xml:space="preserve">ommunity and </w:t>
      </w:r>
      <w:r>
        <w:t>c</w:t>
      </w:r>
      <w:r w:rsidRPr="00FE52F4">
        <w:t>ultural</w:t>
      </w:r>
      <w:r>
        <w:t xml:space="preserve"> services, </w:t>
      </w:r>
      <w:r w:rsidR="006974AF">
        <w:t>where</w:t>
      </w:r>
      <w:r>
        <w:t xml:space="preserve"> the average duration of </w:t>
      </w:r>
      <w:r w:rsidRPr="00C27278">
        <w:t>men</w:t>
      </w:r>
      <w:r w:rsidR="002F55AB">
        <w:t>’</w:t>
      </w:r>
      <w:r>
        <w:t xml:space="preserve">s parental leave </w:t>
      </w:r>
      <w:r w:rsidR="006974AF">
        <w:t>increased</w:t>
      </w:r>
      <w:r>
        <w:t xml:space="preserve"> by </w:t>
      </w:r>
      <w:r w:rsidRPr="00C27278">
        <w:t>4.2</w:t>
      </w:r>
      <w:r>
        <w:t xml:space="preserve"> </w:t>
      </w:r>
      <w:r w:rsidRPr="00FE52F4">
        <w:t>week</w:t>
      </w:r>
      <w:r>
        <w:t xml:space="preserve">s. This was followed by water and land management and universities, </w:t>
      </w:r>
      <w:r w:rsidR="006974AF">
        <w:t xml:space="preserve">where </w:t>
      </w:r>
      <w:r>
        <w:t>men</w:t>
      </w:r>
      <w:r w:rsidR="002F55AB">
        <w:t>’</w:t>
      </w:r>
      <w:r>
        <w:t>s uptake increased</w:t>
      </w:r>
      <w:r w:rsidDel="00FA24F6">
        <w:t xml:space="preserve"> </w:t>
      </w:r>
      <w:r>
        <w:t>by 3.6 weeks. Other improvements were achieved in TAFE and other education (up 2.1 weeks), transport (up 1.8 weeks</w:t>
      </w:r>
      <w:r w:rsidR="00CC7D1D">
        <w:t>),</w:t>
      </w:r>
      <w:r>
        <w:t xml:space="preserve"> and local government (up 1.1 weeks).</w:t>
      </w:r>
    </w:p>
    <w:p w14:paraId="0FAFE331" w14:textId="7F273A93" w:rsidR="00B35BC3" w:rsidRPr="00FE52F4" w:rsidRDefault="00B35BC3" w:rsidP="0078531C">
      <w:pPr>
        <w:pStyle w:val="BodyText"/>
      </w:pPr>
      <w:r w:rsidRPr="00FE52F4">
        <w:t>Industries w</w:t>
      </w:r>
      <w:r>
        <w:t>h</w:t>
      </w:r>
      <w:r w:rsidRPr="00FE52F4">
        <w:t>ere men</w:t>
      </w:r>
      <w:r w:rsidR="002F55AB">
        <w:t>’</w:t>
      </w:r>
      <w:r w:rsidRPr="00FE52F4">
        <w:t xml:space="preserve">s uptake of parental leave </w:t>
      </w:r>
      <w:r>
        <w:t>declined significantly between 2023 and 2025</w:t>
      </w:r>
      <w:r w:rsidRPr="00FE52F4">
        <w:t xml:space="preserve"> include: </w:t>
      </w:r>
    </w:p>
    <w:p w14:paraId="69AB7D7B" w14:textId="77777777" w:rsidR="00B35BC3" w:rsidRPr="00FE52F4" w:rsidRDefault="00B35BC3" w:rsidP="00B35BC3">
      <w:pPr>
        <w:pStyle w:val="Bullet1"/>
      </w:pPr>
      <w:r>
        <w:t>public health care (-7.9 weeks)</w:t>
      </w:r>
    </w:p>
    <w:p w14:paraId="72F9B7BD" w14:textId="5F86D947" w:rsidR="00B35BC3" w:rsidRDefault="00B35BC3" w:rsidP="00B35BC3">
      <w:pPr>
        <w:pStyle w:val="Bullet1"/>
      </w:pPr>
      <w:r w:rsidRPr="00FE52F4">
        <w:t xml:space="preserve">police and emergency </w:t>
      </w:r>
      <w:r w:rsidR="002051E2">
        <w:t>services</w:t>
      </w:r>
      <w:r w:rsidRPr="00FE52F4">
        <w:t xml:space="preserve"> </w:t>
      </w:r>
      <w:r>
        <w:t>(-6.2 weeks).</w:t>
      </w:r>
    </w:p>
    <w:p w14:paraId="1913BE7A" w14:textId="1EFF12CA" w:rsidR="00DE5E41" w:rsidRDefault="00B35BC3" w:rsidP="00DE5E41">
      <w:pPr>
        <w:pStyle w:val="Bodyafterbullets"/>
      </w:pPr>
      <w:r>
        <w:t xml:space="preserve">These mixed results </w:t>
      </w:r>
      <w:r w:rsidR="00DE5E41" w:rsidRPr="00DE5E41">
        <w:t>show that meaningful increases in men</w:t>
      </w:r>
      <w:r w:rsidR="002F55AB">
        <w:t>’</w:t>
      </w:r>
      <w:r w:rsidR="00DE5E41" w:rsidRPr="00DE5E41">
        <w:t>s leave-taking are achievable and are already happening in much of the sector. The task is to understand why some large industries moved sharply in the other direction, and to spread the conditions that are working elsewhere.</w:t>
      </w:r>
    </w:p>
    <w:p w14:paraId="0CDCC97D" w14:textId="7513CE40" w:rsidR="00AE3B22" w:rsidRPr="00AE3B22" w:rsidRDefault="00AE3B22" w:rsidP="00AE3B22">
      <w:pPr>
        <w:pStyle w:val="Heading4"/>
      </w:pPr>
      <w:r w:rsidRPr="00AE3B22">
        <w:t xml:space="preserve">More men worked flexibly, narrowing the </w:t>
      </w:r>
      <w:r w:rsidR="00157BCD">
        <w:t xml:space="preserve">gender </w:t>
      </w:r>
      <w:r w:rsidRPr="00AE3B22">
        <w:t>gap</w:t>
      </w:r>
    </w:p>
    <w:p w14:paraId="0D2A7B28" w14:textId="3B26CF0A" w:rsidR="00AE3B22" w:rsidRPr="00AE3B22" w:rsidRDefault="00AE3B22" w:rsidP="0078531C">
      <w:pPr>
        <w:pStyle w:val="BodyText"/>
      </w:pPr>
      <w:r w:rsidRPr="00AE3B22">
        <w:t>Men</w:t>
      </w:r>
      <w:r w:rsidR="002F55AB">
        <w:t>’</w:t>
      </w:r>
      <w:r w:rsidRPr="00AE3B22">
        <w:t xml:space="preserve">s uptake of flexible work </w:t>
      </w:r>
      <w:r w:rsidR="004D073D">
        <w:t>increased</w:t>
      </w:r>
      <w:r w:rsidRPr="00AE3B22">
        <w:t xml:space="preserve"> to 19.6% in 2025 (up 4.7 percentage points since 2021)</w:t>
      </w:r>
      <w:r w:rsidR="005F2BFC">
        <w:t>. W</w:t>
      </w:r>
      <w:r w:rsidRPr="00AE3B22">
        <w:t>omen</w:t>
      </w:r>
      <w:r w:rsidR="002F55AB">
        <w:t>’</w:t>
      </w:r>
      <w:r w:rsidRPr="00AE3B22">
        <w:t xml:space="preserve">s </w:t>
      </w:r>
      <w:r w:rsidR="004D073D">
        <w:t>increased</w:t>
      </w:r>
      <w:r w:rsidRPr="00AE3B22">
        <w:t xml:space="preserve"> to 27.1% (up 3.4 points)</w:t>
      </w:r>
      <w:r w:rsidR="008C794C">
        <w:t xml:space="preserve">. This </w:t>
      </w:r>
      <w:r w:rsidRPr="00AE3B22">
        <w:t>narrow</w:t>
      </w:r>
      <w:r w:rsidR="008C794C">
        <w:t>ed</w:t>
      </w:r>
      <w:r w:rsidRPr="00AE3B22">
        <w:t xml:space="preserve"> the gender gap</w:t>
      </w:r>
      <w:r w:rsidR="008C794C">
        <w:t xml:space="preserve"> in flexible work</w:t>
      </w:r>
      <w:r w:rsidRPr="00AE3B22">
        <w:t xml:space="preserve">. The Commission gave flexible work a holistic rating of </w:t>
      </w:r>
      <w:r w:rsidR="002F55AB">
        <w:t>‘</w:t>
      </w:r>
      <w:r w:rsidRPr="00AE3B22">
        <w:t>moderate</w:t>
      </w:r>
      <w:r w:rsidR="002F55AB">
        <w:t>’</w:t>
      </w:r>
      <w:r w:rsidRPr="00AE3B22">
        <w:t>, because both groups increased their uptake, men</w:t>
      </w:r>
      <w:r w:rsidR="002F55AB">
        <w:t>’</w:t>
      </w:r>
      <w:r w:rsidRPr="00AE3B22">
        <w:t xml:space="preserve">s grew </w:t>
      </w:r>
      <w:r w:rsidR="005F2BFC">
        <w:t>more</w:t>
      </w:r>
      <w:r w:rsidRPr="00AE3B22">
        <w:t>, and the gap is closing.</w:t>
      </w:r>
    </w:p>
    <w:p w14:paraId="31C37098" w14:textId="7C1BC144" w:rsidR="00AE3B22" w:rsidRDefault="00AE3B22" w:rsidP="0078531C">
      <w:pPr>
        <w:pStyle w:val="BodyText"/>
      </w:pPr>
      <w:r w:rsidRPr="00AE3B22">
        <w:t>This is a more meaningful marker of progress than it might first appear. Higher flexible</w:t>
      </w:r>
      <w:r w:rsidR="0040748D">
        <w:t xml:space="preserve"> </w:t>
      </w:r>
      <w:r w:rsidRPr="00AE3B22">
        <w:t>work uptake among women supports their workforce participation, but men</w:t>
      </w:r>
      <w:r w:rsidR="002F55AB">
        <w:t>’</w:t>
      </w:r>
      <w:r w:rsidRPr="00AE3B22">
        <w:t>s uptake is the clearer signal of structural change</w:t>
      </w:r>
      <w:r w:rsidR="00F72217">
        <w:t>. This is</w:t>
      </w:r>
      <w:r w:rsidRPr="00AE3B22">
        <w:t xml:space="preserve"> because it suggests men are taking on more of the responsibility for care and domestic life (see, for example, Eikhof 2012; Elson 2017).</w:t>
      </w:r>
    </w:p>
    <w:p w14:paraId="6481835B" w14:textId="4FD23960" w:rsidR="00FC0A7D" w:rsidRPr="00FC0A7D" w:rsidRDefault="00FC0A7D" w:rsidP="00FC0A7D">
      <w:pPr>
        <w:pStyle w:val="Heading4"/>
      </w:pPr>
      <w:r w:rsidRPr="00FC0A7D">
        <w:t>More women and men accessed carer</w:t>
      </w:r>
      <w:r w:rsidR="002F55AB">
        <w:t>’</w:t>
      </w:r>
      <w:r w:rsidRPr="00FC0A7D">
        <w:t>s leave</w:t>
      </w:r>
    </w:p>
    <w:p w14:paraId="41EA8991" w14:textId="1C0F7135" w:rsidR="00FC0A7D" w:rsidRPr="00AE3B22" w:rsidRDefault="00830C40" w:rsidP="0078531C">
      <w:pPr>
        <w:pStyle w:val="BodyText"/>
      </w:pPr>
      <w:r>
        <w:t>The proportion of</w:t>
      </w:r>
      <w:r w:rsidR="00FC0A7D" w:rsidRPr="00FC0A7D">
        <w:t xml:space="preserve"> both women and men </w:t>
      </w:r>
      <w:r w:rsidR="009B0BB2">
        <w:t>using</w:t>
      </w:r>
      <w:r>
        <w:t xml:space="preserve"> carer’s leave grew</w:t>
      </w:r>
      <w:r w:rsidR="00FC0A7D" w:rsidRPr="00FC0A7D">
        <w:t xml:space="preserve"> between 2021 and 2025 to 38.4% of women (up 8.5 points) and 34.2% of men (up 6.3 points). Further research </w:t>
      </w:r>
      <w:r w:rsidR="00C2638F">
        <w:t>is needed to</w:t>
      </w:r>
      <w:r w:rsidR="00FC0A7D" w:rsidRPr="00FC0A7D">
        <w:t xml:space="preserve"> understand the gendered dynamics: the data shows who took carer</w:t>
      </w:r>
      <w:r w:rsidR="002F55AB">
        <w:t>’</w:t>
      </w:r>
      <w:r w:rsidR="00FC0A7D" w:rsidRPr="00FC0A7D">
        <w:t>s leave over a 12-month period, but not how often or for how long.</w:t>
      </w:r>
      <w:r w:rsidR="00C67AFA">
        <w:rPr>
          <w:rStyle w:val="FootnoteReference"/>
        </w:rPr>
        <w:footnoteReference w:id="10"/>
      </w:r>
      <w:r w:rsidR="00FC0A7D" w:rsidRPr="00FC0A7D">
        <w:t xml:space="preserve"> As with parental leave, the duration of leave taken is a crucial marker of equality in caring and is the more revealing measure.</w:t>
      </w:r>
    </w:p>
    <w:p w14:paraId="3AB7B2B9" w14:textId="1BB79DAB" w:rsidR="00B35BC3" w:rsidRPr="00E36454" w:rsidRDefault="004741D9" w:rsidP="00B35BC3">
      <w:pPr>
        <w:pStyle w:val="Heading4"/>
      </w:pPr>
      <w:r>
        <w:t>S</w:t>
      </w:r>
      <w:r w:rsidR="00B35BC3">
        <w:t>atisf</w:t>
      </w:r>
      <w:r w:rsidR="002E09E8">
        <w:t>action</w:t>
      </w:r>
      <w:r w:rsidR="00B35BC3">
        <w:t xml:space="preserve"> with access to flexible work</w:t>
      </w:r>
      <w:r>
        <w:t xml:space="preserve"> increased for all genders</w:t>
      </w:r>
    </w:p>
    <w:p w14:paraId="503C16F9" w14:textId="38BF304C" w:rsidR="0066756D" w:rsidRDefault="00B35BC3" w:rsidP="0078531C">
      <w:pPr>
        <w:pStyle w:val="BodyText"/>
      </w:pPr>
      <w:r>
        <w:t xml:space="preserve">The </w:t>
      </w:r>
      <w:r w:rsidR="002F55AB">
        <w:t>‘</w:t>
      </w:r>
      <w:r>
        <w:t xml:space="preserve">workplace flexibility support </w:t>
      </w:r>
      <w:r w:rsidRPr="00C27278">
        <w:t>index</w:t>
      </w:r>
      <w:r w:rsidR="002F55AB">
        <w:t>’</w:t>
      </w:r>
      <w:r>
        <w:t xml:space="preserve"> brings together several measures from the </w:t>
      </w:r>
      <w:r w:rsidR="003022F9">
        <w:t xml:space="preserve">employee experience </w:t>
      </w:r>
      <w:r w:rsidR="003275E9">
        <w:t xml:space="preserve">survey </w:t>
      </w:r>
      <w:r w:rsidR="003022F9">
        <w:t>data</w:t>
      </w:r>
      <w:r>
        <w:t xml:space="preserve"> that relate to working flexibly.</w:t>
      </w:r>
      <w:r w:rsidR="00B82C1A">
        <w:rPr>
          <w:rStyle w:val="FootnoteReference"/>
        </w:rPr>
        <w:footnoteReference w:id="11"/>
      </w:r>
      <w:r w:rsidDel="00542A47">
        <w:t xml:space="preserve"> </w:t>
      </w:r>
      <w:r>
        <w:t xml:space="preserve">The index is measured on a 5-point scale, with anything above 4 classed as within the ideal range. </w:t>
      </w:r>
      <w:r w:rsidR="00060AF2">
        <w:t>A score of 4</w:t>
      </w:r>
      <w:r>
        <w:t xml:space="preserve"> or </w:t>
      </w:r>
      <w:r w:rsidR="00060AF2">
        <w:t>5</w:t>
      </w:r>
      <w:r w:rsidR="00737BD0">
        <w:t xml:space="preserve"> </w:t>
      </w:r>
      <w:r w:rsidR="00060AF2">
        <w:t xml:space="preserve">correlates to an answer of </w:t>
      </w:r>
      <w:r w:rsidR="002F55AB">
        <w:t>‘</w:t>
      </w:r>
      <w:r w:rsidR="00060AF2">
        <w:t>agree</w:t>
      </w:r>
      <w:r w:rsidR="002F55AB">
        <w:t>’</w:t>
      </w:r>
      <w:r w:rsidR="00060AF2">
        <w:t xml:space="preserve"> or </w:t>
      </w:r>
      <w:r w:rsidR="002F55AB">
        <w:t>‘</w:t>
      </w:r>
      <w:r w:rsidR="00060AF2">
        <w:t>strongly agree</w:t>
      </w:r>
      <w:r w:rsidR="002F55AB">
        <w:t>’</w:t>
      </w:r>
      <w:r w:rsidR="00060AF2">
        <w:t xml:space="preserve"> to the positive statements about flexible work</w:t>
      </w:r>
      <w:r w:rsidR="00060AF2" w:rsidRPr="00060AF2">
        <w:t xml:space="preserve"> </w:t>
      </w:r>
      <w:r w:rsidR="00060AF2">
        <w:t>in the survey</w:t>
      </w:r>
      <w:r>
        <w:t>.</w:t>
      </w:r>
      <w:r w:rsidR="00E26F35">
        <w:t xml:space="preserve"> </w:t>
      </w:r>
    </w:p>
    <w:p w14:paraId="3450424B" w14:textId="6444BEB3" w:rsidR="00B35BC3" w:rsidRDefault="00B35BC3" w:rsidP="0078531C">
      <w:pPr>
        <w:pStyle w:val="BodyText"/>
      </w:pPr>
      <w:r>
        <w:t>In 2025, the workplace flexibility support index was 4.</w:t>
      </w:r>
      <w:r w:rsidR="00EB4F2B">
        <w:t>2</w:t>
      </w:r>
      <w:r>
        <w:t xml:space="preserve"> for both </w:t>
      </w:r>
      <w:r w:rsidR="009C57BB">
        <w:t>women and men</w:t>
      </w:r>
      <w:r>
        <w:t>, up 0.2 since 2021.</w:t>
      </w:r>
      <w:r w:rsidR="009C57BB">
        <w:t xml:space="preserve"> Gender diverse </w:t>
      </w:r>
      <w:r w:rsidR="00593AB2">
        <w:t>employees</w:t>
      </w:r>
      <w:r w:rsidR="008432EA">
        <w:t>’</w:t>
      </w:r>
      <w:r w:rsidR="009C57BB">
        <w:t xml:space="preserve"> satisfaction rose 0.3 </w:t>
      </w:r>
      <w:r w:rsidR="002E5C24">
        <w:t xml:space="preserve">over the same period </w:t>
      </w:r>
      <w:r w:rsidR="009C57BB">
        <w:t>to 3.9.</w:t>
      </w:r>
    </w:p>
    <w:p w14:paraId="69059AFE" w14:textId="2413207C" w:rsidR="00737FD2" w:rsidRPr="003B4589" w:rsidRDefault="00B35BC3" w:rsidP="0078531C">
      <w:pPr>
        <w:pStyle w:val="BodyText"/>
      </w:pPr>
      <w:r>
        <w:t xml:space="preserve">While the workplace flexibility support index results are positive, </w:t>
      </w:r>
      <w:r w:rsidR="00D35448">
        <w:t xml:space="preserve">duty holders should </w:t>
      </w:r>
      <w:r w:rsidR="00157BCD" w:rsidRPr="00157BCD">
        <w:t>not b</w:t>
      </w:r>
      <w:r w:rsidR="00D35448">
        <w:t>e</w:t>
      </w:r>
      <w:r w:rsidR="00157BCD" w:rsidRPr="00157BCD">
        <w:t xml:space="preserve"> complace</w:t>
      </w:r>
      <w:r w:rsidR="00D35448">
        <w:t>nt</w:t>
      </w:r>
      <w:r w:rsidR="00157BCD" w:rsidRPr="00157BCD">
        <w:t>. Some public sector roles cannot be performed from home, and for frontline and client-facing work employers need to find other ways to offer flexibility. Sustaining and broadening access so flexibility is genuinely available across all roles and levels, not only those easily done remotely</w:t>
      </w:r>
      <w:r w:rsidR="00881C0E">
        <w:t>,</w:t>
      </w:r>
      <w:r w:rsidR="00157BCD" w:rsidRPr="00157BCD">
        <w:t xml:space="preserve"> remains important.</w:t>
      </w:r>
    </w:p>
    <w:p w14:paraId="28BA7630" w14:textId="585CC8C4" w:rsidR="005324AE" w:rsidRDefault="00280AAC" w:rsidP="005F688D">
      <w:pPr>
        <w:pStyle w:val="Heading3"/>
      </w:pPr>
      <w:r>
        <w:t>Areas for attention</w:t>
      </w:r>
    </w:p>
    <w:p w14:paraId="07285715" w14:textId="6D2B1ED4" w:rsidR="00BF453E" w:rsidRPr="002E2DF0" w:rsidRDefault="00BF453E" w:rsidP="00BF453E">
      <w:pPr>
        <w:pStyle w:val="Heading4"/>
      </w:pPr>
      <w:r>
        <w:t xml:space="preserve">The </w:t>
      </w:r>
      <w:r w:rsidR="00E63C83">
        <w:t>whole-of-sector</w:t>
      </w:r>
      <w:r>
        <w:t xml:space="preserve"> gap </w:t>
      </w:r>
      <w:r w:rsidR="00E63835">
        <w:t>in</w:t>
      </w:r>
      <w:r w:rsidRPr="00C27278">
        <w:t xml:space="preserve"> </w:t>
      </w:r>
      <w:r w:rsidR="00E63835">
        <w:t xml:space="preserve">the duration of </w:t>
      </w:r>
      <w:r>
        <w:t>women</w:t>
      </w:r>
      <w:r w:rsidR="002F55AB">
        <w:t>’</w:t>
      </w:r>
      <w:r>
        <w:t>s and men</w:t>
      </w:r>
      <w:r w:rsidR="002F55AB">
        <w:t>’</w:t>
      </w:r>
      <w:r>
        <w:t>s parental leave increased</w:t>
      </w:r>
    </w:p>
    <w:p w14:paraId="168362F2" w14:textId="372B4CC1" w:rsidR="00171013" w:rsidRPr="00171013" w:rsidRDefault="00171013" w:rsidP="0078531C">
      <w:pPr>
        <w:pStyle w:val="BodyText"/>
      </w:pPr>
      <w:r w:rsidRPr="00171013">
        <w:t>At the sector level, the average duration of parental leave taken by men fell between 2023 and 2025</w:t>
      </w:r>
      <w:r w:rsidR="004D791E">
        <w:t>. At the same time</w:t>
      </w:r>
      <w:r w:rsidRPr="00171013">
        <w:t>, women</w:t>
      </w:r>
      <w:r w:rsidR="002F55AB">
        <w:t>’</w:t>
      </w:r>
      <w:r w:rsidRPr="00171013">
        <w:t>s rose slightly</w:t>
      </w:r>
      <w:r w:rsidR="006D237D">
        <w:t xml:space="preserve">. This resulted in </w:t>
      </w:r>
      <w:r w:rsidR="009A3856">
        <w:t xml:space="preserve">a </w:t>
      </w:r>
      <w:r w:rsidRPr="00171013">
        <w:t>wide</w:t>
      </w:r>
      <w:r w:rsidR="009A3856">
        <w:t>r</w:t>
      </w:r>
      <w:r w:rsidRPr="00171013">
        <w:t xml:space="preserve"> gender gap. The scale of the imbalance is stark</w:t>
      </w:r>
      <w:r w:rsidR="00E75426">
        <w:t>.</w:t>
      </w:r>
      <w:r w:rsidRPr="00171013">
        <w:t xml:space="preserve"> </w:t>
      </w:r>
      <w:r w:rsidR="00E75426">
        <w:t>F</w:t>
      </w:r>
      <w:r w:rsidRPr="00171013">
        <w:t>or every week of parental leave women took in 2023, men took around a third of a week</w:t>
      </w:r>
      <w:r w:rsidR="00E75426">
        <w:t>.</w:t>
      </w:r>
      <w:r w:rsidRPr="00171013">
        <w:t xml:space="preserve"> </w:t>
      </w:r>
      <w:r w:rsidR="00E75426">
        <w:t>B</w:t>
      </w:r>
      <w:r w:rsidRPr="00171013">
        <w:t xml:space="preserve">y 2025, </w:t>
      </w:r>
      <w:r w:rsidR="002F2631">
        <w:t>this fe</w:t>
      </w:r>
      <w:r w:rsidR="003B6F05">
        <w:t>l</w:t>
      </w:r>
      <w:r w:rsidR="002F2631">
        <w:t>l to</w:t>
      </w:r>
      <w:r w:rsidRPr="00171013">
        <w:t xml:space="preserve"> around a fifth</w:t>
      </w:r>
      <w:r w:rsidR="00037C05">
        <w:t xml:space="preserve"> of a week</w:t>
      </w:r>
      <w:r w:rsidRPr="00171013">
        <w:t>.</w:t>
      </w:r>
    </w:p>
    <w:p w14:paraId="38EDDC69" w14:textId="08D41320" w:rsidR="009D0240" w:rsidRPr="009D0240" w:rsidRDefault="00171013" w:rsidP="0078531C">
      <w:pPr>
        <w:pStyle w:val="BodyText"/>
      </w:pPr>
      <w:r w:rsidRPr="00171013">
        <w:t>This decline came despite more supportive parental leave provisions in many enterprise agreements and policies</w:t>
      </w:r>
      <w:r w:rsidR="0079034B">
        <w:t>.</w:t>
      </w:r>
      <w:r w:rsidRPr="00171013">
        <w:t xml:space="preserve"> </w:t>
      </w:r>
      <w:r w:rsidR="0079034B">
        <w:t>F</w:t>
      </w:r>
      <w:r w:rsidRPr="00171013">
        <w:t>or example</w:t>
      </w:r>
      <w:r w:rsidR="0079034B">
        <w:t xml:space="preserve">, recent years have seen a </w:t>
      </w:r>
      <w:r w:rsidR="0079034B" w:rsidRPr="00D25D44">
        <w:t>national</w:t>
      </w:r>
      <w:r w:rsidR="0079034B">
        <w:t xml:space="preserve"> focus on encouraging parents of all genders to take parental leave, alongside a marked improvement in government-funded parental leave provisions (Prime Minister and Cabinet 2024). </w:t>
      </w:r>
      <w:r w:rsidR="002A3A33">
        <w:t>In addition, t</w:t>
      </w:r>
      <w:r w:rsidR="0079034B">
        <w:t xml:space="preserve">he </w:t>
      </w:r>
      <w:r w:rsidR="002A3A33">
        <w:t>most recent</w:t>
      </w:r>
      <w:r w:rsidR="0079034B">
        <w:t xml:space="preserve"> </w:t>
      </w:r>
      <w:hyperlink r:id="rId52" w:history="1">
        <w:r w:rsidR="0079034B" w:rsidRPr="00A45AC0">
          <w:rPr>
            <w:rStyle w:val="Hyperlink"/>
            <w:rFonts w:cs="Times New Roman"/>
          </w:rPr>
          <w:t xml:space="preserve">Victorian </w:t>
        </w:r>
        <w:r w:rsidR="00C40FF6">
          <w:rPr>
            <w:rStyle w:val="Hyperlink"/>
            <w:rFonts w:cs="Times New Roman"/>
          </w:rPr>
          <w:t>P</w:t>
        </w:r>
        <w:r w:rsidR="0079034B" w:rsidRPr="00A45AC0">
          <w:rPr>
            <w:rStyle w:val="Hyperlink"/>
            <w:rFonts w:cs="Times New Roman"/>
          </w:rPr>
          <w:t xml:space="preserve">ublic </w:t>
        </w:r>
        <w:r w:rsidR="00C40FF6">
          <w:rPr>
            <w:rStyle w:val="Hyperlink"/>
            <w:rFonts w:cs="Times New Roman"/>
          </w:rPr>
          <w:t>S</w:t>
        </w:r>
        <w:r w:rsidR="0079034B" w:rsidRPr="00A45AC0">
          <w:rPr>
            <w:rStyle w:val="Hyperlink"/>
            <w:rFonts w:cs="Times New Roman"/>
          </w:rPr>
          <w:t>ervice enterprise agreement</w:t>
        </w:r>
      </w:hyperlink>
      <w:r w:rsidR="0079034B">
        <w:t xml:space="preserve"> included improved parental leave provisions</w:t>
      </w:r>
      <w:r w:rsidR="002A3A33">
        <w:t>.</w:t>
      </w:r>
      <w:r w:rsidR="00E62E4E" w:rsidRPr="00D25D44">
        <w:t xml:space="preserve"> </w:t>
      </w:r>
      <w:r w:rsidR="009D0240" w:rsidRPr="009D0240">
        <w:t>When entitlements improve but men</w:t>
      </w:r>
      <w:r w:rsidR="002F55AB">
        <w:t>’</w:t>
      </w:r>
      <w:r w:rsidR="009D0240" w:rsidRPr="009D0240">
        <w:t>s uptake falls, the barrier is cultural rather than structural</w:t>
      </w:r>
      <w:r w:rsidR="0000109C">
        <w:t>.</w:t>
      </w:r>
      <w:r w:rsidR="009D0240" w:rsidRPr="009D0240">
        <w:t xml:space="preserve"> </w:t>
      </w:r>
      <w:r w:rsidR="0000109C">
        <w:t>M</w:t>
      </w:r>
      <w:r w:rsidR="009D0240" w:rsidRPr="009D0240">
        <w:t xml:space="preserve">en are not taking leave that is increasingly available to them. The Commission assigned a holistic rating of </w:t>
      </w:r>
      <w:r w:rsidR="002F55AB">
        <w:t>‘</w:t>
      </w:r>
      <w:r w:rsidR="009D0240" w:rsidRPr="009D0240">
        <w:t>poor</w:t>
      </w:r>
      <w:r w:rsidR="002F55AB">
        <w:t>’</w:t>
      </w:r>
      <w:r w:rsidR="009D0240" w:rsidRPr="009D0240">
        <w:t xml:space="preserve"> to parental leave, reflecting both the fall in men</w:t>
      </w:r>
      <w:r w:rsidR="002F55AB">
        <w:t>’</w:t>
      </w:r>
      <w:r w:rsidR="009D0240" w:rsidRPr="009D0240">
        <w:t xml:space="preserve">s uptake and the widening </w:t>
      </w:r>
      <w:r w:rsidR="00F357CA">
        <w:t xml:space="preserve">gender </w:t>
      </w:r>
      <w:r w:rsidR="009D0240" w:rsidRPr="009D0240">
        <w:t xml:space="preserve">gap. Given this, parental leave will </w:t>
      </w:r>
      <w:r w:rsidR="00171B4D">
        <w:t>now</w:t>
      </w:r>
      <w:r w:rsidR="009D0240" w:rsidRPr="009D0240">
        <w:t xml:space="preserve"> be one of the Commissioner</w:t>
      </w:r>
      <w:r w:rsidR="002F55AB">
        <w:t>’</w:t>
      </w:r>
      <w:r w:rsidR="009D0240" w:rsidRPr="009D0240">
        <w:t>s regulatory priorities.</w:t>
      </w:r>
    </w:p>
    <w:p w14:paraId="182D6763" w14:textId="4DA1127E" w:rsidR="009D0240" w:rsidRPr="009D0240" w:rsidRDefault="009D0240" w:rsidP="0078531C">
      <w:pPr>
        <w:pStyle w:val="BodyText"/>
      </w:pPr>
      <w:r w:rsidRPr="009D0240">
        <w:t xml:space="preserve">The sector-level fall </w:t>
      </w:r>
      <w:r w:rsidR="00E309C4">
        <w:t>in men’s uptake of parental leave</w:t>
      </w:r>
      <w:r w:rsidR="0068297C">
        <w:t xml:space="preserve"> </w:t>
      </w:r>
      <w:r w:rsidRPr="009D0240">
        <w:t>is heavily shaped by large declines in a few major industries</w:t>
      </w:r>
      <w:r w:rsidR="00BF1619">
        <w:t xml:space="preserve">. </w:t>
      </w:r>
      <w:r w:rsidR="0078440A">
        <w:t>Most notably, this included</w:t>
      </w:r>
      <w:r w:rsidRPr="009D0240">
        <w:t xml:space="preserve"> public health care (down 7.9 weeks) and police and emergency services (down 6.2 weeks). Because public health care is one of the largest industries in the sector, a change there </w:t>
      </w:r>
      <w:r w:rsidR="000A765F">
        <w:t>can move</w:t>
      </w:r>
      <w:r w:rsidRPr="009D0240">
        <w:t xml:space="preserve"> the whole-of-sector figure substantially.</w:t>
      </w:r>
    </w:p>
    <w:p w14:paraId="55709D53" w14:textId="20E40022" w:rsidR="00592821" w:rsidRPr="00317377" w:rsidRDefault="00592821" w:rsidP="00592821">
      <w:pPr>
        <w:pStyle w:val="Heading4"/>
        <w:rPr>
          <w:rFonts w:eastAsia="Times New Roman"/>
        </w:rPr>
      </w:pPr>
      <w:r>
        <w:t xml:space="preserve">At the industry level, </w:t>
      </w:r>
      <w:r w:rsidR="00654696">
        <w:t>changes to</w:t>
      </w:r>
      <w:r>
        <w:t xml:space="preserve"> the gender gap in flexible work</w:t>
      </w:r>
      <w:r w:rsidR="00667A0F">
        <w:t xml:space="preserve"> were mixed</w:t>
      </w:r>
    </w:p>
    <w:p w14:paraId="12B2210D" w14:textId="7B60678C" w:rsidR="0003213F" w:rsidRPr="0003213F" w:rsidRDefault="0003213F" w:rsidP="0078531C">
      <w:pPr>
        <w:pStyle w:val="BodyText"/>
      </w:pPr>
      <w:r w:rsidRPr="0003213F">
        <w:t xml:space="preserve">At the whole-of-sector level the gender gap in flexible work </w:t>
      </w:r>
      <w:r w:rsidR="002414E5">
        <w:t>narrowed</w:t>
      </w:r>
      <w:r w:rsidR="002414E5" w:rsidRPr="0003213F">
        <w:t xml:space="preserve"> </w:t>
      </w:r>
      <w:r w:rsidRPr="0003213F">
        <w:t>slightly, but industry results were mixed</w:t>
      </w:r>
      <w:r w:rsidR="00AC7861">
        <w:t>. T</w:t>
      </w:r>
      <w:r w:rsidRPr="0003213F">
        <w:t xml:space="preserve">he headline </w:t>
      </w:r>
      <w:r w:rsidR="00AC7861">
        <w:t xml:space="preserve">results therefore </w:t>
      </w:r>
      <w:r w:rsidRPr="0003213F">
        <w:t xml:space="preserve">need careful </w:t>
      </w:r>
      <w:r w:rsidR="00AC7861">
        <w:t>interpretation</w:t>
      </w:r>
      <w:r w:rsidRPr="0003213F">
        <w:t xml:space="preserve">. </w:t>
      </w:r>
      <w:r w:rsidR="00C153D0">
        <w:t>In 5</w:t>
      </w:r>
      <w:r w:rsidRPr="0003213F">
        <w:t xml:space="preserve"> of 11 industries</w:t>
      </w:r>
      <w:r w:rsidR="00C153D0">
        <w:t xml:space="preserve">, </w:t>
      </w:r>
      <w:r w:rsidRPr="0003213F">
        <w:t>the gap narrowed. The largest apparent reduction, in police and emergency services (</w:t>
      </w:r>
      <w:r w:rsidR="00331975">
        <w:t xml:space="preserve">where </w:t>
      </w:r>
      <w:r w:rsidRPr="0003213F">
        <w:t xml:space="preserve">the gap </w:t>
      </w:r>
      <w:r w:rsidR="002414E5">
        <w:t>narrowed</w:t>
      </w:r>
      <w:r w:rsidR="002414E5" w:rsidRPr="0003213F">
        <w:t xml:space="preserve"> </w:t>
      </w:r>
      <w:r w:rsidRPr="0003213F">
        <w:t>by 24.9 percentage points), was driven mainly by a fall in women</w:t>
      </w:r>
      <w:r w:rsidR="002F55AB">
        <w:t>’</w:t>
      </w:r>
      <w:r w:rsidRPr="0003213F">
        <w:t>s uptake rather than a rise in men</w:t>
      </w:r>
      <w:r w:rsidR="002F55AB">
        <w:t>’</w:t>
      </w:r>
      <w:r w:rsidRPr="0003213F">
        <w:t>s</w:t>
      </w:r>
      <w:r w:rsidR="00175053">
        <w:t xml:space="preserve"> uptake of flexible work</w:t>
      </w:r>
      <w:r w:rsidR="008019ED">
        <w:t>.</w:t>
      </w:r>
      <w:r w:rsidRPr="0003213F">
        <w:t xml:space="preserve"> </w:t>
      </w:r>
      <w:r w:rsidR="00AE49F5">
        <w:t xml:space="preserve">This means </w:t>
      </w:r>
      <w:r w:rsidR="00DC7E2F">
        <w:t>the result</w:t>
      </w:r>
      <w:r w:rsidRPr="0003213F">
        <w:t xml:space="preserve"> should not be read as straightforward progress.</w:t>
      </w:r>
    </w:p>
    <w:p w14:paraId="15A85A7F" w14:textId="6DD1E7E3" w:rsidR="00592821" w:rsidRDefault="0003213F" w:rsidP="00A90D7C">
      <w:pPr>
        <w:pStyle w:val="BodyText"/>
      </w:pPr>
      <w:r w:rsidRPr="0003213F">
        <w:t>By contrast, in water and land management</w:t>
      </w:r>
      <w:r w:rsidR="002610EA">
        <w:t>,</w:t>
      </w:r>
      <w:r w:rsidRPr="0003213F">
        <w:t xml:space="preserve"> and finance and insurance</w:t>
      </w:r>
      <w:r w:rsidR="002610EA">
        <w:t>,</w:t>
      </w:r>
      <w:r w:rsidRPr="0003213F">
        <w:t xml:space="preserve"> the gap widened in favour of women</w:t>
      </w:r>
      <w:r w:rsidR="00234AB1">
        <w:t>.</w:t>
      </w:r>
      <w:r w:rsidRPr="0003213F">
        <w:t xml:space="preserve"> </w:t>
      </w:r>
      <w:r w:rsidR="00234AB1">
        <w:t>Y</w:t>
      </w:r>
      <w:r w:rsidRPr="0003213F">
        <w:t>et these industries also recorded the strongest growth in men</w:t>
      </w:r>
      <w:r w:rsidR="002F55AB">
        <w:t>’</w:t>
      </w:r>
      <w:r w:rsidRPr="0003213F">
        <w:t>s uptake (up 20.7 and 19.3 percentage points respectively). The gap widened only because women</w:t>
      </w:r>
      <w:r w:rsidR="002F55AB">
        <w:t>’</w:t>
      </w:r>
      <w:r w:rsidRPr="0003213F">
        <w:t xml:space="preserve">s uptake grew even </w:t>
      </w:r>
      <w:r w:rsidR="005F2BFC">
        <w:t>more</w:t>
      </w:r>
      <w:r w:rsidRPr="0003213F">
        <w:t xml:space="preserve"> (up 32.1 and 29.4 </w:t>
      </w:r>
      <w:r w:rsidR="00BB164E">
        <w:t xml:space="preserve">percentage </w:t>
      </w:r>
      <w:r w:rsidRPr="0003213F">
        <w:t xml:space="preserve">points). This illustrates why the gap alone </w:t>
      </w:r>
      <w:r w:rsidR="005B3CD2">
        <w:t>must be interpreted with care.</w:t>
      </w:r>
      <w:r w:rsidRPr="0003213F">
        <w:t xml:space="preserve"> </w:t>
      </w:r>
      <w:r w:rsidR="005B3CD2">
        <w:t>T</w:t>
      </w:r>
      <w:r w:rsidRPr="0003213F">
        <w:t>he same direction of movement can reflect either progress or its opposite, depending on what is driving it.</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288"/>
      </w:tblGrid>
      <w:tr w:rsidR="00D65E7E" w14:paraId="0401D9F1" w14:textId="77777777" w:rsidTr="00411302">
        <w:tc>
          <w:tcPr>
            <w:tcW w:w="9288" w:type="dxa"/>
            <w:tcBorders>
              <w:top w:val="nil"/>
              <w:left w:val="nil"/>
              <w:bottom w:val="nil"/>
              <w:right w:val="nil"/>
            </w:tcBorders>
            <w:shd w:val="clear" w:color="auto" w:fill="E3F3F9"/>
          </w:tcPr>
          <w:p w14:paraId="42359A49" w14:textId="77777777" w:rsidR="00D65E7E" w:rsidRDefault="00D65E7E" w:rsidP="005F688D">
            <w:pPr>
              <w:pStyle w:val="Heading2"/>
            </w:pPr>
            <w:bookmarkStart w:id="55" w:name="_Toc237259547"/>
            <w:r>
              <w:t>Commissioner expectations</w:t>
            </w:r>
            <w:bookmarkEnd w:id="55"/>
          </w:p>
          <w:p w14:paraId="439FD862" w14:textId="0401D9AC" w:rsidR="00A439B2" w:rsidRDefault="00A439B2" w:rsidP="00971EC4">
            <w:pPr>
              <w:pStyle w:val="Bodyafterbullets"/>
            </w:pPr>
            <w:r>
              <w:t>R</w:t>
            </w:r>
            <w:r w:rsidRPr="00A439B2">
              <w:t>educing gender inequality cannot rely solely on supporting women to participate more equally in paid work. It also requires workplaces where men are expected, supported and encouraged to take on a greater share of unpaid care.</w:t>
            </w:r>
            <w:r>
              <w:t xml:space="preserve"> </w:t>
            </w:r>
          </w:p>
          <w:p w14:paraId="7DB373A8" w14:textId="23233339" w:rsidR="00971EC4" w:rsidRPr="00971EC4" w:rsidRDefault="00971EC4" w:rsidP="00971EC4">
            <w:pPr>
              <w:pStyle w:val="Bodyafterbullets"/>
            </w:pPr>
            <w:r w:rsidRPr="00971EC4">
              <w:t xml:space="preserve">The Commissioner expects </w:t>
            </w:r>
            <w:r w:rsidR="00B263CB" w:rsidRPr="00B263CB">
              <w:t>duty holders to</w:t>
            </w:r>
            <w:r w:rsidRPr="00971EC4">
              <w:t xml:space="preserve"> increase </w:t>
            </w:r>
            <w:r w:rsidR="00B263CB" w:rsidRPr="00B263CB">
              <w:t>men</w:t>
            </w:r>
            <w:r w:rsidR="004814EC">
              <w:t>’</w:t>
            </w:r>
            <w:r w:rsidR="00B263CB" w:rsidRPr="00B263CB">
              <w:t xml:space="preserve">s uptake and </w:t>
            </w:r>
            <w:r w:rsidRPr="00971EC4">
              <w:t xml:space="preserve">duration of parental leave, and </w:t>
            </w:r>
            <w:r w:rsidR="00B263CB" w:rsidRPr="00B263CB">
              <w:t>to build workplace</w:t>
            </w:r>
            <w:r w:rsidRPr="00971EC4">
              <w:t xml:space="preserve"> cultures that genuinely support flexible work and leave-taking for people of all genders. </w:t>
            </w:r>
            <w:r w:rsidR="00B263CB" w:rsidRPr="00B263CB">
              <w:t>Taking parental leave, carer</w:t>
            </w:r>
            <w:r w:rsidR="00317535">
              <w:t>’</w:t>
            </w:r>
            <w:r w:rsidR="00B263CB" w:rsidRPr="00B263CB">
              <w:t>s leave or working flexibly should never be a barrier to career progression, leadership opportunities or access to development.</w:t>
            </w:r>
          </w:p>
          <w:p w14:paraId="6868EF70" w14:textId="45234CDB" w:rsidR="00971EC4" w:rsidRPr="00971EC4" w:rsidRDefault="00971EC4" w:rsidP="00971EC4">
            <w:pPr>
              <w:pStyle w:val="Bodyafterbullets"/>
            </w:pPr>
            <w:r w:rsidRPr="00971EC4">
              <w:t>Culture is the key lever, particularly for parental leave</w:t>
            </w:r>
            <w:r w:rsidR="00E31F33">
              <w:t>.</w:t>
            </w:r>
            <w:r w:rsidRPr="00971EC4">
              <w:t xml:space="preserve"> </w:t>
            </w:r>
            <w:r w:rsidR="00E31F33">
              <w:t>W</w:t>
            </w:r>
            <w:r w:rsidRPr="00971EC4">
              <w:t>here entitlements have improved but men</w:t>
            </w:r>
            <w:r w:rsidR="002F55AB">
              <w:t>’</w:t>
            </w:r>
            <w:r w:rsidRPr="00971EC4">
              <w:t>s uptake has fallen, the barrier lies in workplace</w:t>
            </w:r>
            <w:r w:rsidR="00A439B2">
              <w:t>, cultural and behavioural</w:t>
            </w:r>
            <w:r w:rsidRPr="00971EC4">
              <w:t xml:space="preserve"> norms, not policy. </w:t>
            </w:r>
            <w:r w:rsidR="00CC40DF" w:rsidRPr="00CC40DF">
              <w:t xml:space="preserve">Men </w:t>
            </w:r>
            <w:r w:rsidRPr="00971EC4">
              <w:t xml:space="preserve">taking </w:t>
            </w:r>
            <w:r w:rsidR="00CC40DF" w:rsidRPr="00CC40DF">
              <w:t>parental leave should</w:t>
            </w:r>
            <w:r w:rsidRPr="00971EC4">
              <w:t xml:space="preserve"> be </w:t>
            </w:r>
            <w:r w:rsidR="00CC40DF" w:rsidRPr="00CC40DF">
              <w:t>normal, visible and actively</w:t>
            </w:r>
            <w:r w:rsidRPr="00971EC4">
              <w:t xml:space="preserve"> encouraged at every level</w:t>
            </w:r>
            <w:r w:rsidR="00CC40DF" w:rsidRPr="00CC40DF">
              <w:t xml:space="preserve"> of the organisation</w:t>
            </w:r>
            <w:r w:rsidRPr="00971EC4">
              <w:t xml:space="preserve">, including among senior leaders who set the tone. Removing primary/secondary carer distinctions from parental leave policies and enterprise agreements is one </w:t>
            </w:r>
            <w:r w:rsidR="00CC40DF">
              <w:t>practical</w:t>
            </w:r>
            <w:r w:rsidRPr="00971EC4">
              <w:t xml:space="preserve"> step that supports a more equal division of care.</w:t>
            </w:r>
          </w:p>
          <w:p w14:paraId="29C519F3" w14:textId="78C0292B" w:rsidR="00971EC4" w:rsidRDefault="00971EC4" w:rsidP="00971EC4">
            <w:pPr>
              <w:pStyle w:val="Bodyafterbullets"/>
            </w:pPr>
            <w:r w:rsidRPr="00971EC4">
              <w:t xml:space="preserve">Organisations should monitor gender </w:t>
            </w:r>
            <w:r w:rsidR="008578C1" w:rsidRPr="008578C1">
              <w:t xml:space="preserve">differences </w:t>
            </w:r>
            <w:r w:rsidRPr="00971EC4">
              <w:t xml:space="preserve">in the uptake of flexible work </w:t>
            </w:r>
            <w:r w:rsidR="002A7E78">
              <w:t>and</w:t>
            </w:r>
            <w:r w:rsidRPr="00971EC4">
              <w:t xml:space="preserve"> </w:t>
            </w:r>
            <w:r w:rsidR="008578C1" w:rsidRPr="008578C1">
              <w:t>leave and interpret these patterns</w:t>
            </w:r>
            <w:r w:rsidRPr="00971EC4">
              <w:t xml:space="preserve"> carefully</w:t>
            </w:r>
            <w:r w:rsidR="002A7E78">
              <w:t>.</w:t>
            </w:r>
            <w:r w:rsidRPr="00971EC4">
              <w:t xml:space="preserve"> </w:t>
            </w:r>
            <w:r w:rsidR="008578C1" w:rsidRPr="008578C1">
              <w:t xml:space="preserve">Narrowing gender gaps </w:t>
            </w:r>
            <w:r w:rsidRPr="00971EC4">
              <w:t xml:space="preserve">can reflect </w:t>
            </w:r>
            <w:r w:rsidR="008578C1" w:rsidRPr="008578C1">
              <w:t>increased uptake by men, but they can also result from</w:t>
            </w:r>
            <w:r w:rsidRPr="00971EC4">
              <w:t xml:space="preserve"> reduced access </w:t>
            </w:r>
            <w:r w:rsidR="008578C1" w:rsidRPr="008578C1">
              <w:t>for women. Organisations should therefore ensure flexible work</w:t>
            </w:r>
            <w:r w:rsidRPr="00971EC4">
              <w:t xml:space="preserve"> is </w:t>
            </w:r>
            <w:r w:rsidR="008578C1" w:rsidRPr="008578C1">
              <w:t xml:space="preserve">genuinely </w:t>
            </w:r>
            <w:r w:rsidRPr="00971EC4">
              <w:t>available</w:t>
            </w:r>
            <w:r w:rsidR="008578C1" w:rsidRPr="008578C1">
              <w:t>, supported</w:t>
            </w:r>
            <w:r w:rsidRPr="00971EC4">
              <w:t xml:space="preserve"> and visible </w:t>
            </w:r>
            <w:r w:rsidR="008578C1" w:rsidRPr="008578C1">
              <w:t>across</w:t>
            </w:r>
            <w:r w:rsidRPr="00971EC4">
              <w:t xml:space="preserve"> all roles and levels. </w:t>
            </w:r>
          </w:p>
          <w:p w14:paraId="5E4B261C" w14:textId="6B0BE714" w:rsidR="00D65E7E" w:rsidRDefault="00971EC4" w:rsidP="00D65E7E">
            <w:pPr>
              <w:pStyle w:val="Bodyafterbullets"/>
            </w:pPr>
            <w:r w:rsidRPr="00971EC4">
              <w:t xml:space="preserve">For frontline and client-facing roles, duty holders should design </w:t>
            </w:r>
            <w:r w:rsidR="00A675BC" w:rsidRPr="00A675BC">
              <w:t xml:space="preserve">flexible work </w:t>
            </w:r>
            <w:r w:rsidRPr="00971EC4">
              <w:t>arrangements</w:t>
            </w:r>
            <w:r w:rsidR="00A675BC" w:rsidRPr="00A675BC">
              <w:t xml:space="preserve"> that respond to operational requirements while meeting the needs</w:t>
            </w:r>
            <w:r w:rsidRPr="00971EC4">
              <w:t xml:space="preserve"> of their </w:t>
            </w:r>
            <w:r w:rsidR="00A675BC" w:rsidRPr="00A675BC">
              <w:t>workforce</w:t>
            </w:r>
            <w:r w:rsidR="005203BC">
              <w:t xml:space="preserve">. Options may </w:t>
            </w:r>
            <w:r w:rsidR="00A675BC" w:rsidRPr="00A675BC">
              <w:t>includ</w:t>
            </w:r>
            <w:r w:rsidR="005203BC">
              <w:t>e</w:t>
            </w:r>
            <w:r w:rsidRPr="00971EC4">
              <w:t xml:space="preserve"> flexible hours</w:t>
            </w:r>
            <w:r w:rsidR="00A675BC" w:rsidRPr="00A675BC">
              <w:t>,</w:t>
            </w:r>
            <w:r w:rsidRPr="00971EC4">
              <w:t xml:space="preserve"> job</w:t>
            </w:r>
            <w:r w:rsidR="00A675BC" w:rsidRPr="00A675BC">
              <w:t xml:space="preserve"> sharing and other innovative models.</w:t>
            </w:r>
            <w:r w:rsidRPr="00971EC4">
              <w:t xml:space="preserve"> Above all, </w:t>
            </w:r>
            <w:r w:rsidR="00D65E7E">
              <w:t>people of all genders who work flexibly</w:t>
            </w:r>
            <w:r w:rsidRPr="00971EC4">
              <w:t xml:space="preserve"> or take </w:t>
            </w:r>
            <w:r w:rsidR="00D65E7E">
              <w:t>leave</w:t>
            </w:r>
            <w:r w:rsidRPr="00971EC4">
              <w:t xml:space="preserve"> must</w:t>
            </w:r>
            <w:r w:rsidR="00D65E7E">
              <w:t xml:space="preserve"> have the same opportunities to develop their careers</w:t>
            </w:r>
            <w:r w:rsidR="005565BB">
              <w:t>.</w:t>
            </w:r>
            <w:r w:rsidR="00D65E7E">
              <w:t xml:space="preserve"> </w:t>
            </w:r>
            <w:r w:rsidR="003A176C" w:rsidRPr="003A176C">
              <w:t>This is essential if organisations are to retain talent, reduce gender inequality and ensure employees of all genders can participate fully in both paid work and unpaid care.</w:t>
            </w:r>
          </w:p>
        </w:tc>
      </w:tr>
    </w:tbl>
    <w:p w14:paraId="62BA3E4F" w14:textId="41B6305F" w:rsidR="00071AD5" w:rsidRDefault="00071AD5" w:rsidP="00071AD5">
      <w:pPr>
        <w:pStyle w:val="Heading1"/>
      </w:pPr>
      <w:bookmarkStart w:id="56" w:name="_Indicator_7:_Gendered"/>
      <w:bookmarkStart w:id="57" w:name="_Toc237259548"/>
      <w:bookmarkEnd w:id="56"/>
      <w:r>
        <w:t>Indicator 7: Gendered segregation</w:t>
      </w:r>
      <w:bookmarkEnd w:id="57"/>
    </w:p>
    <w:p w14:paraId="1DF54274" w14:textId="77777777" w:rsidR="00071AD5" w:rsidRDefault="00071AD5" w:rsidP="00071AD5">
      <w:pPr>
        <w:pStyle w:val="Heading2"/>
      </w:pPr>
      <w:bookmarkStart w:id="58" w:name="_Toc237259549"/>
      <w:r>
        <w:t>Why this matters</w:t>
      </w:r>
      <w:bookmarkEnd w:id="58"/>
    </w:p>
    <w:p w14:paraId="4AD52582" w14:textId="34A4E89F" w:rsidR="00C97AE7" w:rsidRDefault="00D33EAC" w:rsidP="0078531C">
      <w:pPr>
        <w:pStyle w:val="BodyText"/>
      </w:pPr>
      <w:r w:rsidRPr="00D33EAC">
        <w:t xml:space="preserve">Women make up a higher proportion of some occupations and industries, </w:t>
      </w:r>
      <w:r w:rsidR="00350863">
        <w:t xml:space="preserve">while men </w:t>
      </w:r>
      <w:r w:rsidR="00957B08">
        <w:t xml:space="preserve">are </w:t>
      </w:r>
      <w:r w:rsidR="00171B4D">
        <w:t>concentrate</w:t>
      </w:r>
      <w:r w:rsidR="00957B08">
        <w:t>d</w:t>
      </w:r>
      <w:r w:rsidR="00171B4D">
        <w:t xml:space="preserve"> </w:t>
      </w:r>
      <w:r w:rsidR="009D0251">
        <w:t xml:space="preserve">in </w:t>
      </w:r>
      <w:r w:rsidRPr="00D33EAC">
        <w:t>others. This is gendered segregation</w:t>
      </w:r>
      <w:r w:rsidR="00B72126">
        <w:t>. I</w:t>
      </w:r>
      <w:r w:rsidRPr="00D33EAC">
        <w:t xml:space="preserve">t operates in two directions: horizontally, across occupations and industries, and vertically, </w:t>
      </w:r>
      <w:r w:rsidR="00C97AE7" w:rsidRPr="00C97AE7">
        <w:t xml:space="preserve">where women and men are concentrated at different levels of seniority </w:t>
      </w:r>
      <w:r w:rsidRPr="00D33EAC">
        <w:t>within organisations</w:t>
      </w:r>
      <w:r w:rsidR="00164972">
        <w:t>.</w:t>
      </w:r>
      <w:r w:rsidR="00654C6F">
        <w:t xml:space="preserve"> </w:t>
      </w:r>
      <w:r w:rsidR="00654C6F" w:rsidRPr="00FC1CAD">
        <w:rPr>
          <w:lang w:val="en-US"/>
        </w:rPr>
        <w:t xml:space="preserve">The problem of vertical </w:t>
      </w:r>
      <w:r w:rsidR="00654C6F">
        <w:rPr>
          <w:lang w:val="en-US"/>
        </w:rPr>
        <w:t xml:space="preserve">gendered </w:t>
      </w:r>
      <w:r w:rsidR="00654C6F" w:rsidRPr="00FC1CAD">
        <w:rPr>
          <w:lang w:val="en-US"/>
        </w:rPr>
        <w:t xml:space="preserve">segregation, where men are more likely to work in senior leadership while women are concentrated in junior roles, is discussed further under </w:t>
      </w:r>
      <w:hyperlink w:anchor="_Indicator_1:_Gender" w:history="1">
        <w:r w:rsidR="00654C6F" w:rsidRPr="002F33B6">
          <w:rPr>
            <w:rStyle w:val="Hyperlink"/>
            <w:rFonts w:cs="Arial"/>
            <w:lang w:val="en-US"/>
          </w:rPr>
          <w:t>Indicator 1: Gender composition of the workforce</w:t>
        </w:r>
      </w:hyperlink>
      <w:r w:rsidR="00654C6F" w:rsidRPr="00FC1CAD">
        <w:rPr>
          <w:lang w:val="en-US"/>
        </w:rPr>
        <w:t>.</w:t>
      </w:r>
    </w:p>
    <w:p w14:paraId="35509C33" w14:textId="763D30D2" w:rsidR="00D33EAC" w:rsidRPr="00D33EAC" w:rsidRDefault="00C02565" w:rsidP="0078531C">
      <w:pPr>
        <w:pStyle w:val="BodyText"/>
      </w:pPr>
      <w:r>
        <w:t>Gendered segregation</w:t>
      </w:r>
      <w:r w:rsidR="00D33EAC" w:rsidRPr="00D33EAC">
        <w:t xml:space="preserve"> is a </w:t>
      </w:r>
      <w:r w:rsidR="00B05501" w:rsidRPr="00B05501">
        <w:t xml:space="preserve">major driver of workplace gender inequality. It shapes who does </w:t>
      </w:r>
      <w:r w:rsidR="00D33EAC" w:rsidRPr="00D33EAC">
        <w:t xml:space="preserve">particular </w:t>
      </w:r>
      <w:r w:rsidR="00B05501" w:rsidRPr="00B05501">
        <w:t>types of work, who progresses into leadership, who has access to higher-paid occupations and industries</w:t>
      </w:r>
      <w:r w:rsidR="00E67353">
        <w:t xml:space="preserve">. </w:t>
      </w:r>
      <w:r w:rsidR="00B05501" w:rsidRPr="00B05501">
        <w:t>It is</w:t>
      </w:r>
      <w:r w:rsidR="00D33EAC" w:rsidRPr="00D33EAC">
        <w:t xml:space="preserve"> reinforced by </w:t>
      </w:r>
      <w:r w:rsidR="00B05501" w:rsidRPr="00B05501">
        <w:t>gender stereotypes about who is suited to particular work, unequal caring responsibilities, limited access</w:t>
      </w:r>
      <w:r w:rsidR="00D33EAC" w:rsidRPr="00D33EAC">
        <w:t xml:space="preserve"> to flexible work</w:t>
      </w:r>
      <w:r w:rsidR="00B05501" w:rsidRPr="00B05501">
        <w:t xml:space="preserve">, bias against </w:t>
      </w:r>
      <w:r w:rsidR="00D33EAC" w:rsidRPr="00D33EAC">
        <w:t xml:space="preserve">people </w:t>
      </w:r>
      <w:r w:rsidR="00B05501" w:rsidRPr="00B05501">
        <w:t xml:space="preserve">working </w:t>
      </w:r>
      <w:r w:rsidR="00D33EAC" w:rsidRPr="00D33EAC">
        <w:t xml:space="preserve">in non-traditional roles (such as women in men-concentrated </w:t>
      </w:r>
      <w:r w:rsidR="00B05501" w:rsidRPr="00B05501">
        <w:t>occupations</w:t>
      </w:r>
      <w:r w:rsidR="00D33EAC" w:rsidRPr="00D33EAC">
        <w:t>), and intersecting forms of discrimination.</w:t>
      </w:r>
    </w:p>
    <w:p w14:paraId="7085245F" w14:textId="17310069" w:rsidR="00D33EAC" w:rsidRPr="00D33EAC" w:rsidRDefault="00FC135F" w:rsidP="0078531C">
      <w:pPr>
        <w:pStyle w:val="BodyText"/>
      </w:pPr>
      <w:r>
        <w:t>Gendered s</w:t>
      </w:r>
      <w:r w:rsidR="00D33EAC" w:rsidRPr="00D33EAC">
        <w:t>egregation is a key driver of the gender pay gap. Pay tends to be lower in women-concentrated industries and occupations, such as health care and education, and higher in men-concentrated ones, which are often more highly valued. It also entrenches unequal divisions of paid and unpaid work</w:t>
      </w:r>
      <w:r w:rsidR="00B253F7">
        <w:t>.</w:t>
      </w:r>
      <w:r w:rsidR="00D33EAC" w:rsidRPr="00D33EAC">
        <w:t xml:space="preserve"> </w:t>
      </w:r>
      <w:r w:rsidR="00B253F7">
        <w:t>B</w:t>
      </w:r>
      <w:r w:rsidR="00D33EAC" w:rsidRPr="00D33EAC">
        <w:t>ecause women are more often paid less, heterosexual couples tend to fall back into traditional breadwinner and homemaker roles.</w:t>
      </w:r>
    </w:p>
    <w:p w14:paraId="3ED1342B" w14:textId="32B99B52" w:rsidR="00D33EAC" w:rsidRPr="00D33EAC" w:rsidRDefault="00D33EAC" w:rsidP="0078531C">
      <w:pPr>
        <w:pStyle w:val="BodyText"/>
      </w:pPr>
      <w:r w:rsidRPr="00D33EAC">
        <w:t xml:space="preserve">This is one of the hardest forms of gender inequality to shift, because the </w:t>
      </w:r>
      <w:r w:rsidR="00433FC2">
        <w:t xml:space="preserve">social and gender </w:t>
      </w:r>
      <w:r w:rsidRPr="00D33EAC">
        <w:t xml:space="preserve">norms </w:t>
      </w:r>
      <w:r w:rsidR="00F95E3E">
        <w:t>that shape it</w:t>
      </w:r>
      <w:r w:rsidRPr="00D33EAC">
        <w:t xml:space="preserve"> are formed early</w:t>
      </w:r>
      <w:r w:rsidR="00E04958">
        <w:t xml:space="preserve"> in life</w:t>
      </w:r>
      <w:r w:rsidR="00122C05">
        <w:t xml:space="preserve">. They </w:t>
      </w:r>
      <w:r w:rsidR="00662A68">
        <w:t>influence</w:t>
      </w:r>
      <w:r w:rsidRPr="00D33EAC">
        <w:t xml:space="preserve"> educational choices and career pipelines long before people enter the workforce. Organisations can contribute to change, but they are one part of a much larger picture. </w:t>
      </w:r>
    </w:p>
    <w:p w14:paraId="7AF6C1BF" w14:textId="6E1462AD" w:rsidR="005C5213" w:rsidRDefault="0032163E" w:rsidP="0078531C">
      <w:pPr>
        <w:pStyle w:val="BodyText"/>
      </w:pPr>
      <w:r>
        <w:t xml:space="preserve">You can read more about </w:t>
      </w:r>
      <w:r w:rsidR="00AD3210">
        <w:t xml:space="preserve">how </w:t>
      </w:r>
      <w:r>
        <w:t xml:space="preserve">gendered segregation perpetuates gender inequality in </w:t>
      </w:r>
      <w:r w:rsidR="003B4B8C">
        <w:t>the</w:t>
      </w:r>
      <w:r>
        <w:t xml:space="preserve"> </w:t>
      </w:r>
      <w:hyperlink r:id="rId53" w:history="1">
        <w:r w:rsidRPr="008774AB">
          <w:rPr>
            <w:rStyle w:val="Hyperlink"/>
            <w:rFonts w:cs="Times New Roman"/>
          </w:rPr>
          <w:t>Baseline report</w:t>
        </w:r>
      </w:hyperlink>
      <w:r>
        <w:t xml:space="preserve"> (2021, pp. 22-23).</w:t>
      </w:r>
    </w:p>
    <w:p w14:paraId="455205D7" w14:textId="2D60424E" w:rsidR="00071AD5" w:rsidRDefault="00071AD5" w:rsidP="00071AD5">
      <w:pPr>
        <w:pStyle w:val="Heading2"/>
      </w:pPr>
      <w:bookmarkStart w:id="59" w:name="_Toc237259550"/>
      <w:r>
        <w:t>How we define progress</w:t>
      </w:r>
      <w:bookmarkEnd w:id="59"/>
    </w:p>
    <w:p w14:paraId="31608060" w14:textId="2488121B" w:rsidR="008164C4" w:rsidRPr="008164C4" w:rsidRDefault="0050572D" w:rsidP="0078531C">
      <w:pPr>
        <w:pStyle w:val="BodyText"/>
      </w:pPr>
      <w:r>
        <w:rPr>
          <w:rFonts w:cs="Arial"/>
          <w:lang w:eastAsia="en-AU"/>
        </w:rPr>
        <w:t>G</w:t>
      </w:r>
      <w:r w:rsidRPr="00B27C6E">
        <w:rPr>
          <w:rFonts w:cs="Arial"/>
          <w:lang w:eastAsia="en-AU"/>
        </w:rPr>
        <w:t>ender</w:t>
      </w:r>
      <w:r>
        <w:rPr>
          <w:rFonts w:cs="Arial"/>
          <w:lang w:eastAsia="en-AU"/>
        </w:rPr>
        <w:t>ed</w:t>
      </w:r>
      <w:r w:rsidRPr="00B27C6E">
        <w:rPr>
          <w:rFonts w:cs="Arial"/>
          <w:lang w:eastAsia="en-AU"/>
        </w:rPr>
        <w:t xml:space="preserve"> </w:t>
      </w:r>
      <w:r>
        <w:rPr>
          <w:rFonts w:cs="Arial"/>
          <w:lang w:eastAsia="en-AU"/>
        </w:rPr>
        <w:t>o</w:t>
      </w:r>
      <w:r w:rsidR="005704C3" w:rsidRPr="00B27C6E">
        <w:rPr>
          <w:rFonts w:cs="Arial"/>
          <w:lang w:eastAsia="en-AU"/>
        </w:rPr>
        <w:t>ccupational segregation exists when men and women are clustered in different roles</w:t>
      </w:r>
      <w:r w:rsidR="005704C3">
        <w:rPr>
          <w:rFonts w:cs="Arial"/>
          <w:lang w:eastAsia="en-AU"/>
        </w:rPr>
        <w:t>.</w:t>
      </w:r>
      <w:r w:rsidR="005704C3">
        <w:t xml:space="preserve"> </w:t>
      </w:r>
      <w:r w:rsidR="008164C4" w:rsidRPr="008164C4">
        <w:t xml:space="preserve">Progress means moving towards gender balance </w:t>
      </w:r>
      <w:r w:rsidR="00421852" w:rsidRPr="008164C4">
        <w:t xml:space="preserve">across all occupations and industries over time. </w:t>
      </w:r>
      <w:r w:rsidR="00B64358">
        <w:t xml:space="preserve">The Commission </w:t>
      </w:r>
      <w:r w:rsidR="00DF257C">
        <w:t xml:space="preserve">defines </w:t>
      </w:r>
      <w:r w:rsidR="00B64358">
        <w:t xml:space="preserve">balance </w:t>
      </w:r>
      <w:r w:rsidR="00DF257C">
        <w:t xml:space="preserve">using </w:t>
      </w:r>
      <w:r w:rsidR="008164C4" w:rsidRPr="008164C4">
        <w:t>a 45:45:10 framework (45% women, 45% men, 10% any gender)</w:t>
      </w:r>
      <w:r w:rsidR="00DF257C">
        <w:t>.</w:t>
      </w:r>
      <w:r w:rsidR="008164C4" w:rsidRPr="008164C4">
        <w:t xml:space="preserve"> </w:t>
      </w:r>
      <w:r w:rsidR="002A7A78">
        <w:t>As</w:t>
      </w:r>
      <w:r w:rsidR="008164C4" w:rsidRPr="008164C4">
        <w:t xml:space="preserve"> this is a goal of balance, </w:t>
      </w:r>
      <w:r w:rsidR="002A7A78">
        <w:t xml:space="preserve">it is </w:t>
      </w:r>
      <w:r w:rsidR="008164C4" w:rsidRPr="008164C4">
        <w:t xml:space="preserve">not </w:t>
      </w:r>
      <w:r w:rsidR="002A7A78">
        <w:t>about</w:t>
      </w:r>
      <w:r w:rsidR="008164C4" w:rsidRPr="008164C4">
        <w:t xml:space="preserve"> changing the representation of any one group for its own sake.</w:t>
      </w:r>
    </w:p>
    <w:p w14:paraId="5E29BE36" w14:textId="4A61CB37" w:rsidR="008164C4" w:rsidRDefault="008164C4" w:rsidP="0078531C">
      <w:pPr>
        <w:pStyle w:val="BodyText"/>
      </w:pPr>
      <w:r w:rsidRPr="008164C4">
        <w:t>The Victorian public sector is women-concentrated overall and so needs to move towards greater balance</w:t>
      </w:r>
      <w:r w:rsidR="002E2981">
        <w:t>.</w:t>
      </w:r>
      <w:r w:rsidRPr="008164C4">
        <w:t xml:space="preserve"> </w:t>
      </w:r>
      <w:r w:rsidR="002E2981">
        <w:t>B</w:t>
      </w:r>
      <w:r w:rsidRPr="008164C4">
        <w:t>ut at the industry and occupational level</w:t>
      </w:r>
      <w:r w:rsidR="00446037">
        <w:t>,</w:t>
      </w:r>
      <w:r w:rsidRPr="008164C4">
        <w:t xml:space="preserve"> the picture varies widely, with some workforces </w:t>
      </w:r>
      <w:r w:rsidR="00DB42D2">
        <w:t>highly</w:t>
      </w:r>
      <w:r w:rsidRPr="008164C4">
        <w:t xml:space="preserve"> men-concentrated. Certain fields have long been understood as </w:t>
      </w:r>
      <w:r w:rsidR="00F43DBC">
        <w:t>‘</w:t>
      </w:r>
      <w:r w:rsidRPr="008164C4">
        <w:t>men</w:t>
      </w:r>
      <w:r w:rsidR="002F55AB">
        <w:t>’</w:t>
      </w:r>
      <w:r w:rsidRPr="008164C4">
        <w:t>s</w:t>
      </w:r>
      <w:r w:rsidR="00F43DBC">
        <w:t>’</w:t>
      </w:r>
      <w:r w:rsidRPr="008164C4">
        <w:t xml:space="preserve"> or </w:t>
      </w:r>
      <w:r w:rsidR="00F43DBC">
        <w:t>‘</w:t>
      </w:r>
      <w:r w:rsidRPr="008164C4">
        <w:t>women</w:t>
      </w:r>
      <w:r w:rsidR="002F55AB">
        <w:t>’</w:t>
      </w:r>
      <w:r w:rsidRPr="008164C4">
        <w:t>s</w:t>
      </w:r>
      <w:r w:rsidR="00F43DBC">
        <w:t>’</w:t>
      </w:r>
      <w:r w:rsidRPr="008164C4">
        <w:t xml:space="preserve"> work: public health care and education are women-concentrated, while police and emergency services are men-concentrated.</w:t>
      </w:r>
    </w:p>
    <w:p w14:paraId="4B32FF77" w14:textId="26E5E46A" w:rsidR="00E45B29" w:rsidRDefault="00872399" w:rsidP="0078531C">
      <w:pPr>
        <w:pStyle w:val="BodyText"/>
      </w:pPr>
      <w:r w:rsidRPr="00872399">
        <w:t>The Commission uses ANZSCO</w:t>
      </w:r>
      <w:r>
        <w:t xml:space="preserve"> codes</w:t>
      </w:r>
      <w:r w:rsidRPr="00872399">
        <w:t xml:space="preserve"> (Australian and New Zealand Standard Classification of Occupations) to report on occupations. </w:t>
      </w:r>
      <w:r>
        <w:t xml:space="preserve">ANZSCO codes are </w:t>
      </w:r>
      <w:r w:rsidRPr="00872399">
        <w:t>the skill-based classification system used by Australian and New Zealand governments</w:t>
      </w:r>
      <w:r w:rsidR="00A0189B">
        <w:t xml:space="preserve"> (ABS 2022)</w:t>
      </w:r>
      <w:r>
        <w:t>.</w:t>
      </w:r>
      <w:r w:rsidRPr="00872399">
        <w:t xml:space="preserve"> </w:t>
      </w:r>
      <w:r>
        <w:t>These codes</w:t>
      </w:r>
      <w:r w:rsidRPr="00872399">
        <w:t xml:space="preserve"> offer a widely</w:t>
      </w:r>
      <w:r w:rsidR="004E2785">
        <w:t xml:space="preserve"> </w:t>
      </w:r>
      <w:r w:rsidRPr="00872399">
        <w:t xml:space="preserve">accepted and familiar standard for duty holders reporting under the Act. </w:t>
      </w:r>
      <w:r>
        <w:t>They</w:t>
      </w:r>
      <w:r w:rsidRPr="00872399">
        <w:t xml:space="preserve"> also enable compar</w:t>
      </w:r>
      <w:r>
        <w:t>ison between the Commission</w:t>
      </w:r>
      <w:r w:rsidR="002F55AB">
        <w:t>’</w:t>
      </w:r>
      <w:r>
        <w:t>s data</w:t>
      </w:r>
      <w:r w:rsidRPr="00872399">
        <w:t xml:space="preserve"> </w:t>
      </w:r>
      <w:r>
        <w:t>and</w:t>
      </w:r>
      <w:r w:rsidRPr="00872399">
        <w:t xml:space="preserve"> other </w:t>
      </w:r>
      <w:r>
        <w:t xml:space="preserve">Australian </w:t>
      </w:r>
      <w:r w:rsidRPr="00872399">
        <w:t>datasets.</w:t>
      </w:r>
      <w:r w:rsidR="001A048F">
        <w:rPr>
          <w:rStyle w:val="FootnoteReference"/>
        </w:rPr>
        <w:footnoteReference w:id="12"/>
      </w:r>
      <w:r w:rsidR="00134739">
        <w:t xml:space="preserve"> </w:t>
      </w:r>
    </w:p>
    <w:p w14:paraId="1B312334" w14:textId="22FD3205" w:rsidR="00872399" w:rsidRPr="008164C4" w:rsidRDefault="00134739" w:rsidP="0078531C">
      <w:pPr>
        <w:pStyle w:val="BodyText"/>
      </w:pPr>
      <w:r>
        <w:t xml:space="preserve">The Commission </w:t>
      </w:r>
      <w:r w:rsidR="00E45B29">
        <w:t xml:space="preserve">also </w:t>
      </w:r>
      <w:r>
        <w:t xml:space="preserve">considers gendered segregation at the industry level. </w:t>
      </w:r>
      <w:r w:rsidR="00872399" w:rsidRPr="00872399">
        <w:t xml:space="preserve">To see a breakdown of duty holders by industry, see </w:t>
      </w:r>
      <w:hyperlink w:anchor="_Appendix_2:_Duty" w:history="1">
        <w:r w:rsidR="00872399" w:rsidRPr="003B4C39">
          <w:rPr>
            <w:rStyle w:val="Hyperlink"/>
            <w:rFonts w:cs="Times New Roman"/>
          </w:rPr>
          <w:t>Appendix 2</w:t>
        </w:r>
      </w:hyperlink>
      <w:r w:rsidR="00872399" w:rsidRPr="00872399">
        <w:t>.</w:t>
      </w:r>
    </w:p>
    <w:p w14:paraId="3BDACFD8" w14:textId="1B80ABCD" w:rsidR="00121CA8" w:rsidRDefault="001A70B3" w:rsidP="0078531C">
      <w:pPr>
        <w:pStyle w:val="BodyText"/>
        <w:rPr>
          <w:rFonts w:cs="Arial"/>
          <w:lang w:eastAsia="en-AU"/>
        </w:rPr>
      </w:pPr>
      <w:r>
        <w:t>Gendered s</w:t>
      </w:r>
      <w:r w:rsidR="008164C4" w:rsidRPr="008164C4">
        <w:t>egregation is a persistent feature of the whole Australian labour market</w:t>
      </w:r>
      <w:r w:rsidR="008164C4">
        <w:t xml:space="preserve"> </w:t>
      </w:r>
      <w:r w:rsidR="002D5643">
        <w:rPr>
          <w:rFonts w:cs="Arial"/>
          <w:lang w:eastAsia="en-AU"/>
        </w:rPr>
        <w:t>(</w:t>
      </w:r>
      <w:r w:rsidR="002D5643" w:rsidRPr="00B00F95">
        <w:rPr>
          <w:rFonts w:cs="Arial"/>
          <w:lang w:eastAsia="en-AU"/>
        </w:rPr>
        <w:t>JSA 2025</w:t>
      </w:r>
      <w:r w:rsidR="00121CA8">
        <w:t>)</w:t>
      </w:r>
      <w:r w:rsidR="00121CA8" w:rsidRPr="00121CA8">
        <w:rPr>
          <w:rFonts w:cs="Arial"/>
          <w:lang w:eastAsia="en-AU"/>
        </w:rPr>
        <w:t xml:space="preserve">, because rigid gender norms shape behaviour from early childhood through education and training and into the jobs people pursue. For this reason, some of the most effective levers </w:t>
      </w:r>
      <w:r w:rsidR="005178D4">
        <w:rPr>
          <w:rFonts w:cs="Arial"/>
          <w:lang w:eastAsia="en-AU"/>
        </w:rPr>
        <w:t xml:space="preserve">for change </w:t>
      </w:r>
      <w:r w:rsidR="00121CA8" w:rsidRPr="00121CA8">
        <w:rPr>
          <w:rFonts w:cs="Arial"/>
          <w:lang w:eastAsia="en-AU"/>
        </w:rPr>
        <w:t>sit beyond any single employer</w:t>
      </w:r>
      <w:r w:rsidR="00824B6C">
        <w:rPr>
          <w:rFonts w:cs="Arial"/>
          <w:lang w:eastAsia="en-AU"/>
        </w:rPr>
        <w:t>,</w:t>
      </w:r>
      <w:r w:rsidR="00384D9F">
        <w:rPr>
          <w:rFonts w:cs="Arial"/>
          <w:lang w:eastAsia="en-AU"/>
        </w:rPr>
        <w:t xml:space="preserve"> resting</w:t>
      </w:r>
      <w:r w:rsidR="00121CA8" w:rsidRPr="00121CA8">
        <w:rPr>
          <w:rFonts w:cs="Arial"/>
          <w:lang w:eastAsia="en-AU"/>
        </w:rPr>
        <w:t xml:space="preserve"> with governments, peak bodies and the education and training system</w:t>
      </w:r>
      <w:r w:rsidR="00384D9F">
        <w:rPr>
          <w:rFonts w:cs="Arial"/>
          <w:lang w:eastAsia="en-AU"/>
        </w:rPr>
        <w:t>. The</w:t>
      </w:r>
      <w:r w:rsidR="00C41D29">
        <w:rPr>
          <w:rFonts w:cs="Arial"/>
          <w:lang w:eastAsia="en-AU"/>
        </w:rPr>
        <w:t>se operate</w:t>
      </w:r>
      <w:r w:rsidR="00121CA8" w:rsidRPr="00121CA8">
        <w:rPr>
          <w:rFonts w:cs="Arial"/>
          <w:lang w:eastAsia="en-AU"/>
        </w:rPr>
        <w:t xml:space="preserve"> alongside the actions duty holders can take themselves, set out in the Commissioner expectations below.</w:t>
      </w:r>
    </w:p>
    <w:p w14:paraId="1F429B9F" w14:textId="1C2E6B65" w:rsidR="0046279A" w:rsidRPr="00C27278" w:rsidRDefault="0046279A" w:rsidP="0046279A">
      <w:pPr>
        <w:pStyle w:val="Heading2"/>
      </w:pPr>
      <w:bookmarkStart w:id="60" w:name="_Toc237259551"/>
      <w:r w:rsidRPr="00C27278">
        <w:t xml:space="preserve">Progress </w:t>
      </w:r>
      <w:r>
        <w:t>between</w:t>
      </w:r>
      <w:r w:rsidRPr="00C27278">
        <w:t xml:space="preserve"> 2021</w:t>
      </w:r>
      <w:r>
        <w:t xml:space="preserve"> and 2025</w:t>
      </w:r>
      <w:bookmarkEnd w:id="60"/>
    </w:p>
    <w:p w14:paraId="333197B0" w14:textId="2C737B13" w:rsidR="002A771B" w:rsidRPr="002A771B" w:rsidRDefault="00C30C96" w:rsidP="0078531C">
      <w:pPr>
        <w:pStyle w:val="BodyText"/>
      </w:pPr>
      <w:r>
        <w:t>Progress on</w:t>
      </w:r>
      <w:r w:rsidR="005F418A">
        <w:t xml:space="preserve"> gendered segregation</w:t>
      </w:r>
      <w:r w:rsidR="002A771B" w:rsidRPr="002A771B">
        <w:t xml:space="preserve"> </w:t>
      </w:r>
      <w:r w:rsidR="003676D6">
        <w:t>was</w:t>
      </w:r>
      <w:r w:rsidR="002A771B" w:rsidRPr="002A771B">
        <w:t xml:space="preserve"> gradual</w:t>
      </w:r>
      <w:r>
        <w:t xml:space="preserve"> and </w:t>
      </w:r>
      <w:r w:rsidR="002A771B" w:rsidRPr="002A771B">
        <w:t xml:space="preserve">uneven. There </w:t>
      </w:r>
      <w:r w:rsidR="00EE18E8">
        <w:t>were</w:t>
      </w:r>
      <w:r w:rsidR="002A771B" w:rsidRPr="002A771B">
        <w:t xml:space="preserve"> genuine signs of progress in some </w:t>
      </w:r>
      <w:r w:rsidR="0009109F">
        <w:t>traditionally</w:t>
      </w:r>
      <w:r w:rsidR="0009109F" w:rsidRPr="002A771B">
        <w:t xml:space="preserve"> </w:t>
      </w:r>
      <w:r w:rsidR="002A771B" w:rsidRPr="002A771B">
        <w:t>men-concentrated areas</w:t>
      </w:r>
      <w:r w:rsidR="005F418A">
        <w:t>.</w:t>
      </w:r>
      <w:r w:rsidR="002A771B" w:rsidRPr="002A771B">
        <w:t xml:space="preserve"> </w:t>
      </w:r>
      <w:r w:rsidR="005F418A">
        <w:t>M</w:t>
      </w:r>
      <w:r w:rsidR="002A771B" w:rsidRPr="002A771B">
        <w:t xml:space="preserve">ore women </w:t>
      </w:r>
      <w:r w:rsidR="00EE18E8">
        <w:t>were</w:t>
      </w:r>
      <w:r w:rsidR="002A771B" w:rsidRPr="002A771B">
        <w:t xml:space="preserve"> working as machinery operators and drivers, in technical and trades roles, and in management</w:t>
      </w:r>
      <w:r w:rsidR="00AC1C6B">
        <w:t>. T</w:t>
      </w:r>
      <w:r w:rsidR="002A771B" w:rsidRPr="002A771B">
        <w:t>he transport industry shift</w:t>
      </w:r>
      <w:r w:rsidR="00CB72CC">
        <w:t>ed</w:t>
      </w:r>
      <w:r w:rsidR="002A771B" w:rsidRPr="002A771B">
        <w:t xml:space="preserve"> from </w:t>
      </w:r>
      <w:r w:rsidR="00F43DBC">
        <w:t>‘</w:t>
      </w:r>
      <w:r w:rsidR="002A771B" w:rsidRPr="002A771B">
        <w:t>highly</w:t>
      </w:r>
      <w:r w:rsidR="00F43DBC">
        <w:t>’</w:t>
      </w:r>
      <w:r w:rsidR="002A771B" w:rsidRPr="002A771B">
        <w:t xml:space="preserve"> to </w:t>
      </w:r>
      <w:r w:rsidR="00F43DBC">
        <w:t>‘</w:t>
      </w:r>
      <w:r w:rsidR="002A771B" w:rsidRPr="002A771B">
        <w:t>moderately</w:t>
      </w:r>
      <w:r w:rsidR="00F43DBC">
        <w:t>’</w:t>
      </w:r>
      <w:r w:rsidR="002A771B" w:rsidRPr="002A771B">
        <w:t xml:space="preserve"> men-concentrated. These </w:t>
      </w:r>
      <w:r w:rsidR="00593533">
        <w:t>changes</w:t>
      </w:r>
      <w:r w:rsidR="002A771B" w:rsidRPr="002A771B">
        <w:t xml:space="preserve"> matter, because </w:t>
      </w:r>
      <w:r w:rsidR="00935C66">
        <w:t>gendered</w:t>
      </w:r>
      <w:r w:rsidR="002A771B" w:rsidRPr="002A771B">
        <w:t xml:space="preserve"> segregation is both a major driver of the gender pay gap and notoriously slow to change.</w:t>
      </w:r>
    </w:p>
    <w:p w14:paraId="109513BB" w14:textId="7EF85240" w:rsidR="002A771B" w:rsidRPr="002A771B" w:rsidRDefault="002A771B" w:rsidP="0078531C">
      <w:pPr>
        <w:pStyle w:val="BodyText"/>
      </w:pPr>
      <w:r w:rsidRPr="002A771B">
        <w:t xml:space="preserve">At the same time, most occupations remained </w:t>
      </w:r>
      <w:r w:rsidR="00366F69">
        <w:t>either men- or women-concentrated</w:t>
      </w:r>
      <w:r w:rsidRPr="002A771B">
        <w:t xml:space="preserve">, and the overall distribution did not move towards balance. As discussed below, the share of occupations classified as </w:t>
      </w:r>
      <w:r w:rsidR="00F43DBC">
        <w:t>‘</w:t>
      </w:r>
      <w:r w:rsidRPr="002A771B">
        <w:t>balanced</w:t>
      </w:r>
      <w:r w:rsidR="00F43DBC">
        <w:t>’</w:t>
      </w:r>
      <w:r w:rsidRPr="002A771B">
        <w:t xml:space="preserve"> </w:t>
      </w:r>
      <w:r w:rsidR="000F2383" w:rsidRPr="002A771B">
        <w:t>fell</w:t>
      </w:r>
      <w:r w:rsidRPr="002A771B">
        <w:t xml:space="preserve"> over the period</w:t>
      </w:r>
      <w:r w:rsidR="00FE4707">
        <w:t>.</w:t>
      </w:r>
      <w:r w:rsidRPr="002A771B">
        <w:t xml:space="preserve"> </w:t>
      </w:r>
      <w:r w:rsidR="00FE4707">
        <w:t>While this</w:t>
      </w:r>
      <w:r w:rsidRPr="002A771B">
        <w:t xml:space="preserve"> finding needs careful interpretation, </w:t>
      </w:r>
      <w:r w:rsidR="00FE4707">
        <w:t>it</w:t>
      </w:r>
      <w:r w:rsidRPr="002A771B">
        <w:t xml:space="preserve"> underlines that the sector is some way from gender-balanced </w:t>
      </w:r>
      <w:r w:rsidR="00B12921" w:rsidRPr="00B12921">
        <w:t>occupations and industries</w:t>
      </w:r>
      <w:r w:rsidRPr="002A771B">
        <w:t>.</w:t>
      </w:r>
    </w:p>
    <w:p w14:paraId="0999CAE3" w14:textId="2768E8CF" w:rsidR="00AB3F17" w:rsidRPr="0057637C" w:rsidRDefault="00AB3F17" w:rsidP="0078531C">
      <w:pPr>
        <w:pStyle w:val="BodyText"/>
        <w:rPr>
          <w:lang w:eastAsia="en-AU"/>
        </w:rPr>
      </w:pPr>
      <w:r w:rsidRPr="006A1DB5">
        <w:rPr>
          <w:lang w:eastAsia="en-AU"/>
        </w:rPr>
        <w:t xml:space="preserve">Key data measures are presented in Tables </w:t>
      </w:r>
      <w:r w:rsidRPr="00062527">
        <w:rPr>
          <w:lang w:eastAsia="en-AU"/>
        </w:rPr>
        <w:t>7.1 to 7.3</w:t>
      </w:r>
      <w:r w:rsidRPr="006A1DB5">
        <w:rPr>
          <w:lang w:eastAsia="en-AU"/>
        </w:rPr>
        <w:t>. Findings are discussed in further detail after the tables</w:t>
      </w:r>
      <w:r>
        <w:rPr>
          <w:lang w:eastAsia="en-AU"/>
        </w:rPr>
        <w:t>.</w:t>
      </w:r>
    </w:p>
    <w:p w14:paraId="25385073" w14:textId="65E93617" w:rsidR="006009D7" w:rsidRPr="006A2E07" w:rsidRDefault="006009D7" w:rsidP="007D66A9">
      <w:pPr>
        <w:pStyle w:val="Tablecaption"/>
        <w:rPr>
          <w:b w:val="0"/>
          <w:bCs/>
          <w:lang w:eastAsia="en-AU"/>
        </w:rPr>
      </w:pPr>
      <w:r w:rsidRPr="006A2E07">
        <w:rPr>
          <w:lang w:eastAsia="en-AU"/>
        </w:rPr>
        <w:t xml:space="preserve">Table 7.1: Occupational </w:t>
      </w:r>
      <w:r w:rsidR="007D66A9">
        <w:rPr>
          <w:lang w:eastAsia="en-AU"/>
        </w:rPr>
        <w:t>s</w:t>
      </w:r>
      <w:r w:rsidRPr="006A2E07">
        <w:rPr>
          <w:lang w:eastAsia="en-AU"/>
        </w:rPr>
        <w:t xml:space="preserve">egregation </w:t>
      </w:r>
      <w:r w:rsidR="007D66A9">
        <w:rPr>
          <w:lang w:eastAsia="en-AU"/>
        </w:rPr>
        <w:t>t</w:t>
      </w:r>
      <w:r w:rsidRPr="006A2E07">
        <w:rPr>
          <w:lang w:eastAsia="en-AU"/>
        </w:rPr>
        <w:t>rends</w:t>
      </w:r>
      <w:r w:rsidR="000738DC">
        <w:rPr>
          <w:lang w:eastAsia="en-AU"/>
        </w:rPr>
        <w:t xml:space="preserve"> by </w:t>
      </w:r>
      <w:r w:rsidR="007D66A9">
        <w:rPr>
          <w:lang w:eastAsia="en-AU"/>
        </w:rPr>
        <w:t>g</w:t>
      </w:r>
      <w:r w:rsidR="000738DC">
        <w:rPr>
          <w:lang w:eastAsia="en-AU"/>
        </w:rPr>
        <w:t>ender (</w:t>
      </w:r>
      <w:r w:rsidR="007D66A9">
        <w:rPr>
          <w:lang w:eastAsia="en-AU"/>
        </w:rPr>
        <w:t>w</w:t>
      </w:r>
      <w:r w:rsidR="000738DC">
        <w:rPr>
          <w:lang w:eastAsia="en-AU"/>
        </w:rPr>
        <w:t>omen)</w:t>
      </w:r>
      <w:r w:rsidRPr="006A2E07">
        <w:rPr>
          <w:lang w:eastAsia="en-AU"/>
        </w:rPr>
        <w:t xml:space="preserve"> </w:t>
      </w:r>
      <w:r w:rsidR="00A35C7C">
        <w:rPr>
          <w:lang w:eastAsia="en-AU"/>
        </w:rPr>
        <w:t>–</w:t>
      </w:r>
      <w:r w:rsidRPr="006A2E07">
        <w:rPr>
          <w:lang w:eastAsia="en-AU"/>
        </w:rPr>
        <w:t xml:space="preserve"> ANZSCO </w:t>
      </w:r>
      <w:r w:rsidR="007D66A9">
        <w:rPr>
          <w:lang w:eastAsia="en-AU"/>
        </w:rPr>
        <w:t>c</w:t>
      </w:r>
      <w:r w:rsidRPr="006A2E07">
        <w:rPr>
          <w:lang w:eastAsia="en-AU"/>
        </w:rPr>
        <w:t>ategories</w:t>
      </w:r>
      <w:r w:rsidR="00BE31B2">
        <w:rPr>
          <w:lang w:eastAsia="en-AU"/>
        </w:rPr>
        <w:t xml:space="preserve"> </w:t>
      </w:r>
    </w:p>
    <w:tbl>
      <w:tblPr>
        <w:tblStyle w:val="CGEPStable"/>
        <w:tblW w:w="0" w:type="auto"/>
        <w:tblLook w:val="04A0" w:firstRow="1" w:lastRow="0" w:firstColumn="1" w:lastColumn="0" w:noHBand="0" w:noVBand="1"/>
      </w:tblPr>
      <w:tblGrid>
        <w:gridCol w:w="2168"/>
        <w:gridCol w:w="908"/>
        <w:gridCol w:w="909"/>
        <w:gridCol w:w="909"/>
        <w:gridCol w:w="1349"/>
        <w:gridCol w:w="3055"/>
      </w:tblGrid>
      <w:tr w:rsidR="0086046B" w:rsidRPr="00406DA3" w14:paraId="7D72762E" w14:textId="77777777" w:rsidTr="003E04E0">
        <w:trPr>
          <w:cnfStyle w:val="100000000000" w:firstRow="1" w:lastRow="0" w:firstColumn="0" w:lastColumn="0" w:oddVBand="0" w:evenVBand="0" w:oddHBand="0" w:evenHBand="0" w:firstRowFirstColumn="0" w:firstRowLastColumn="0" w:lastRowFirstColumn="0" w:lastRowLastColumn="0"/>
        </w:trPr>
        <w:tc>
          <w:tcPr>
            <w:tcW w:w="2168" w:type="dxa"/>
            <w:hideMark/>
          </w:tcPr>
          <w:p w14:paraId="7C730026" w14:textId="77777777" w:rsidR="0086046B" w:rsidRPr="006A2E07" w:rsidRDefault="0086046B" w:rsidP="007D66A9">
            <w:pPr>
              <w:pStyle w:val="Tablecolhead"/>
              <w:rPr>
                <w:lang w:eastAsia="en-AU"/>
              </w:rPr>
            </w:pPr>
            <w:r w:rsidRPr="006A2E07">
              <w:rPr>
                <w:lang w:eastAsia="en-AU"/>
              </w:rPr>
              <w:t>Occupation</w:t>
            </w:r>
          </w:p>
        </w:tc>
        <w:tc>
          <w:tcPr>
            <w:tcW w:w="908" w:type="dxa"/>
            <w:hideMark/>
          </w:tcPr>
          <w:p w14:paraId="62D9B0BB" w14:textId="012B39C9" w:rsidR="0086046B" w:rsidRPr="006A2E07" w:rsidRDefault="0086046B" w:rsidP="007D66A9">
            <w:pPr>
              <w:pStyle w:val="Tablecolhead"/>
              <w:rPr>
                <w:lang w:eastAsia="en-AU"/>
              </w:rPr>
            </w:pPr>
            <w:r w:rsidRPr="006A2E07">
              <w:rPr>
                <w:lang w:eastAsia="en-AU"/>
              </w:rPr>
              <w:t xml:space="preserve">2021 </w:t>
            </w:r>
          </w:p>
        </w:tc>
        <w:tc>
          <w:tcPr>
            <w:tcW w:w="909" w:type="dxa"/>
            <w:hideMark/>
          </w:tcPr>
          <w:p w14:paraId="545DEABF" w14:textId="6987288B" w:rsidR="0086046B" w:rsidRPr="006A2E07" w:rsidRDefault="0086046B" w:rsidP="007D66A9">
            <w:pPr>
              <w:pStyle w:val="Tablecolhead"/>
              <w:rPr>
                <w:lang w:eastAsia="en-AU"/>
              </w:rPr>
            </w:pPr>
            <w:r w:rsidRPr="006A2E07">
              <w:rPr>
                <w:lang w:eastAsia="en-AU"/>
              </w:rPr>
              <w:t xml:space="preserve">2023 </w:t>
            </w:r>
          </w:p>
        </w:tc>
        <w:tc>
          <w:tcPr>
            <w:tcW w:w="909" w:type="dxa"/>
            <w:hideMark/>
          </w:tcPr>
          <w:p w14:paraId="3203820C" w14:textId="039796F7" w:rsidR="0086046B" w:rsidRPr="006A2E07" w:rsidRDefault="0086046B" w:rsidP="007D66A9">
            <w:pPr>
              <w:pStyle w:val="Tablecolhead"/>
              <w:rPr>
                <w:lang w:eastAsia="en-AU"/>
              </w:rPr>
            </w:pPr>
            <w:r w:rsidRPr="006A2E07">
              <w:rPr>
                <w:lang w:eastAsia="en-AU"/>
              </w:rPr>
              <w:t xml:space="preserve">2025 </w:t>
            </w:r>
          </w:p>
        </w:tc>
        <w:tc>
          <w:tcPr>
            <w:tcW w:w="1349" w:type="dxa"/>
            <w:hideMark/>
          </w:tcPr>
          <w:p w14:paraId="4BA0C5F9" w14:textId="491DD001" w:rsidR="0086046B" w:rsidRPr="006A2E07" w:rsidRDefault="0086046B" w:rsidP="007D66A9">
            <w:pPr>
              <w:pStyle w:val="Tablecolhead"/>
              <w:rPr>
                <w:lang w:eastAsia="en-AU"/>
              </w:rPr>
            </w:pPr>
            <w:r>
              <w:rPr>
                <w:lang w:eastAsia="en-AU"/>
              </w:rPr>
              <w:t xml:space="preserve">Percentage </w:t>
            </w:r>
            <w:r w:rsidR="00BE46C0">
              <w:rPr>
                <w:lang w:eastAsia="en-AU"/>
              </w:rPr>
              <w:t>point change</w:t>
            </w:r>
            <w:r>
              <w:rPr>
                <w:lang w:eastAsia="en-AU"/>
              </w:rPr>
              <w:t xml:space="preserve"> 2021</w:t>
            </w:r>
            <w:r w:rsidR="00BE46C0">
              <w:rPr>
                <w:lang w:eastAsia="en-AU"/>
              </w:rPr>
              <w:t>-</w:t>
            </w:r>
            <w:r>
              <w:rPr>
                <w:lang w:eastAsia="en-AU"/>
              </w:rPr>
              <w:t>2025</w:t>
            </w:r>
          </w:p>
        </w:tc>
        <w:tc>
          <w:tcPr>
            <w:tcW w:w="3055" w:type="dxa"/>
            <w:hideMark/>
          </w:tcPr>
          <w:p w14:paraId="71D7C376" w14:textId="2467786B" w:rsidR="0086046B" w:rsidRPr="006A2E07" w:rsidRDefault="0086046B" w:rsidP="007D66A9">
            <w:pPr>
              <w:pStyle w:val="Tablecolhead"/>
              <w:rPr>
                <w:lang w:eastAsia="en-AU"/>
              </w:rPr>
            </w:pPr>
            <w:r>
              <w:rPr>
                <w:lang w:eastAsia="en-AU"/>
              </w:rPr>
              <w:t xml:space="preserve">Classification </w:t>
            </w:r>
            <w:r w:rsidR="003E04E0">
              <w:rPr>
                <w:lang w:eastAsia="en-AU"/>
              </w:rPr>
              <w:t>c</w:t>
            </w:r>
            <w:r>
              <w:rPr>
                <w:lang w:eastAsia="en-AU"/>
              </w:rPr>
              <w:t xml:space="preserve">hange </w:t>
            </w:r>
          </w:p>
        </w:tc>
      </w:tr>
      <w:tr w:rsidR="00000462" w:rsidRPr="00406DA3" w14:paraId="2377E657" w14:textId="77777777" w:rsidTr="003E04E0">
        <w:tc>
          <w:tcPr>
            <w:tcW w:w="2168" w:type="dxa"/>
          </w:tcPr>
          <w:p w14:paraId="64EA146B" w14:textId="56E3E479" w:rsidR="00000462" w:rsidRPr="00406DA3" w:rsidRDefault="00000462" w:rsidP="007D66A9">
            <w:pPr>
              <w:pStyle w:val="Tabletext"/>
              <w:rPr>
                <w:lang w:eastAsia="en-AU"/>
              </w:rPr>
            </w:pPr>
            <w:r w:rsidRPr="00406DA3">
              <w:rPr>
                <w:lang w:eastAsia="en-AU"/>
              </w:rPr>
              <w:t xml:space="preserve">Clerical </w:t>
            </w:r>
            <w:r w:rsidR="00B26123">
              <w:rPr>
                <w:lang w:eastAsia="en-AU"/>
              </w:rPr>
              <w:t>and</w:t>
            </w:r>
            <w:r w:rsidRPr="00406DA3">
              <w:rPr>
                <w:lang w:eastAsia="en-AU"/>
              </w:rPr>
              <w:t xml:space="preserve"> </w:t>
            </w:r>
            <w:r w:rsidR="003E04E0">
              <w:rPr>
                <w:lang w:eastAsia="en-AU"/>
              </w:rPr>
              <w:t>a</w:t>
            </w:r>
            <w:r w:rsidRPr="00406DA3">
              <w:rPr>
                <w:lang w:eastAsia="en-AU"/>
              </w:rPr>
              <w:t>dministrative</w:t>
            </w:r>
          </w:p>
        </w:tc>
        <w:tc>
          <w:tcPr>
            <w:tcW w:w="908" w:type="dxa"/>
          </w:tcPr>
          <w:p w14:paraId="031E3F37" w14:textId="61C7B944" w:rsidR="00000462" w:rsidRPr="00406DA3" w:rsidRDefault="00000462" w:rsidP="007D66A9">
            <w:pPr>
              <w:pStyle w:val="Tabletext"/>
              <w:rPr>
                <w:lang w:eastAsia="en-AU"/>
              </w:rPr>
            </w:pPr>
            <w:r>
              <w:rPr>
                <w:lang w:eastAsia="en-AU"/>
              </w:rPr>
              <w:t>73.7%</w:t>
            </w:r>
          </w:p>
        </w:tc>
        <w:tc>
          <w:tcPr>
            <w:tcW w:w="909" w:type="dxa"/>
          </w:tcPr>
          <w:p w14:paraId="3A6BDB80" w14:textId="461B42EA" w:rsidR="00000462" w:rsidRPr="00406DA3" w:rsidRDefault="00000462" w:rsidP="007D66A9">
            <w:pPr>
              <w:pStyle w:val="Tabletext"/>
              <w:rPr>
                <w:lang w:eastAsia="en-AU"/>
              </w:rPr>
            </w:pPr>
            <w:r>
              <w:rPr>
                <w:lang w:eastAsia="en-AU"/>
              </w:rPr>
              <w:t>72.7%</w:t>
            </w:r>
          </w:p>
        </w:tc>
        <w:tc>
          <w:tcPr>
            <w:tcW w:w="909" w:type="dxa"/>
          </w:tcPr>
          <w:p w14:paraId="56D09205" w14:textId="1EE2E35A" w:rsidR="00000462" w:rsidRPr="00406DA3" w:rsidRDefault="00000462" w:rsidP="007D66A9">
            <w:pPr>
              <w:pStyle w:val="Tabletext"/>
              <w:rPr>
                <w:lang w:eastAsia="en-AU"/>
              </w:rPr>
            </w:pPr>
            <w:r>
              <w:rPr>
                <w:lang w:eastAsia="en-AU"/>
              </w:rPr>
              <w:t>72.9%</w:t>
            </w:r>
          </w:p>
        </w:tc>
        <w:tc>
          <w:tcPr>
            <w:tcW w:w="1349" w:type="dxa"/>
          </w:tcPr>
          <w:p w14:paraId="1A7EB677" w14:textId="0138AD18" w:rsidR="00000462" w:rsidRPr="00406DA3" w:rsidRDefault="00000462" w:rsidP="007D66A9">
            <w:pPr>
              <w:pStyle w:val="Tabletext"/>
              <w:rPr>
                <w:lang w:eastAsia="en-AU"/>
              </w:rPr>
            </w:pPr>
            <w:r>
              <w:rPr>
                <w:lang w:eastAsia="en-AU"/>
              </w:rPr>
              <w:t>-0.8pp</w:t>
            </w:r>
          </w:p>
        </w:tc>
        <w:tc>
          <w:tcPr>
            <w:tcW w:w="3055" w:type="dxa"/>
          </w:tcPr>
          <w:p w14:paraId="0A2AB53F" w14:textId="7CB1659F" w:rsidR="00000462" w:rsidRPr="00406DA3" w:rsidRDefault="00000462" w:rsidP="007D66A9">
            <w:pPr>
              <w:pStyle w:val="Tabletext"/>
              <w:rPr>
                <w:lang w:eastAsia="en-AU"/>
              </w:rPr>
            </w:pPr>
            <w:r>
              <w:rPr>
                <w:lang w:eastAsia="en-AU"/>
              </w:rPr>
              <w:t xml:space="preserve">No change </w:t>
            </w:r>
            <w:r w:rsidR="00137D8F">
              <w:rPr>
                <w:lang w:eastAsia="en-AU"/>
              </w:rPr>
              <w:t>–</w:t>
            </w:r>
            <w:r>
              <w:rPr>
                <w:lang w:eastAsia="en-AU"/>
              </w:rPr>
              <w:t xml:space="preserve"> Moderately women-concentrated</w:t>
            </w:r>
          </w:p>
        </w:tc>
      </w:tr>
      <w:tr w:rsidR="00000462" w:rsidRPr="00406DA3" w14:paraId="3AB1CB21" w14:textId="77777777" w:rsidTr="003E04E0">
        <w:tc>
          <w:tcPr>
            <w:tcW w:w="2168" w:type="dxa"/>
            <w:hideMark/>
          </w:tcPr>
          <w:p w14:paraId="230AE707" w14:textId="25B696D7" w:rsidR="00000462" w:rsidRPr="00406DA3" w:rsidRDefault="00000462" w:rsidP="007D66A9">
            <w:pPr>
              <w:pStyle w:val="Tabletext"/>
              <w:rPr>
                <w:lang w:eastAsia="en-AU"/>
              </w:rPr>
            </w:pPr>
            <w:r w:rsidRPr="00406DA3">
              <w:rPr>
                <w:lang w:eastAsia="en-AU"/>
              </w:rPr>
              <w:t xml:space="preserve">Community </w:t>
            </w:r>
            <w:r w:rsidR="00B26123">
              <w:rPr>
                <w:lang w:eastAsia="en-AU"/>
              </w:rPr>
              <w:t>and</w:t>
            </w:r>
            <w:r w:rsidRPr="00406DA3">
              <w:rPr>
                <w:lang w:eastAsia="en-AU"/>
              </w:rPr>
              <w:t xml:space="preserve"> </w:t>
            </w:r>
            <w:r w:rsidR="003E04E0">
              <w:rPr>
                <w:lang w:eastAsia="en-AU"/>
              </w:rPr>
              <w:t>p</w:t>
            </w:r>
            <w:r w:rsidRPr="00406DA3">
              <w:rPr>
                <w:lang w:eastAsia="en-AU"/>
              </w:rPr>
              <w:t xml:space="preserve">ersonal </w:t>
            </w:r>
            <w:r w:rsidR="003E04E0">
              <w:rPr>
                <w:lang w:eastAsia="en-AU"/>
              </w:rPr>
              <w:t>s</w:t>
            </w:r>
            <w:r w:rsidRPr="00406DA3">
              <w:rPr>
                <w:lang w:eastAsia="en-AU"/>
              </w:rPr>
              <w:t>ervice</w:t>
            </w:r>
          </w:p>
        </w:tc>
        <w:tc>
          <w:tcPr>
            <w:tcW w:w="908" w:type="dxa"/>
            <w:hideMark/>
          </w:tcPr>
          <w:p w14:paraId="744DC10B" w14:textId="0D4DF840" w:rsidR="00000462" w:rsidRPr="00406DA3" w:rsidRDefault="00000462" w:rsidP="007D66A9">
            <w:pPr>
              <w:pStyle w:val="Tabletext"/>
              <w:rPr>
                <w:lang w:eastAsia="en-AU"/>
              </w:rPr>
            </w:pPr>
            <w:r>
              <w:rPr>
                <w:lang w:eastAsia="en-AU"/>
              </w:rPr>
              <w:t>62.2%</w:t>
            </w:r>
          </w:p>
        </w:tc>
        <w:tc>
          <w:tcPr>
            <w:tcW w:w="909" w:type="dxa"/>
            <w:hideMark/>
          </w:tcPr>
          <w:p w14:paraId="65F3CA77" w14:textId="50C6A089" w:rsidR="00000462" w:rsidRPr="00406DA3" w:rsidRDefault="00000462" w:rsidP="007D66A9">
            <w:pPr>
              <w:pStyle w:val="Tabletext"/>
              <w:rPr>
                <w:lang w:eastAsia="en-AU"/>
              </w:rPr>
            </w:pPr>
            <w:r>
              <w:rPr>
                <w:lang w:eastAsia="en-AU"/>
              </w:rPr>
              <w:t>63.0%</w:t>
            </w:r>
          </w:p>
        </w:tc>
        <w:tc>
          <w:tcPr>
            <w:tcW w:w="909" w:type="dxa"/>
            <w:hideMark/>
          </w:tcPr>
          <w:p w14:paraId="54AB20A7" w14:textId="783CC855" w:rsidR="00000462" w:rsidRPr="00406DA3" w:rsidRDefault="00000462" w:rsidP="007D66A9">
            <w:pPr>
              <w:pStyle w:val="Tabletext"/>
              <w:rPr>
                <w:lang w:eastAsia="en-AU"/>
              </w:rPr>
            </w:pPr>
            <w:r>
              <w:rPr>
                <w:lang w:eastAsia="en-AU"/>
              </w:rPr>
              <w:t>63.8%</w:t>
            </w:r>
          </w:p>
        </w:tc>
        <w:tc>
          <w:tcPr>
            <w:tcW w:w="1349" w:type="dxa"/>
            <w:hideMark/>
          </w:tcPr>
          <w:p w14:paraId="44109650" w14:textId="435CCBD7" w:rsidR="00000462" w:rsidRPr="00406DA3" w:rsidRDefault="00000462" w:rsidP="007D66A9">
            <w:pPr>
              <w:pStyle w:val="Tabletext"/>
              <w:rPr>
                <w:lang w:eastAsia="en-AU"/>
              </w:rPr>
            </w:pPr>
            <w:r>
              <w:rPr>
                <w:lang w:eastAsia="en-AU"/>
              </w:rPr>
              <w:t>+1.6pp</w:t>
            </w:r>
          </w:p>
        </w:tc>
        <w:tc>
          <w:tcPr>
            <w:tcW w:w="3055" w:type="dxa"/>
            <w:hideMark/>
          </w:tcPr>
          <w:p w14:paraId="4B634744" w14:textId="56D10B5E" w:rsidR="00000462" w:rsidRPr="00406DA3" w:rsidRDefault="00000462" w:rsidP="007D66A9">
            <w:pPr>
              <w:pStyle w:val="Tabletext"/>
              <w:rPr>
                <w:lang w:eastAsia="en-AU"/>
              </w:rPr>
            </w:pPr>
            <w:r>
              <w:rPr>
                <w:lang w:eastAsia="en-AU"/>
              </w:rPr>
              <w:t xml:space="preserve">No change </w:t>
            </w:r>
            <w:r w:rsidR="00137D8F">
              <w:rPr>
                <w:lang w:eastAsia="en-AU"/>
              </w:rPr>
              <w:t>–</w:t>
            </w:r>
            <w:r>
              <w:rPr>
                <w:lang w:eastAsia="en-AU"/>
              </w:rPr>
              <w:t xml:space="preserve"> Slightly women-concentrated</w:t>
            </w:r>
          </w:p>
        </w:tc>
      </w:tr>
      <w:tr w:rsidR="00000462" w:rsidRPr="00406DA3" w14:paraId="3559ECDC" w14:textId="77777777" w:rsidTr="003E04E0">
        <w:tc>
          <w:tcPr>
            <w:tcW w:w="2168" w:type="dxa"/>
          </w:tcPr>
          <w:p w14:paraId="67B0C38F" w14:textId="6F7C7461" w:rsidR="00000462" w:rsidRPr="00406DA3" w:rsidRDefault="00000462" w:rsidP="007D66A9">
            <w:pPr>
              <w:pStyle w:val="Tabletext"/>
              <w:rPr>
                <w:lang w:eastAsia="en-AU"/>
              </w:rPr>
            </w:pPr>
            <w:r>
              <w:rPr>
                <w:lang w:eastAsia="en-AU"/>
              </w:rPr>
              <w:t>Labourers</w:t>
            </w:r>
          </w:p>
        </w:tc>
        <w:tc>
          <w:tcPr>
            <w:tcW w:w="908" w:type="dxa"/>
          </w:tcPr>
          <w:p w14:paraId="034B2CE1" w14:textId="7E31D800" w:rsidR="00000462" w:rsidRDefault="00000462" w:rsidP="007D66A9">
            <w:pPr>
              <w:pStyle w:val="Tabletext"/>
              <w:rPr>
                <w:lang w:eastAsia="en-AU"/>
              </w:rPr>
            </w:pPr>
            <w:r>
              <w:rPr>
                <w:lang w:eastAsia="en-AU"/>
              </w:rPr>
              <w:t>51.1%</w:t>
            </w:r>
          </w:p>
        </w:tc>
        <w:tc>
          <w:tcPr>
            <w:tcW w:w="909" w:type="dxa"/>
          </w:tcPr>
          <w:p w14:paraId="760564BD" w14:textId="593886D0" w:rsidR="00000462" w:rsidRDefault="00000462" w:rsidP="007D66A9">
            <w:pPr>
              <w:pStyle w:val="Tabletext"/>
              <w:rPr>
                <w:lang w:eastAsia="en-AU"/>
              </w:rPr>
            </w:pPr>
            <w:r>
              <w:rPr>
                <w:lang w:eastAsia="en-AU"/>
              </w:rPr>
              <w:t>51.3%</w:t>
            </w:r>
          </w:p>
        </w:tc>
        <w:tc>
          <w:tcPr>
            <w:tcW w:w="909" w:type="dxa"/>
          </w:tcPr>
          <w:p w14:paraId="47F69EEC" w14:textId="6898BB7E" w:rsidR="00000462" w:rsidRDefault="00000462" w:rsidP="007D66A9">
            <w:pPr>
              <w:pStyle w:val="Tabletext"/>
              <w:rPr>
                <w:lang w:eastAsia="en-AU"/>
              </w:rPr>
            </w:pPr>
            <w:r>
              <w:rPr>
                <w:lang w:eastAsia="en-AU"/>
              </w:rPr>
              <w:t>51.7%</w:t>
            </w:r>
          </w:p>
        </w:tc>
        <w:tc>
          <w:tcPr>
            <w:tcW w:w="1349" w:type="dxa"/>
          </w:tcPr>
          <w:p w14:paraId="5B3BA2AB" w14:textId="465DBA1F" w:rsidR="00000462" w:rsidRDefault="00000462" w:rsidP="007D66A9">
            <w:pPr>
              <w:pStyle w:val="Tabletext"/>
              <w:rPr>
                <w:lang w:eastAsia="en-AU"/>
              </w:rPr>
            </w:pPr>
            <w:r>
              <w:rPr>
                <w:lang w:eastAsia="en-AU"/>
              </w:rPr>
              <w:t>+0.6pp</w:t>
            </w:r>
          </w:p>
        </w:tc>
        <w:tc>
          <w:tcPr>
            <w:tcW w:w="3055" w:type="dxa"/>
          </w:tcPr>
          <w:p w14:paraId="19DC5948" w14:textId="14BA1FF1" w:rsidR="00000462" w:rsidRDefault="00000462" w:rsidP="007D66A9">
            <w:pPr>
              <w:pStyle w:val="Tabletext"/>
              <w:rPr>
                <w:lang w:eastAsia="en-AU"/>
              </w:rPr>
            </w:pPr>
            <w:r>
              <w:rPr>
                <w:lang w:eastAsia="en-AU"/>
              </w:rPr>
              <w:t>No change – Gender balanced</w:t>
            </w:r>
          </w:p>
        </w:tc>
      </w:tr>
      <w:tr w:rsidR="00000462" w:rsidRPr="00406DA3" w14:paraId="07F90875" w14:textId="77777777" w:rsidTr="003E04E0">
        <w:tc>
          <w:tcPr>
            <w:tcW w:w="2168" w:type="dxa"/>
          </w:tcPr>
          <w:p w14:paraId="3E5534A9" w14:textId="6A9D4E8A" w:rsidR="00000462" w:rsidRPr="00406DA3" w:rsidRDefault="00000462" w:rsidP="007D66A9">
            <w:pPr>
              <w:pStyle w:val="Tabletext"/>
              <w:rPr>
                <w:lang w:eastAsia="en-AU"/>
              </w:rPr>
            </w:pPr>
            <w:r>
              <w:rPr>
                <w:lang w:eastAsia="en-AU"/>
              </w:rPr>
              <w:t xml:space="preserve">Machinery </w:t>
            </w:r>
            <w:r w:rsidR="003E04E0">
              <w:rPr>
                <w:lang w:eastAsia="en-AU"/>
              </w:rPr>
              <w:t>o</w:t>
            </w:r>
            <w:r>
              <w:rPr>
                <w:lang w:eastAsia="en-AU"/>
              </w:rPr>
              <w:t xml:space="preserve">perators and </w:t>
            </w:r>
            <w:r w:rsidR="003E04E0">
              <w:rPr>
                <w:lang w:eastAsia="en-AU"/>
              </w:rPr>
              <w:t>d</w:t>
            </w:r>
            <w:r>
              <w:rPr>
                <w:lang w:eastAsia="en-AU"/>
              </w:rPr>
              <w:t>rivers</w:t>
            </w:r>
          </w:p>
        </w:tc>
        <w:tc>
          <w:tcPr>
            <w:tcW w:w="908" w:type="dxa"/>
          </w:tcPr>
          <w:p w14:paraId="65D210A2" w14:textId="19C4EAED" w:rsidR="00000462" w:rsidRPr="00EC01D8" w:rsidRDefault="00000462" w:rsidP="007D66A9">
            <w:pPr>
              <w:pStyle w:val="Tabletext"/>
              <w:rPr>
                <w:lang w:eastAsia="en-AU"/>
              </w:rPr>
            </w:pPr>
            <w:r>
              <w:rPr>
                <w:lang w:eastAsia="en-AU"/>
              </w:rPr>
              <w:t>10.6%</w:t>
            </w:r>
          </w:p>
        </w:tc>
        <w:tc>
          <w:tcPr>
            <w:tcW w:w="909" w:type="dxa"/>
          </w:tcPr>
          <w:p w14:paraId="46D51482" w14:textId="4B159908" w:rsidR="00000462" w:rsidRPr="00EC01D8" w:rsidRDefault="00000462" w:rsidP="007D66A9">
            <w:pPr>
              <w:pStyle w:val="Tabletext"/>
              <w:rPr>
                <w:lang w:eastAsia="en-AU"/>
              </w:rPr>
            </w:pPr>
            <w:r>
              <w:rPr>
                <w:lang w:eastAsia="en-AU"/>
              </w:rPr>
              <w:t>15.4%</w:t>
            </w:r>
          </w:p>
        </w:tc>
        <w:tc>
          <w:tcPr>
            <w:tcW w:w="909" w:type="dxa"/>
          </w:tcPr>
          <w:p w14:paraId="77808A27" w14:textId="2BDE7DAA" w:rsidR="00000462" w:rsidRPr="00406DA3" w:rsidRDefault="00000462" w:rsidP="007D66A9">
            <w:pPr>
              <w:pStyle w:val="Tabletext"/>
              <w:rPr>
                <w:lang w:eastAsia="en-AU"/>
              </w:rPr>
            </w:pPr>
            <w:r>
              <w:rPr>
                <w:lang w:eastAsia="en-AU"/>
              </w:rPr>
              <w:t>16.9%</w:t>
            </w:r>
          </w:p>
        </w:tc>
        <w:tc>
          <w:tcPr>
            <w:tcW w:w="1349" w:type="dxa"/>
          </w:tcPr>
          <w:p w14:paraId="1940EC96" w14:textId="512A4A62" w:rsidR="00000462" w:rsidRPr="00406DA3" w:rsidRDefault="00000462" w:rsidP="007D66A9">
            <w:pPr>
              <w:pStyle w:val="Tabletext"/>
              <w:rPr>
                <w:lang w:eastAsia="en-AU"/>
              </w:rPr>
            </w:pPr>
            <w:r>
              <w:rPr>
                <w:lang w:eastAsia="en-AU"/>
              </w:rPr>
              <w:t>+6.3pp</w:t>
            </w:r>
          </w:p>
        </w:tc>
        <w:tc>
          <w:tcPr>
            <w:tcW w:w="3055" w:type="dxa"/>
          </w:tcPr>
          <w:p w14:paraId="6AC0F80D" w14:textId="7204D6B5" w:rsidR="00000462" w:rsidRDefault="00000462" w:rsidP="007D66A9">
            <w:pPr>
              <w:pStyle w:val="Tabletext"/>
              <w:rPr>
                <w:lang w:eastAsia="en-AU"/>
              </w:rPr>
            </w:pPr>
            <w:r>
              <w:rPr>
                <w:lang w:eastAsia="en-AU"/>
              </w:rPr>
              <w:t>No change – Highly men-concentrated</w:t>
            </w:r>
          </w:p>
        </w:tc>
      </w:tr>
      <w:tr w:rsidR="00000462" w:rsidRPr="00406DA3" w14:paraId="6DD87CAC" w14:textId="77777777" w:rsidTr="003E04E0">
        <w:tc>
          <w:tcPr>
            <w:tcW w:w="2168" w:type="dxa"/>
          </w:tcPr>
          <w:p w14:paraId="54182EB9" w14:textId="37162B10" w:rsidR="00000462" w:rsidRDefault="00000462" w:rsidP="007D66A9">
            <w:pPr>
              <w:pStyle w:val="Tabletext"/>
              <w:rPr>
                <w:lang w:eastAsia="en-AU"/>
              </w:rPr>
            </w:pPr>
            <w:r w:rsidRPr="00406DA3">
              <w:rPr>
                <w:lang w:eastAsia="en-AU"/>
              </w:rPr>
              <w:t>Managers</w:t>
            </w:r>
          </w:p>
        </w:tc>
        <w:tc>
          <w:tcPr>
            <w:tcW w:w="908" w:type="dxa"/>
          </w:tcPr>
          <w:p w14:paraId="3EC5430D" w14:textId="687EDCB4" w:rsidR="00000462" w:rsidRDefault="00000462" w:rsidP="007D66A9">
            <w:pPr>
              <w:pStyle w:val="Tabletext"/>
              <w:rPr>
                <w:lang w:eastAsia="en-AU"/>
              </w:rPr>
            </w:pPr>
            <w:r>
              <w:rPr>
                <w:lang w:eastAsia="en-AU"/>
              </w:rPr>
              <w:t>52.5%</w:t>
            </w:r>
          </w:p>
        </w:tc>
        <w:tc>
          <w:tcPr>
            <w:tcW w:w="909" w:type="dxa"/>
          </w:tcPr>
          <w:p w14:paraId="30AA2D61" w14:textId="65E5C1B3" w:rsidR="00000462" w:rsidRDefault="00000462" w:rsidP="007D66A9">
            <w:pPr>
              <w:pStyle w:val="Tabletext"/>
              <w:rPr>
                <w:lang w:eastAsia="en-AU"/>
              </w:rPr>
            </w:pPr>
            <w:r>
              <w:rPr>
                <w:lang w:eastAsia="en-AU"/>
              </w:rPr>
              <w:t>54.8%</w:t>
            </w:r>
          </w:p>
        </w:tc>
        <w:tc>
          <w:tcPr>
            <w:tcW w:w="909" w:type="dxa"/>
          </w:tcPr>
          <w:p w14:paraId="0B9BAC0C" w14:textId="3A44E7D7" w:rsidR="00000462" w:rsidRDefault="00000462" w:rsidP="007D66A9">
            <w:pPr>
              <w:pStyle w:val="Tabletext"/>
              <w:rPr>
                <w:lang w:eastAsia="en-AU"/>
              </w:rPr>
            </w:pPr>
            <w:r>
              <w:rPr>
                <w:lang w:eastAsia="en-AU"/>
              </w:rPr>
              <w:t>55.9%</w:t>
            </w:r>
          </w:p>
        </w:tc>
        <w:tc>
          <w:tcPr>
            <w:tcW w:w="1349" w:type="dxa"/>
          </w:tcPr>
          <w:p w14:paraId="6E23F89C" w14:textId="007EE798" w:rsidR="00000462" w:rsidRDefault="00000462" w:rsidP="007D66A9">
            <w:pPr>
              <w:pStyle w:val="Tabletext"/>
              <w:rPr>
                <w:lang w:eastAsia="en-AU"/>
              </w:rPr>
            </w:pPr>
            <w:r>
              <w:rPr>
                <w:lang w:eastAsia="en-AU"/>
              </w:rPr>
              <w:t>+3.4pp</w:t>
            </w:r>
          </w:p>
        </w:tc>
        <w:tc>
          <w:tcPr>
            <w:tcW w:w="3055" w:type="dxa"/>
          </w:tcPr>
          <w:p w14:paraId="750577F9" w14:textId="2B4288B7" w:rsidR="00000462" w:rsidRDefault="00000462" w:rsidP="007D66A9">
            <w:pPr>
              <w:pStyle w:val="Tabletext"/>
              <w:rPr>
                <w:lang w:eastAsia="en-AU"/>
              </w:rPr>
            </w:pPr>
            <w:r>
              <w:rPr>
                <w:lang w:eastAsia="en-AU"/>
              </w:rPr>
              <w:t xml:space="preserve">More segregation </w:t>
            </w:r>
            <w:r w:rsidR="00137D8F">
              <w:rPr>
                <w:lang w:eastAsia="en-AU"/>
              </w:rPr>
              <w:t>–</w:t>
            </w:r>
            <w:r>
              <w:rPr>
                <w:lang w:eastAsia="en-AU"/>
              </w:rPr>
              <w:t xml:space="preserve"> Slightly women-concentrated</w:t>
            </w:r>
          </w:p>
        </w:tc>
      </w:tr>
      <w:tr w:rsidR="00000462" w:rsidRPr="00406DA3" w14:paraId="203D2783" w14:textId="77777777" w:rsidTr="003E04E0">
        <w:tc>
          <w:tcPr>
            <w:tcW w:w="2168" w:type="dxa"/>
          </w:tcPr>
          <w:p w14:paraId="4D7F4516" w14:textId="29DA301A" w:rsidR="00000462" w:rsidRDefault="00000462" w:rsidP="007D66A9">
            <w:pPr>
              <w:pStyle w:val="Tabletext"/>
              <w:rPr>
                <w:lang w:eastAsia="en-AU"/>
              </w:rPr>
            </w:pPr>
            <w:r w:rsidRPr="00406DA3">
              <w:rPr>
                <w:lang w:eastAsia="en-AU"/>
              </w:rPr>
              <w:t>Professionals</w:t>
            </w:r>
          </w:p>
        </w:tc>
        <w:tc>
          <w:tcPr>
            <w:tcW w:w="908" w:type="dxa"/>
          </w:tcPr>
          <w:p w14:paraId="268A2B5E" w14:textId="32741224" w:rsidR="00000462" w:rsidRDefault="00000462" w:rsidP="007D66A9">
            <w:pPr>
              <w:pStyle w:val="Tabletext"/>
              <w:rPr>
                <w:lang w:eastAsia="en-AU"/>
              </w:rPr>
            </w:pPr>
            <w:r>
              <w:rPr>
                <w:lang w:eastAsia="en-AU"/>
              </w:rPr>
              <w:t>70.2%</w:t>
            </w:r>
          </w:p>
        </w:tc>
        <w:tc>
          <w:tcPr>
            <w:tcW w:w="909" w:type="dxa"/>
          </w:tcPr>
          <w:p w14:paraId="1DAE8ED7" w14:textId="29E8BE81" w:rsidR="00000462" w:rsidRDefault="00000462" w:rsidP="007D66A9">
            <w:pPr>
              <w:pStyle w:val="Tabletext"/>
              <w:rPr>
                <w:lang w:eastAsia="en-AU"/>
              </w:rPr>
            </w:pPr>
            <w:r>
              <w:rPr>
                <w:lang w:eastAsia="en-AU"/>
              </w:rPr>
              <w:t>70.1%</w:t>
            </w:r>
          </w:p>
        </w:tc>
        <w:tc>
          <w:tcPr>
            <w:tcW w:w="909" w:type="dxa"/>
          </w:tcPr>
          <w:p w14:paraId="4CAA91D7" w14:textId="60E12304" w:rsidR="00000462" w:rsidRDefault="00000462" w:rsidP="007D66A9">
            <w:pPr>
              <w:pStyle w:val="Tabletext"/>
              <w:rPr>
                <w:lang w:eastAsia="en-AU"/>
              </w:rPr>
            </w:pPr>
            <w:r>
              <w:rPr>
                <w:lang w:eastAsia="en-AU"/>
              </w:rPr>
              <w:t>69.5%</w:t>
            </w:r>
          </w:p>
        </w:tc>
        <w:tc>
          <w:tcPr>
            <w:tcW w:w="1349" w:type="dxa"/>
          </w:tcPr>
          <w:p w14:paraId="46A9C6BD" w14:textId="38094D96" w:rsidR="00000462" w:rsidRDefault="00000462" w:rsidP="007D66A9">
            <w:pPr>
              <w:pStyle w:val="Tabletext"/>
              <w:rPr>
                <w:lang w:eastAsia="en-AU"/>
              </w:rPr>
            </w:pPr>
            <w:r>
              <w:rPr>
                <w:lang w:eastAsia="en-AU"/>
              </w:rPr>
              <w:t>-0.7pp</w:t>
            </w:r>
          </w:p>
        </w:tc>
        <w:tc>
          <w:tcPr>
            <w:tcW w:w="3055" w:type="dxa"/>
          </w:tcPr>
          <w:p w14:paraId="7A3A0E22" w14:textId="57F23401" w:rsidR="00000462" w:rsidRDefault="00000462" w:rsidP="007D66A9">
            <w:pPr>
              <w:pStyle w:val="Tabletext"/>
              <w:rPr>
                <w:lang w:eastAsia="en-AU"/>
              </w:rPr>
            </w:pPr>
            <w:r>
              <w:rPr>
                <w:lang w:eastAsia="en-AU"/>
              </w:rPr>
              <w:t>No change – Moderately women-concentrated</w:t>
            </w:r>
          </w:p>
        </w:tc>
      </w:tr>
      <w:tr w:rsidR="00000462" w:rsidRPr="00406DA3" w14:paraId="52FD34BF" w14:textId="77777777" w:rsidTr="003E04E0">
        <w:tc>
          <w:tcPr>
            <w:tcW w:w="2168" w:type="dxa"/>
            <w:hideMark/>
          </w:tcPr>
          <w:p w14:paraId="2A3ADCB5" w14:textId="00AC8422" w:rsidR="00000462" w:rsidRPr="00406DA3" w:rsidRDefault="00000462" w:rsidP="007D66A9">
            <w:pPr>
              <w:pStyle w:val="Tabletext"/>
              <w:rPr>
                <w:lang w:eastAsia="en-AU"/>
              </w:rPr>
            </w:pPr>
            <w:r>
              <w:rPr>
                <w:lang w:eastAsia="en-AU"/>
              </w:rPr>
              <w:t xml:space="preserve">Sales </w:t>
            </w:r>
            <w:r w:rsidR="003E04E0">
              <w:rPr>
                <w:lang w:eastAsia="en-AU"/>
              </w:rPr>
              <w:t>w</w:t>
            </w:r>
            <w:r>
              <w:rPr>
                <w:lang w:eastAsia="en-AU"/>
              </w:rPr>
              <w:t>orkers</w:t>
            </w:r>
          </w:p>
        </w:tc>
        <w:tc>
          <w:tcPr>
            <w:tcW w:w="908" w:type="dxa"/>
            <w:hideMark/>
          </w:tcPr>
          <w:p w14:paraId="2F31D58F" w14:textId="7A3A2D7C" w:rsidR="00000462" w:rsidRPr="00406DA3" w:rsidRDefault="00000462" w:rsidP="007D66A9">
            <w:pPr>
              <w:pStyle w:val="Tabletext"/>
              <w:rPr>
                <w:lang w:eastAsia="en-AU"/>
              </w:rPr>
            </w:pPr>
            <w:r>
              <w:rPr>
                <w:lang w:eastAsia="en-AU"/>
              </w:rPr>
              <w:t>52.8%</w:t>
            </w:r>
          </w:p>
        </w:tc>
        <w:tc>
          <w:tcPr>
            <w:tcW w:w="909" w:type="dxa"/>
            <w:hideMark/>
          </w:tcPr>
          <w:p w14:paraId="25DAA591" w14:textId="4573E0C7" w:rsidR="00000462" w:rsidRPr="00406DA3" w:rsidRDefault="00000462" w:rsidP="007D66A9">
            <w:pPr>
              <w:pStyle w:val="Tabletext"/>
              <w:rPr>
                <w:lang w:eastAsia="en-AU"/>
              </w:rPr>
            </w:pPr>
            <w:r>
              <w:rPr>
                <w:lang w:eastAsia="en-AU"/>
              </w:rPr>
              <w:t>56.3%</w:t>
            </w:r>
          </w:p>
        </w:tc>
        <w:tc>
          <w:tcPr>
            <w:tcW w:w="909" w:type="dxa"/>
            <w:hideMark/>
          </w:tcPr>
          <w:p w14:paraId="500E849D" w14:textId="1FF43AFF" w:rsidR="00000462" w:rsidRPr="00406DA3" w:rsidRDefault="00000462" w:rsidP="007D66A9">
            <w:pPr>
              <w:pStyle w:val="Tabletext"/>
              <w:rPr>
                <w:lang w:eastAsia="en-AU"/>
              </w:rPr>
            </w:pPr>
            <w:r>
              <w:rPr>
                <w:lang w:eastAsia="en-AU"/>
              </w:rPr>
              <w:t>56.6%</w:t>
            </w:r>
          </w:p>
        </w:tc>
        <w:tc>
          <w:tcPr>
            <w:tcW w:w="1349" w:type="dxa"/>
            <w:hideMark/>
          </w:tcPr>
          <w:p w14:paraId="58026C2D" w14:textId="5CF012EA" w:rsidR="00000462" w:rsidRPr="00406DA3" w:rsidRDefault="00000462" w:rsidP="007D66A9">
            <w:pPr>
              <w:pStyle w:val="Tabletext"/>
              <w:rPr>
                <w:lang w:eastAsia="en-AU"/>
              </w:rPr>
            </w:pPr>
            <w:r>
              <w:rPr>
                <w:lang w:eastAsia="en-AU"/>
              </w:rPr>
              <w:t>+3.8pp</w:t>
            </w:r>
          </w:p>
        </w:tc>
        <w:tc>
          <w:tcPr>
            <w:tcW w:w="3055" w:type="dxa"/>
            <w:hideMark/>
          </w:tcPr>
          <w:p w14:paraId="6FFCDED3" w14:textId="01028E9F" w:rsidR="00000462" w:rsidRPr="00406DA3" w:rsidRDefault="00000462" w:rsidP="007D66A9">
            <w:pPr>
              <w:pStyle w:val="Tabletext"/>
              <w:rPr>
                <w:lang w:eastAsia="en-AU"/>
              </w:rPr>
            </w:pPr>
            <w:r>
              <w:rPr>
                <w:lang w:eastAsia="en-AU"/>
              </w:rPr>
              <w:t xml:space="preserve">More segregation </w:t>
            </w:r>
            <w:r w:rsidR="00137D8F">
              <w:rPr>
                <w:lang w:eastAsia="en-AU"/>
              </w:rPr>
              <w:t>–</w:t>
            </w:r>
            <w:r>
              <w:rPr>
                <w:lang w:eastAsia="en-AU"/>
              </w:rPr>
              <w:t xml:space="preserve"> Slightly women-concentrated</w:t>
            </w:r>
          </w:p>
        </w:tc>
      </w:tr>
      <w:tr w:rsidR="00000462" w:rsidRPr="00406DA3" w14:paraId="32CFFDAD" w14:textId="77777777" w:rsidTr="003E04E0">
        <w:tc>
          <w:tcPr>
            <w:tcW w:w="2168" w:type="dxa"/>
          </w:tcPr>
          <w:p w14:paraId="21B057E4" w14:textId="7B10EC89" w:rsidR="00000462" w:rsidRDefault="00000462" w:rsidP="007D66A9">
            <w:pPr>
              <w:pStyle w:val="Tabletext"/>
              <w:rPr>
                <w:lang w:eastAsia="en-AU"/>
              </w:rPr>
            </w:pPr>
            <w:r w:rsidRPr="0098071E">
              <w:rPr>
                <w:lang w:eastAsia="en-AU"/>
              </w:rPr>
              <w:t xml:space="preserve">Technicians </w:t>
            </w:r>
            <w:r w:rsidR="00B26123">
              <w:rPr>
                <w:lang w:eastAsia="en-AU"/>
              </w:rPr>
              <w:t>and</w:t>
            </w:r>
            <w:r w:rsidRPr="0098071E">
              <w:rPr>
                <w:lang w:eastAsia="en-AU"/>
              </w:rPr>
              <w:t xml:space="preserve"> </w:t>
            </w:r>
            <w:r w:rsidR="003E04E0">
              <w:rPr>
                <w:lang w:eastAsia="en-AU"/>
              </w:rPr>
              <w:t>t</w:t>
            </w:r>
            <w:r w:rsidRPr="0098071E">
              <w:rPr>
                <w:lang w:eastAsia="en-AU"/>
              </w:rPr>
              <w:t>rades</w:t>
            </w:r>
          </w:p>
        </w:tc>
        <w:tc>
          <w:tcPr>
            <w:tcW w:w="908" w:type="dxa"/>
          </w:tcPr>
          <w:p w14:paraId="05288260" w14:textId="7A75CAB6" w:rsidR="00000462" w:rsidRPr="00EC01D8" w:rsidRDefault="00000462" w:rsidP="007D66A9">
            <w:pPr>
              <w:pStyle w:val="Tabletext"/>
              <w:rPr>
                <w:lang w:eastAsia="en-AU"/>
              </w:rPr>
            </w:pPr>
            <w:r>
              <w:rPr>
                <w:lang w:eastAsia="en-AU"/>
              </w:rPr>
              <w:t>38.8%</w:t>
            </w:r>
          </w:p>
        </w:tc>
        <w:tc>
          <w:tcPr>
            <w:tcW w:w="909" w:type="dxa"/>
          </w:tcPr>
          <w:p w14:paraId="7E1E475B" w14:textId="6BBBAA04" w:rsidR="00000462" w:rsidRPr="00EC01D8" w:rsidRDefault="00000462" w:rsidP="007D66A9">
            <w:pPr>
              <w:pStyle w:val="Tabletext"/>
              <w:rPr>
                <w:lang w:eastAsia="en-AU"/>
              </w:rPr>
            </w:pPr>
            <w:r>
              <w:rPr>
                <w:lang w:eastAsia="en-AU"/>
              </w:rPr>
              <w:t>40.2%</w:t>
            </w:r>
          </w:p>
        </w:tc>
        <w:tc>
          <w:tcPr>
            <w:tcW w:w="909" w:type="dxa"/>
          </w:tcPr>
          <w:p w14:paraId="6AA46DE2" w14:textId="5C681BF3" w:rsidR="00000462" w:rsidRPr="00406DA3" w:rsidRDefault="00000462" w:rsidP="007D66A9">
            <w:pPr>
              <w:pStyle w:val="Tabletext"/>
              <w:rPr>
                <w:lang w:eastAsia="en-AU"/>
              </w:rPr>
            </w:pPr>
            <w:r>
              <w:rPr>
                <w:lang w:eastAsia="en-AU"/>
              </w:rPr>
              <w:t>40.9%</w:t>
            </w:r>
          </w:p>
        </w:tc>
        <w:tc>
          <w:tcPr>
            <w:tcW w:w="1349" w:type="dxa"/>
          </w:tcPr>
          <w:p w14:paraId="411872CF" w14:textId="40432215" w:rsidR="00000462" w:rsidRPr="00406DA3" w:rsidRDefault="00000462" w:rsidP="007D66A9">
            <w:pPr>
              <w:pStyle w:val="Tabletext"/>
              <w:rPr>
                <w:lang w:eastAsia="en-AU"/>
              </w:rPr>
            </w:pPr>
            <w:r>
              <w:rPr>
                <w:lang w:eastAsia="en-AU"/>
              </w:rPr>
              <w:t>+2.1pp</w:t>
            </w:r>
          </w:p>
        </w:tc>
        <w:tc>
          <w:tcPr>
            <w:tcW w:w="3055" w:type="dxa"/>
          </w:tcPr>
          <w:p w14:paraId="61F944C4" w14:textId="011497AB" w:rsidR="00000462" w:rsidRDefault="00000462" w:rsidP="007D66A9">
            <w:pPr>
              <w:pStyle w:val="Tabletext"/>
              <w:rPr>
                <w:lang w:eastAsia="en-AU"/>
              </w:rPr>
            </w:pPr>
            <w:r>
              <w:rPr>
                <w:lang w:eastAsia="en-AU"/>
              </w:rPr>
              <w:t xml:space="preserve">No change </w:t>
            </w:r>
            <w:r w:rsidR="00137D8F">
              <w:rPr>
                <w:lang w:eastAsia="en-AU"/>
              </w:rPr>
              <w:t>–</w:t>
            </w:r>
            <w:r>
              <w:rPr>
                <w:lang w:eastAsia="en-AU"/>
              </w:rPr>
              <w:t xml:space="preserve"> Slightly men-concentrated</w:t>
            </w:r>
          </w:p>
        </w:tc>
      </w:tr>
    </w:tbl>
    <w:p w14:paraId="440FFB4D" w14:textId="77777777" w:rsidR="00D11A91" w:rsidRDefault="00D11A91" w:rsidP="008E40F5">
      <w:pPr>
        <w:pStyle w:val="Tablefigurenote"/>
      </w:pPr>
      <w:r w:rsidRPr="00136D6E">
        <w:t>Source: Workplace gender audit workforce data, 2021</w:t>
      </w:r>
      <w:r>
        <w:t>, 2023 and 2025.</w:t>
      </w:r>
    </w:p>
    <w:p w14:paraId="2F8554EB" w14:textId="6EAB68B5" w:rsidR="006A2E07" w:rsidRDefault="008E40F5" w:rsidP="008E40F5">
      <w:pPr>
        <w:pStyle w:val="Tablefigurenote"/>
        <w:rPr>
          <w:rFonts w:cs="Arial"/>
          <w:szCs w:val="21"/>
          <w:lang w:eastAsia="en-AU"/>
        </w:rPr>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004C3436" w:rsidRPr="004C3436">
        <w:t xml:space="preserve"> </w:t>
      </w:r>
      <w:r w:rsidR="004C3436" w:rsidRPr="00AE1037">
        <w:t xml:space="preserve">The </w:t>
      </w:r>
      <w:r w:rsidR="004C3436">
        <w:t xml:space="preserve">percentage point </w:t>
      </w:r>
      <w:r w:rsidR="004C3436" w:rsidRPr="00AE1037">
        <w:t>change column may not always reflect the exact difference between years due to rounding</w:t>
      </w:r>
      <w:r w:rsidRPr="00C27278">
        <w:t>.</w:t>
      </w:r>
    </w:p>
    <w:p w14:paraId="51561C66" w14:textId="5D861B13" w:rsidR="0061610A" w:rsidRPr="006A2E07" w:rsidRDefault="0061610A" w:rsidP="00137D8F">
      <w:pPr>
        <w:pStyle w:val="Tablecaption"/>
        <w:rPr>
          <w:rFonts w:cs="Arial"/>
          <w:b w:val="0"/>
          <w:bCs/>
          <w:szCs w:val="21"/>
          <w:lang w:eastAsia="en-AU"/>
        </w:rPr>
      </w:pPr>
      <w:r w:rsidRPr="00325903">
        <w:rPr>
          <w:lang w:eastAsia="en-AU"/>
        </w:rPr>
        <w:t xml:space="preserve">Table 7.2: Occupational </w:t>
      </w:r>
      <w:r w:rsidR="00F44444">
        <w:rPr>
          <w:lang w:eastAsia="en-AU"/>
        </w:rPr>
        <w:t>b</w:t>
      </w:r>
      <w:r w:rsidRPr="00325903">
        <w:rPr>
          <w:lang w:eastAsia="en-AU"/>
        </w:rPr>
        <w:t xml:space="preserve">alance </w:t>
      </w:r>
      <w:r w:rsidR="00F44444">
        <w:rPr>
          <w:lang w:eastAsia="en-AU"/>
        </w:rPr>
        <w:t>t</w:t>
      </w:r>
      <w:r w:rsidRPr="00325903">
        <w:rPr>
          <w:lang w:eastAsia="en-AU"/>
        </w:rPr>
        <w:t>rends</w:t>
      </w:r>
    </w:p>
    <w:tbl>
      <w:tblPr>
        <w:tblStyle w:val="CGEPStable"/>
        <w:tblW w:w="0" w:type="auto"/>
        <w:tblLook w:val="04A0" w:firstRow="1" w:lastRow="0" w:firstColumn="1" w:lastColumn="0" w:noHBand="0" w:noVBand="1"/>
      </w:tblPr>
      <w:tblGrid>
        <w:gridCol w:w="3404"/>
        <w:gridCol w:w="944"/>
        <w:gridCol w:w="944"/>
        <w:gridCol w:w="945"/>
        <w:gridCol w:w="3061"/>
      </w:tblGrid>
      <w:tr w:rsidR="0061610A" w:rsidRPr="00CE60B5" w14:paraId="7BC696DE" w14:textId="77777777" w:rsidTr="00137D8F">
        <w:trPr>
          <w:cnfStyle w:val="100000000000" w:firstRow="1" w:lastRow="0" w:firstColumn="0" w:lastColumn="0" w:oddVBand="0" w:evenVBand="0" w:oddHBand="0" w:evenHBand="0" w:firstRowFirstColumn="0" w:firstRowLastColumn="0" w:lastRowFirstColumn="0" w:lastRowLastColumn="0"/>
        </w:trPr>
        <w:tc>
          <w:tcPr>
            <w:tcW w:w="0" w:type="auto"/>
            <w:hideMark/>
          </w:tcPr>
          <w:p w14:paraId="6F8C606D" w14:textId="77777777" w:rsidR="0061610A" w:rsidRPr="006A2E07" w:rsidRDefault="0061610A" w:rsidP="00137D8F">
            <w:pPr>
              <w:pStyle w:val="Tablecolhead"/>
              <w:rPr>
                <w:rFonts w:cs="Arial"/>
                <w:b w:val="0"/>
                <w:szCs w:val="21"/>
                <w:lang w:eastAsia="en-AU"/>
              </w:rPr>
            </w:pPr>
            <w:r w:rsidRPr="006A2E07">
              <w:rPr>
                <w:lang w:eastAsia="en-AU"/>
              </w:rPr>
              <w:t>Segregation Category</w:t>
            </w:r>
          </w:p>
        </w:tc>
        <w:tc>
          <w:tcPr>
            <w:tcW w:w="944" w:type="dxa"/>
            <w:hideMark/>
          </w:tcPr>
          <w:p w14:paraId="775C1A99" w14:textId="107D7DB5" w:rsidR="0061610A" w:rsidRPr="006A2E07" w:rsidRDefault="0061610A" w:rsidP="00137D8F">
            <w:pPr>
              <w:pStyle w:val="Tablecolhead"/>
              <w:rPr>
                <w:rFonts w:cs="Arial"/>
                <w:b w:val="0"/>
                <w:szCs w:val="21"/>
                <w:lang w:eastAsia="en-AU"/>
              </w:rPr>
            </w:pPr>
            <w:r w:rsidRPr="006A2E07">
              <w:rPr>
                <w:lang w:eastAsia="en-AU"/>
              </w:rPr>
              <w:t xml:space="preserve">2021 </w:t>
            </w:r>
          </w:p>
        </w:tc>
        <w:tc>
          <w:tcPr>
            <w:tcW w:w="944" w:type="dxa"/>
          </w:tcPr>
          <w:p w14:paraId="6B318259" w14:textId="394C45F9" w:rsidR="00141AFC" w:rsidRPr="006A2E07" w:rsidRDefault="00141AFC" w:rsidP="00137D8F">
            <w:pPr>
              <w:pStyle w:val="Tablecolhead"/>
              <w:rPr>
                <w:rFonts w:cs="Arial"/>
                <w:b w:val="0"/>
                <w:szCs w:val="21"/>
                <w:lang w:eastAsia="en-AU"/>
              </w:rPr>
            </w:pPr>
            <w:r w:rsidRPr="006A2E07">
              <w:rPr>
                <w:lang w:eastAsia="en-AU"/>
              </w:rPr>
              <w:t>202</w:t>
            </w:r>
            <w:r>
              <w:rPr>
                <w:rFonts w:cs="Arial"/>
                <w:szCs w:val="21"/>
                <w:lang w:eastAsia="en-AU"/>
              </w:rPr>
              <w:t>3</w:t>
            </w:r>
            <w:r w:rsidRPr="006A2E07">
              <w:rPr>
                <w:rFonts w:cs="Arial"/>
                <w:szCs w:val="21"/>
                <w:lang w:eastAsia="en-AU"/>
              </w:rPr>
              <w:t xml:space="preserve"> </w:t>
            </w:r>
          </w:p>
        </w:tc>
        <w:tc>
          <w:tcPr>
            <w:tcW w:w="945" w:type="dxa"/>
            <w:hideMark/>
          </w:tcPr>
          <w:p w14:paraId="23755A18" w14:textId="3E25244B" w:rsidR="0061610A" w:rsidRPr="006A2E07" w:rsidRDefault="0061610A" w:rsidP="00137D8F">
            <w:pPr>
              <w:pStyle w:val="Tablecolhead"/>
              <w:rPr>
                <w:rFonts w:cs="Arial"/>
                <w:b w:val="0"/>
                <w:szCs w:val="21"/>
                <w:lang w:eastAsia="en-AU"/>
              </w:rPr>
            </w:pPr>
            <w:r w:rsidRPr="006A2E07">
              <w:rPr>
                <w:lang w:eastAsia="en-AU"/>
              </w:rPr>
              <w:t xml:space="preserve">2025 </w:t>
            </w:r>
          </w:p>
        </w:tc>
        <w:tc>
          <w:tcPr>
            <w:tcW w:w="3061" w:type="dxa"/>
            <w:hideMark/>
          </w:tcPr>
          <w:p w14:paraId="680DFD98" w14:textId="775E7137" w:rsidR="0061610A" w:rsidRPr="006A2E07" w:rsidRDefault="009761DA" w:rsidP="00137D8F">
            <w:pPr>
              <w:pStyle w:val="Tablecolhead"/>
              <w:rPr>
                <w:rFonts w:cs="Arial"/>
                <w:b w:val="0"/>
                <w:szCs w:val="21"/>
                <w:lang w:eastAsia="en-AU"/>
              </w:rPr>
            </w:pPr>
            <w:r>
              <w:rPr>
                <w:lang w:eastAsia="en-AU"/>
              </w:rPr>
              <w:t xml:space="preserve">Percentage </w:t>
            </w:r>
            <w:r w:rsidR="00BE46C0">
              <w:rPr>
                <w:bCs/>
                <w:lang w:eastAsia="en-AU"/>
              </w:rPr>
              <w:t>point change</w:t>
            </w:r>
            <w:r>
              <w:rPr>
                <w:lang w:eastAsia="en-AU"/>
              </w:rPr>
              <w:t xml:space="preserve"> 2021</w:t>
            </w:r>
            <w:r w:rsidR="00BE46C0">
              <w:rPr>
                <w:bCs/>
                <w:lang w:eastAsia="en-AU"/>
              </w:rPr>
              <w:t>-</w:t>
            </w:r>
            <w:r>
              <w:rPr>
                <w:lang w:eastAsia="en-AU"/>
              </w:rPr>
              <w:t>2025</w:t>
            </w:r>
          </w:p>
        </w:tc>
      </w:tr>
      <w:tr w:rsidR="008635DC" w:rsidRPr="00CE60B5" w14:paraId="4659CA18" w14:textId="77777777" w:rsidTr="00137D8F">
        <w:tc>
          <w:tcPr>
            <w:tcW w:w="0" w:type="auto"/>
            <w:hideMark/>
          </w:tcPr>
          <w:p w14:paraId="0C96BD03" w14:textId="5C934828" w:rsidR="008635DC" w:rsidRPr="00CE60B5" w:rsidRDefault="008635DC" w:rsidP="00137D8F">
            <w:pPr>
              <w:pStyle w:val="Tabletext"/>
              <w:rPr>
                <w:rFonts w:cs="Arial"/>
                <w:szCs w:val="21"/>
                <w:lang w:eastAsia="en-AU"/>
              </w:rPr>
            </w:pPr>
            <w:r w:rsidRPr="00CE60B5">
              <w:rPr>
                <w:rFonts w:cs="Arial"/>
                <w:szCs w:val="21"/>
                <w:lang w:eastAsia="en-AU"/>
              </w:rPr>
              <w:t>Balanced occupations (45-55%)</w:t>
            </w:r>
          </w:p>
        </w:tc>
        <w:tc>
          <w:tcPr>
            <w:tcW w:w="944" w:type="dxa"/>
            <w:hideMark/>
          </w:tcPr>
          <w:p w14:paraId="0DDDC108" w14:textId="1F493B67" w:rsidR="008635DC" w:rsidRPr="00CE60B5" w:rsidRDefault="003922A7" w:rsidP="00137D8F">
            <w:pPr>
              <w:pStyle w:val="Tabletext"/>
              <w:rPr>
                <w:rFonts w:cs="Arial"/>
                <w:szCs w:val="21"/>
                <w:lang w:eastAsia="en-AU"/>
              </w:rPr>
            </w:pPr>
            <w:r>
              <w:rPr>
                <w:lang w:eastAsia="en-AU"/>
              </w:rPr>
              <w:t>3</w:t>
            </w:r>
            <w:r w:rsidR="009E460A">
              <w:rPr>
                <w:lang w:eastAsia="en-AU"/>
              </w:rPr>
              <w:t>7</w:t>
            </w:r>
            <w:r>
              <w:rPr>
                <w:lang w:eastAsia="en-AU"/>
              </w:rPr>
              <w:t>.</w:t>
            </w:r>
            <w:r w:rsidR="009E460A">
              <w:rPr>
                <w:lang w:eastAsia="en-AU"/>
              </w:rPr>
              <w:t>5</w:t>
            </w:r>
            <w:r>
              <w:rPr>
                <w:lang w:eastAsia="en-AU"/>
              </w:rPr>
              <w:t>%</w:t>
            </w:r>
          </w:p>
        </w:tc>
        <w:tc>
          <w:tcPr>
            <w:tcW w:w="944" w:type="dxa"/>
          </w:tcPr>
          <w:p w14:paraId="43F1C777" w14:textId="1E8B00AF" w:rsidR="00141AFC" w:rsidRPr="00471132" w:rsidRDefault="00C31A95" w:rsidP="00137D8F">
            <w:pPr>
              <w:pStyle w:val="Tabletext"/>
              <w:rPr>
                <w:lang w:eastAsia="en-AU"/>
              </w:rPr>
            </w:pPr>
            <w:r>
              <w:rPr>
                <w:lang w:eastAsia="en-AU"/>
              </w:rPr>
              <w:t>25</w:t>
            </w:r>
            <w:r w:rsidR="003922A7">
              <w:rPr>
                <w:lang w:eastAsia="en-AU"/>
              </w:rPr>
              <w:t>.0%</w:t>
            </w:r>
          </w:p>
        </w:tc>
        <w:tc>
          <w:tcPr>
            <w:tcW w:w="945" w:type="dxa"/>
            <w:hideMark/>
          </w:tcPr>
          <w:p w14:paraId="0F431871" w14:textId="0AB2D2AF" w:rsidR="008635DC" w:rsidRPr="00CE60B5" w:rsidRDefault="00A44788" w:rsidP="00137D8F">
            <w:pPr>
              <w:pStyle w:val="Tabletext"/>
              <w:rPr>
                <w:rFonts w:cs="Arial"/>
                <w:szCs w:val="21"/>
                <w:lang w:eastAsia="en-AU"/>
              </w:rPr>
            </w:pPr>
            <w:r>
              <w:rPr>
                <w:lang w:eastAsia="en-AU"/>
              </w:rPr>
              <w:t>1</w:t>
            </w:r>
            <w:r w:rsidR="00C31A95">
              <w:rPr>
                <w:lang w:eastAsia="en-AU"/>
              </w:rPr>
              <w:t>2</w:t>
            </w:r>
            <w:r>
              <w:rPr>
                <w:lang w:eastAsia="en-AU"/>
              </w:rPr>
              <w:t>.</w:t>
            </w:r>
            <w:r w:rsidR="00C31A95">
              <w:rPr>
                <w:lang w:eastAsia="en-AU"/>
              </w:rPr>
              <w:t>5</w:t>
            </w:r>
            <w:r>
              <w:rPr>
                <w:lang w:eastAsia="en-AU"/>
              </w:rPr>
              <w:t>%</w:t>
            </w:r>
          </w:p>
        </w:tc>
        <w:tc>
          <w:tcPr>
            <w:tcW w:w="3061" w:type="dxa"/>
            <w:hideMark/>
          </w:tcPr>
          <w:p w14:paraId="1C0D53EF" w14:textId="582B06E5" w:rsidR="008635DC" w:rsidRPr="00CE60B5" w:rsidRDefault="00A44788" w:rsidP="00137D8F">
            <w:pPr>
              <w:pStyle w:val="Tabletext"/>
              <w:rPr>
                <w:rFonts w:cs="Arial"/>
                <w:szCs w:val="21"/>
                <w:lang w:eastAsia="en-AU"/>
              </w:rPr>
            </w:pPr>
            <w:r>
              <w:rPr>
                <w:rFonts w:cs="Arial"/>
                <w:szCs w:val="21"/>
                <w:lang w:eastAsia="en-AU"/>
              </w:rPr>
              <w:t>-2</w:t>
            </w:r>
            <w:r w:rsidR="00C31A95">
              <w:rPr>
                <w:rFonts w:cs="Arial"/>
                <w:szCs w:val="21"/>
                <w:lang w:eastAsia="en-AU"/>
              </w:rPr>
              <w:t>5</w:t>
            </w:r>
            <w:r>
              <w:rPr>
                <w:rFonts w:cs="Arial"/>
                <w:szCs w:val="21"/>
                <w:lang w:eastAsia="en-AU"/>
              </w:rPr>
              <w:t>.0pp</w:t>
            </w:r>
          </w:p>
        </w:tc>
      </w:tr>
      <w:tr w:rsidR="008635DC" w:rsidRPr="00CE60B5" w14:paraId="0FAF81D7" w14:textId="77777777" w:rsidTr="00137D8F">
        <w:tc>
          <w:tcPr>
            <w:tcW w:w="0" w:type="auto"/>
            <w:hideMark/>
          </w:tcPr>
          <w:p w14:paraId="7DAAE57D" w14:textId="04375E88" w:rsidR="008635DC" w:rsidRPr="00CE60B5" w:rsidRDefault="0072117E" w:rsidP="00137D8F">
            <w:pPr>
              <w:pStyle w:val="Tabletext"/>
              <w:rPr>
                <w:rFonts w:cs="Arial"/>
                <w:szCs w:val="21"/>
                <w:lang w:eastAsia="en-AU"/>
              </w:rPr>
            </w:pPr>
            <w:r>
              <w:rPr>
                <w:rFonts w:cs="Arial"/>
                <w:szCs w:val="21"/>
                <w:lang w:eastAsia="en-AU"/>
              </w:rPr>
              <w:t>Men</w:t>
            </w:r>
            <w:r w:rsidR="008635DC" w:rsidRPr="00CE60B5">
              <w:rPr>
                <w:rFonts w:cs="Arial"/>
                <w:szCs w:val="21"/>
                <w:lang w:eastAsia="en-AU"/>
              </w:rPr>
              <w:t>-concentrated (&gt;55% men)</w:t>
            </w:r>
          </w:p>
        </w:tc>
        <w:tc>
          <w:tcPr>
            <w:tcW w:w="944" w:type="dxa"/>
            <w:hideMark/>
          </w:tcPr>
          <w:p w14:paraId="2032E665" w14:textId="18A0C2FC" w:rsidR="008635DC" w:rsidRPr="00CE60B5" w:rsidRDefault="00A44788" w:rsidP="00137D8F">
            <w:pPr>
              <w:pStyle w:val="Tabletext"/>
              <w:rPr>
                <w:rFonts w:cs="Arial"/>
                <w:szCs w:val="21"/>
                <w:lang w:eastAsia="en-AU"/>
              </w:rPr>
            </w:pPr>
            <w:r>
              <w:rPr>
                <w:lang w:eastAsia="en-AU"/>
              </w:rPr>
              <w:t>2</w:t>
            </w:r>
            <w:r w:rsidR="00C31A95">
              <w:rPr>
                <w:lang w:eastAsia="en-AU"/>
              </w:rPr>
              <w:t>5</w:t>
            </w:r>
            <w:r>
              <w:rPr>
                <w:lang w:eastAsia="en-AU"/>
              </w:rPr>
              <w:t>.0%</w:t>
            </w:r>
          </w:p>
        </w:tc>
        <w:tc>
          <w:tcPr>
            <w:tcW w:w="944" w:type="dxa"/>
          </w:tcPr>
          <w:p w14:paraId="54696108" w14:textId="20D801D5" w:rsidR="00141AFC" w:rsidRPr="00471132" w:rsidRDefault="00A44788" w:rsidP="00137D8F">
            <w:pPr>
              <w:pStyle w:val="Tabletext"/>
              <w:rPr>
                <w:lang w:eastAsia="en-AU"/>
              </w:rPr>
            </w:pPr>
            <w:r>
              <w:rPr>
                <w:lang w:eastAsia="en-AU"/>
              </w:rPr>
              <w:t>2</w:t>
            </w:r>
            <w:r w:rsidR="00C31A95">
              <w:rPr>
                <w:lang w:eastAsia="en-AU"/>
              </w:rPr>
              <w:t>5</w:t>
            </w:r>
            <w:r>
              <w:rPr>
                <w:lang w:eastAsia="en-AU"/>
              </w:rPr>
              <w:t>.0%</w:t>
            </w:r>
          </w:p>
        </w:tc>
        <w:tc>
          <w:tcPr>
            <w:tcW w:w="945" w:type="dxa"/>
            <w:hideMark/>
          </w:tcPr>
          <w:p w14:paraId="5BBD7F71" w14:textId="05F2DA75" w:rsidR="008635DC" w:rsidRPr="00CE60B5" w:rsidRDefault="00A44788" w:rsidP="00137D8F">
            <w:pPr>
              <w:pStyle w:val="Tabletext"/>
              <w:rPr>
                <w:rFonts w:cs="Arial"/>
                <w:szCs w:val="21"/>
                <w:lang w:eastAsia="en-AU"/>
              </w:rPr>
            </w:pPr>
            <w:r>
              <w:rPr>
                <w:lang w:eastAsia="en-AU"/>
              </w:rPr>
              <w:t>2</w:t>
            </w:r>
            <w:r w:rsidR="00C31A95">
              <w:rPr>
                <w:lang w:eastAsia="en-AU"/>
              </w:rPr>
              <w:t>5</w:t>
            </w:r>
            <w:r>
              <w:rPr>
                <w:lang w:eastAsia="en-AU"/>
              </w:rPr>
              <w:t>.</w:t>
            </w:r>
            <w:r w:rsidR="00C31A95">
              <w:rPr>
                <w:lang w:eastAsia="en-AU"/>
              </w:rPr>
              <w:t>0</w:t>
            </w:r>
            <w:r>
              <w:rPr>
                <w:lang w:eastAsia="en-AU"/>
              </w:rPr>
              <w:t>%</w:t>
            </w:r>
          </w:p>
        </w:tc>
        <w:tc>
          <w:tcPr>
            <w:tcW w:w="3061" w:type="dxa"/>
            <w:hideMark/>
          </w:tcPr>
          <w:p w14:paraId="0FCEE839" w14:textId="743D95B8" w:rsidR="008635DC" w:rsidRPr="00CE60B5" w:rsidRDefault="00C31A95" w:rsidP="00137D8F">
            <w:pPr>
              <w:pStyle w:val="Tabletext"/>
              <w:rPr>
                <w:rFonts w:cs="Arial"/>
                <w:szCs w:val="21"/>
                <w:lang w:eastAsia="en-AU"/>
              </w:rPr>
            </w:pPr>
            <w:r>
              <w:rPr>
                <w:rFonts w:cs="Arial"/>
                <w:szCs w:val="21"/>
                <w:lang w:eastAsia="en-AU"/>
              </w:rPr>
              <w:t>0.0</w:t>
            </w:r>
            <w:r w:rsidR="00A44788">
              <w:rPr>
                <w:rFonts w:cs="Arial"/>
                <w:szCs w:val="21"/>
                <w:lang w:eastAsia="en-AU"/>
              </w:rPr>
              <w:t>pp</w:t>
            </w:r>
          </w:p>
        </w:tc>
      </w:tr>
      <w:tr w:rsidR="008635DC" w:rsidRPr="00CE60B5" w14:paraId="052C89F2" w14:textId="77777777" w:rsidTr="00137D8F">
        <w:tc>
          <w:tcPr>
            <w:tcW w:w="0" w:type="auto"/>
            <w:hideMark/>
          </w:tcPr>
          <w:p w14:paraId="5B14D23F" w14:textId="4EB4637D" w:rsidR="008635DC" w:rsidRPr="00CE60B5" w:rsidRDefault="0072117E" w:rsidP="00137D8F">
            <w:pPr>
              <w:pStyle w:val="Tabletext"/>
              <w:rPr>
                <w:rFonts w:cs="Arial"/>
                <w:szCs w:val="21"/>
                <w:lang w:eastAsia="en-AU"/>
              </w:rPr>
            </w:pPr>
            <w:r>
              <w:rPr>
                <w:rFonts w:cs="Arial"/>
                <w:szCs w:val="21"/>
                <w:lang w:eastAsia="en-AU"/>
              </w:rPr>
              <w:t>Women</w:t>
            </w:r>
            <w:r w:rsidR="008635DC" w:rsidRPr="00CE60B5">
              <w:rPr>
                <w:rFonts w:cs="Arial"/>
                <w:szCs w:val="21"/>
                <w:lang w:eastAsia="en-AU"/>
              </w:rPr>
              <w:t>-concentrated (&gt;55% women)</w:t>
            </w:r>
          </w:p>
        </w:tc>
        <w:tc>
          <w:tcPr>
            <w:tcW w:w="944" w:type="dxa"/>
            <w:hideMark/>
          </w:tcPr>
          <w:p w14:paraId="48D29D1E" w14:textId="51511A03" w:rsidR="008635DC" w:rsidRPr="00CE60B5" w:rsidRDefault="000106DB" w:rsidP="00137D8F">
            <w:pPr>
              <w:pStyle w:val="Tabletext"/>
              <w:rPr>
                <w:rFonts w:cs="Arial"/>
                <w:szCs w:val="21"/>
                <w:lang w:eastAsia="en-AU"/>
              </w:rPr>
            </w:pPr>
            <w:r>
              <w:rPr>
                <w:lang w:eastAsia="en-AU"/>
              </w:rPr>
              <w:t>37.5</w:t>
            </w:r>
            <w:r w:rsidR="00A44788">
              <w:rPr>
                <w:lang w:eastAsia="en-AU"/>
              </w:rPr>
              <w:t>%</w:t>
            </w:r>
          </w:p>
        </w:tc>
        <w:tc>
          <w:tcPr>
            <w:tcW w:w="944" w:type="dxa"/>
          </w:tcPr>
          <w:p w14:paraId="587A1716" w14:textId="1C1ED22A" w:rsidR="00141AFC" w:rsidRPr="00471132" w:rsidRDefault="000106DB" w:rsidP="00137D8F">
            <w:pPr>
              <w:pStyle w:val="Tabletext"/>
              <w:rPr>
                <w:lang w:eastAsia="en-AU"/>
              </w:rPr>
            </w:pPr>
            <w:r>
              <w:rPr>
                <w:lang w:eastAsia="en-AU"/>
              </w:rPr>
              <w:t>5</w:t>
            </w:r>
            <w:r w:rsidR="00C1271C">
              <w:rPr>
                <w:lang w:eastAsia="en-AU"/>
              </w:rPr>
              <w:t>0.0%</w:t>
            </w:r>
          </w:p>
        </w:tc>
        <w:tc>
          <w:tcPr>
            <w:tcW w:w="945" w:type="dxa"/>
            <w:hideMark/>
          </w:tcPr>
          <w:p w14:paraId="52E266C2" w14:textId="43CA2BCC" w:rsidR="008635DC" w:rsidRPr="00CE60B5" w:rsidRDefault="000106DB" w:rsidP="00137D8F">
            <w:pPr>
              <w:pStyle w:val="Tabletext"/>
              <w:rPr>
                <w:rFonts w:cs="Arial"/>
                <w:szCs w:val="21"/>
                <w:lang w:eastAsia="en-AU"/>
              </w:rPr>
            </w:pPr>
            <w:r>
              <w:rPr>
                <w:lang w:eastAsia="en-AU"/>
              </w:rPr>
              <w:t>62</w:t>
            </w:r>
            <w:r w:rsidR="00C1271C">
              <w:rPr>
                <w:lang w:eastAsia="en-AU"/>
              </w:rPr>
              <w:t>.</w:t>
            </w:r>
            <w:r>
              <w:rPr>
                <w:lang w:eastAsia="en-AU"/>
              </w:rPr>
              <w:t>5</w:t>
            </w:r>
            <w:r w:rsidR="00C1271C">
              <w:rPr>
                <w:lang w:eastAsia="en-AU"/>
              </w:rPr>
              <w:t>%</w:t>
            </w:r>
          </w:p>
        </w:tc>
        <w:tc>
          <w:tcPr>
            <w:tcW w:w="3061" w:type="dxa"/>
            <w:hideMark/>
          </w:tcPr>
          <w:p w14:paraId="528CF8AB" w14:textId="7DD7EC7D" w:rsidR="008635DC" w:rsidRPr="00CE60B5" w:rsidRDefault="00C1271C" w:rsidP="00137D8F">
            <w:pPr>
              <w:pStyle w:val="Tabletext"/>
              <w:rPr>
                <w:rFonts w:cs="Arial"/>
                <w:szCs w:val="21"/>
                <w:lang w:eastAsia="en-AU"/>
              </w:rPr>
            </w:pPr>
            <w:r>
              <w:rPr>
                <w:rFonts w:cs="Arial"/>
                <w:szCs w:val="21"/>
                <w:lang w:eastAsia="en-AU"/>
              </w:rPr>
              <w:t>+2</w:t>
            </w:r>
            <w:r w:rsidR="000106DB">
              <w:rPr>
                <w:rFonts w:cs="Arial"/>
                <w:szCs w:val="21"/>
                <w:lang w:eastAsia="en-AU"/>
              </w:rPr>
              <w:t>5</w:t>
            </w:r>
            <w:r>
              <w:rPr>
                <w:rFonts w:cs="Arial"/>
                <w:szCs w:val="21"/>
                <w:lang w:eastAsia="en-AU"/>
              </w:rPr>
              <w:t>.0pp</w:t>
            </w:r>
          </w:p>
        </w:tc>
      </w:tr>
    </w:tbl>
    <w:p w14:paraId="74D6A1ED" w14:textId="77777777" w:rsidR="00D11A91" w:rsidRDefault="00D11A91" w:rsidP="00AB6823">
      <w:pPr>
        <w:pStyle w:val="Tablefigurenote"/>
      </w:pPr>
      <w:r w:rsidRPr="00136D6E">
        <w:t>Source: Workplace gender audit workforce data, 2021</w:t>
      </w:r>
      <w:r>
        <w:t>, 2023 and 2025.</w:t>
      </w:r>
    </w:p>
    <w:p w14:paraId="56DD5309" w14:textId="78F783F1" w:rsidR="006009D7" w:rsidRPr="00406DA3" w:rsidRDefault="008E40F5" w:rsidP="00AB6823">
      <w:pPr>
        <w:pStyle w:val="Tablefigurenote"/>
        <w:rPr>
          <w:lang w:eastAsia="en-AU"/>
        </w:rPr>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004C3436" w:rsidRPr="004C3436">
        <w:t xml:space="preserve"> </w:t>
      </w:r>
      <w:r w:rsidR="004C3436" w:rsidRPr="00AE1037">
        <w:t xml:space="preserve">The </w:t>
      </w:r>
      <w:r w:rsidR="004C3436">
        <w:t xml:space="preserve">percentage point </w:t>
      </w:r>
      <w:r w:rsidR="004C3436" w:rsidRPr="00AE1037">
        <w:t>change column may not always reflect the exact difference between years due to rounding</w:t>
      </w:r>
      <w:r w:rsidRPr="00C27278">
        <w:t>.</w:t>
      </w:r>
    </w:p>
    <w:p w14:paraId="03C75D56" w14:textId="621753C7" w:rsidR="006009D7" w:rsidRPr="006A2E07" w:rsidRDefault="006009D7" w:rsidP="00EF4CF4">
      <w:pPr>
        <w:pStyle w:val="Tablecaption"/>
        <w:rPr>
          <w:b w:val="0"/>
          <w:bCs/>
          <w:lang w:eastAsia="en-AU"/>
        </w:rPr>
      </w:pPr>
      <w:r w:rsidRPr="006A2E07">
        <w:rPr>
          <w:lang w:eastAsia="en-AU"/>
        </w:rPr>
        <w:t>Table 7.</w:t>
      </w:r>
      <w:r w:rsidR="0061610A" w:rsidRPr="00325903">
        <w:rPr>
          <w:lang w:eastAsia="en-AU"/>
        </w:rPr>
        <w:t>3</w:t>
      </w:r>
      <w:r w:rsidRPr="00325903">
        <w:rPr>
          <w:lang w:eastAsia="en-AU"/>
        </w:rPr>
        <w:t xml:space="preserve">: Industry </w:t>
      </w:r>
      <w:r w:rsidR="00F44444">
        <w:rPr>
          <w:lang w:eastAsia="en-AU"/>
        </w:rPr>
        <w:t>s</w:t>
      </w:r>
      <w:r w:rsidRPr="00325903">
        <w:rPr>
          <w:lang w:eastAsia="en-AU"/>
        </w:rPr>
        <w:t xml:space="preserve">egregation </w:t>
      </w:r>
      <w:r w:rsidR="00F44444">
        <w:rPr>
          <w:lang w:eastAsia="en-AU"/>
        </w:rPr>
        <w:t>t</w:t>
      </w:r>
      <w:r w:rsidRPr="00325903">
        <w:rPr>
          <w:lang w:eastAsia="en-AU"/>
        </w:rPr>
        <w:t>rends</w:t>
      </w:r>
      <w:r w:rsidR="00032A16" w:rsidRPr="00325903">
        <w:rPr>
          <w:lang w:eastAsia="en-AU"/>
        </w:rPr>
        <w:t xml:space="preserve"> </w:t>
      </w:r>
      <w:r w:rsidR="00E73A29" w:rsidRPr="00325903">
        <w:rPr>
          <w:lang w:eastAsia="en-AU"/>
        </w:rPr>
        <w:t xml:space="preserve">by </w:t>
      </w:r>
      <w:r w:rsidR="00F44444">
        <w:rPr>
          <w:lang w:eastAsia="en-AU"/>
        </w:rPr>
        <w:t>g</w:t>
      </w:r>
      <w:r w:rsidR="00E73A29" w:rsidRPr="00325903">
        <w:rPr>
          <w:lang w:eastAsia="en-AU"/>
        </w:rPr>
        <w:t>ender (</w:t>
      </w:r>
      <w:r w:rsidR="00F44444">
        <w:rPr>
          <w:lang w:eastAsia="en-AU"/>
        </w:rPr>
        <w:t>w</w:t>
      </w:r>
      <w:r w:rsidR="00E73A29" w:rsidRPr="00325903">
        <w:rPr>
          <w:lang w:eastAsia="en-AU"/>
        </w:rPr>
        <w:t>omen)</w:t>
      </w:r>
    </w:p>
    <w:tbl>
      <w:tblPr>
        <w:tblStyle w:val="CGEPStable"/>
        <w:tblW w:w="9356" w:type="dxa"/>
        <w:tblLook w:val="04A0" w:firstRow="1" w:lastRow="0" w:firstColumn="1" w:lastColumn="0" w:noHBand="0" w:noVBand="1"/>
      </w:tblPr>
      <w:tblGrid>
        <w:gridCol w:w="1600"/>
        <w:gridCol w:w="1035"/>
        <w:gridCol w:w="1035"/>
        <w:gridCol w:w="1247"/>
        <w:gridCol w:w="1349"/>
        <w:gridCol w:w="3090"/>
      </w:tblGrid>
      <w:tr w:rsidR="009C5677" w:rsidRPr="00406DA3" w14:paraId="53BE2144" w14:textId="77777777" w:rsidTr="00EF4CF4">
        <w:trPr>
          <w:cnfStyle w:val="100000000000" w:firstRow="1" w:lastRow="0" w:firstColumn="0" w:lastColumn="0" w:oddVBand="0" w:evenVBand="0" w:oddHBand="0" w:evenHBand="0" w:firstRowFirstColumn="0" w:firstRowLastColumn="0" w:lastRowFirstColumn="0" w:lastRowLastColumn="0"/>
        </w:trPr>
        <w:tc>
          <w:tcPr>
            <w:tcW w:w="1600" w:type="dxa"/>
            <w:hideMark/>
          </w:tcPr>
          <w:p w14:paraId="12545049" w14:textId="77777777" w:rsidR="009C5677" w:rsidRPr="006A2E07" w:rsidRDefault="009C5677" w:rsidP="00EF4CF4">
            <w:pPr>
              <w:pStyle w:val="Tablecolhead"/>
              <w:rPr>
                <w:b w:val="0"/>
                <w:lang w:eastAsia="en-AU"/>
              </w:rPr>
            </w:pPr>
            <w:r w:rsidRPr="006A2E07">
              <w:rPr>
                <w:lang w:eastAsia="en-AU"/>
              </w:rPr>
              <w:t>Industry</w:t>
            </w:r>
          </w:p>
        </w:tc>
        <w:tc>
          <w:tcPr>
            <w:tcW w:w="1035" w:type="dxa"/>
            <w:hideMark/>
          </w:tcPr>
          <w:p w14:paraId="4798C228" w14:textId="4B604C5B" w:rsidR="009C5677" w:rsidRPr="006A2E07" w:rsidRDefault="009C5677" w:rsidP="00EF4CF4">
            <w:pPr>
              <w:pStyle w:val="Tablecolhead"/>
              <w:rPr>
                <w:b w:val="0"/>
                <w:lang w:eastAsia="en-AU"/>
              </w:rPr>
            </w:pPr>
            <w:r w:rsidRPr="006A2E07">
              <w:rPr>
                <w:lang w:eastAsia="en-AU"/>
              </w:rPr>
              <w:t xml:space="preserve">2021 </w:t>
            </w:r>
          </w:p>
        </w:tc>
        <w:tc>
          <w:tcPr>
            <w:tcW w:w="1035" w:type="dxa"/>
            <w:hideMark/>
          </w:tcPr>
          <w:p w14:paraId="4A5D56DE" w14:textId="485E1886" w:rsidR="009C5677" w:rsidRPr="006A2E07" w:rsidRDefault="009C5677" w:rsidP="00EF4CF4">
            <w:pPr>
              <w:pStyle w:val="Tablecolhead"/>
              <w:rPr>
                <w:b w:val="0"/>
                <w:lang w:eastAsia="en-AU"/>
              </w:rPr>
            </w:pPr>
            <w:r w:rsidRPr="006A2E07">
              <w:rPr>
                <w:lang w:eastAsia="en-AU"/>
              </w:rPr>
              <w:t xml:space="preserve">2023 </w:t>
            </w:r>
          </w:p>
        </w:tc>
        <w:tc>
          <w:tcPr>
            <w:tcW w:w="1247" w:type="dxa"/>
            <w:hideMark/>
          </w:tcPr>
          <w:p w14:paraId="79DA506C" w14:textId="5CDFA1DF" w:rsidR="009C5677" w:rsidRPr="006A2E07" w:rsidRDefault="009C5677" w:rsidP="00EF4CF4">
            <w:pPr>
              <w:pStyle w:val="Tablecolhead"/>
              <w:rPr>
                <w:b w:val="0"/>
                <w:lang w:eastAsia="en-AU"/>
              </w:rPr>
            </w:pPr>
            <w:r w:rsidRPr="006A2E07">
              <w:rPr>
                <w:lang w:eastAsia="en-AU"/>
              </w:rPr>
              <w:t xml:space="preserve">2025 </w:t>
            </w:r>
          </w:p>
        </w:tc>
        <w:tc>
          <w:tcPr>
            <w:tcW w:w="1349" w:type="dxa"/>
            <w:hideMark/>
          </w:tcPr>
          <w:p w14:paraId="474C2DE7" w14:textId="59BE6564" w:rsidR="009C5677" w:rsidRPr="006A2E07" w:rsidRDefault="009761DA" w:rsidP="00EF4CF4">
            <w:pPr>
              <w:pStyle w:val="Tablecolhead"/>
              <w:rPr>
                <w:b w:val="0"/>
                <w:lang w:eastAsia="en-AU"/>
              </w:rPr>
            </w:pPr>
            <w:r>
              <w:rPr>
                <w:lang w:eastAsia="en-AU"/>
              </w:rPr>
              <w:t xml:space="preserve">Percentage </w:t>
            </w:r>
            <w:r w:rsidR="00BE46C0">
              <w:rPr>
                <w:bCs/>
                <w:lang w:eastAsia="en-AU"/>
              </w:rPr>
              <w:t>point change</w:t>
            </w:r>
            <w:r>
              <w:rPr>
                <w:lang w:eastAsia="en-AU"/>
              </w:rPr>
              <w:t xml:space="preserve"> 2021</w:t>
            </w:r>
            <w:r w:rsidR="00BE46C0">
              <w:rPr>
                <w:bCs/>
                <w:lang w:eastAsia="en-AU"/>
              </w:rPr>
              <w:t>-</w:t>
            </w:r>
            <w:r>
              <w:rPr>
                <w:lang w:eastAsia="en-AU"/>
              </w:rPr>
              <w:t>2025</w:t>
            </w:r>
          </w:p>
        </w:tc>
        <w:tc>
          <w:tcPr>
            <w:tcW w:w="3090" w:type="dxa"/>
            <w:hideMark/>
          </w:tcPr>
          <w:p w14:paraId="5089DBB2" w14:textId="33F5ED0F" w:rsidR="009C5677" w:rsidRPr="006A2E07" w:rsidRDefault="009C5677" w:rsidP="00EF4CF4">
            <w:pPr>
              <w:pStyle w:val="Tablecolhead"/>
              <w:rPr>
                <w:b w:val="0"/>
                <w:lang w:eastAsia="en-AU"/>
              </w:rPr>
            </w:pPr>
            <w:r w:rsidRPr="006A2E07">
              <w:rPr>
                <w:lang w:eastAsia="en-AU"/>
              </w:rPr>
              <w:t>Current tatus</w:t>
            </w:r>
          </w:p>
        </w:tc>
      </w:tr>
      <w:tr w:rsidR="003D7D60" w:rsidRPr="00406DA3" w14:paraId="1CDF9D2B" w14:textId="77777777" w:rsidTr="00EF4CF4">
        <w:tc>
          <w:tcPr>
            <w:tcW w:w="1600" w:type="dxa"/>
          </w:tcPr>
          <w:p w14:paraId="708016A0" w14:textId="4291FF4C" w:rsidR="003D7D60" w:rsidRDefault="003D7D60" w:rsidP="0078531C">
            <w:pPr>
              <w:pStyle w:val="BodyText"/>
              <w:rPr>
                <w:lang w:eastAsia="en-AU"/>
              </w:rPr>
            </w:pPr>
            <w:r>
              <w:rPr>
                <w:lang w:eastAsia="en-AU"/>
              </w:rPr>
              <w:t>Community and cultural services</w:t>
            </w:r>
          </w:p>
        </w:tc>
        <w:tc>
          <w:tcPr>
            <w:tcW w:w="1035" w:type="dxa"/>
          </w:tcPr>
          <w:p w14:paraId="7CF0F5A0" w14:textId="7D78DCFF" w:rsidR="003D7D60" w:rsidRPr="000F4937" w:rsidRDefault="00DF3453" w:rsidP="0078531C">
            <w:pPr>
              <w:pStyle w:val="BodyText"/>
              <w:rPr>
                <w:lang w:eastAsia="en-AU"/>
              </w:rPr>
            </w:pPr>
            <w:r>
              <w:rPr>
                <w:lang w:eastAsia="en-AU"/>
              </w:rPr>
              <w:t>59.7%</w:t>
            </w:r>
          </w:p>
        </w:tc>
        <w:tc>
          <w:tcPr>
            <w:tcW w:w="1035" w:type="dxa"/>
          </w:tcPr>
          <w:p w14:paraId="430C04EB" w14:textId="2E4CF3B4" w:rsidR="003D7D60" w:rsidRPr="000F4937" w:rsidRDefault="00DF3453" w:rsidP="0078531C">
            <w:pPr>
              <w:pStyle w:val="BodyText"/>
              <w:rPr>
                <w:lang w:eastAsia="en-AU"/>
              </w:rPr>
            </w:pPr>
            <w:r>
              <w:rPr>
                <w:lang w:eastAsia="en-AU"/>
              </w:rPr>
              <w:t>59.0%</w:t>
            </w:r>
          </w:p>
        </w:tc>
        <w:tc>
          <w:tcPr>
            <w:tcW w:w="1247" w:type="dxa"/>
          </w:tcPr>
          <w:p w14:paraId="3F2586B6" w14:textId="0E5B9B1B" w:rsidR="003D7D60" w:rsidRPr="00406DA3" w:rsidRDefault="00DF3453" w:rsidP="0078531C">
            <w:pPr>
              <w:pStyle w:val="BodyText"/>
              <w:rPr>
                <w:lang w:eastAsia="en-AU"/>
              </w:rPr>
            </w:pPr>
            <w:r>
              <w:rPr>
                <w:lang w:eastAsia="en-AU"/>
              </w:rPr>
              <w:t>61.6%</w:t>
            </w:r>
          </w:p>
        </w:tc>
        <w:tc>
          <w:tcPr>
            <w:tcW w:w="1349" w:type="dxa"/>
          </w:tcPr>
          <w:p w14:paraId="2C6D4816" w14:textId="5D3C41D4" w:rsidR="003D7D60" w:rsidRPr="00406DA3" w:rsidRDefault="00DF3453" w:rsidP="0078531C">
            <w:pPr>
              <w:pStyle w:val="BodyText"/>
              <w:rPr>
                <w:lang w:eastAsia="en-AU"/>
              </w:rPr>
            </w:pPr>
            <w:r>
              <w:rPr>
                <w:lang w:eastAsia="en-AU"/>
              </w:rPr>
              <w:t>+1.9pp</w:t>
            </w:r>
          </w:p>
        </w:tc>
        <w:tc>
          <w:tcPr>
            <w:tcW w:w="3090" w:type="dxa"/>
          </w:tcPr>
          <w:p w14:paraId="777349B5" w14:textId="787AAD52" w:rsidR="003D7D60" w:rsidRPr="00406DA3" w:rsidRDefault="00DF3453" w:rsidP="0078531C">
            <w:pPr>
              <w:pStyle w:val="BodyText"/>
              <w:rPr>
                <w:lang w:eastAsia="en-AU"/>
              </w:rPr>
            </w:pPr>
            <w:r>
              <w:rPr>
                <w:lang w:eastAsia="en-AU"/>
              </w:rPr>
              <w:t>No change – Slightly women-concentrated</w:t>
            </w:r>
          </w:p>
        </w:tc>
      </w:tr>
      <w:tr w:rsidR="003D7D60" w:rsidRPr="00406DA3" w14:paraId="5347CCEA" w14:textId="77777777" w:rsidTr="00EF4CF4">
        <w:tc>
          <w:tcPr>
            <w:tcW w:w="1600" w:type="dxa"/>
            <w:hideMark/>
          </w:tcPr>
          <w:p w14:paraId="400F133B" w14:textId="5AAAAFC7" w:rsidR="003D7D60" w:rsidRPr="00406DA3" w:rsidRDefault="003D7D60" w:rsidP="0078531C">
            <w:pPr>
              <w:pStyle w:val="BodyText"/>
              <w:rPr>
                <w:lang w:eastAsia="en-AU"/>
              </w:rPr>
            </w:pPr>
            <w:r>
              <w:rPr>
                <w:lang w:eastAsia="en-AU"/>
              </w:rPr>
              <w:t>Finance and insurance</w:t>
            </w:r>
          </w:p>
        </w:tc>
        <w:tc>
          <w:tcPr>
            <w:tcW w:w="1035" w:type="dxa"/>
            <w:hideMark/>
          </w:tcPr>
          <w:p w14:paraId="1D619CFF" w14:textId="21BE3941" w:rsidR="003D7D60" w:rsidRPr="00406DA3" w:rsidRDefault="00DF3453" w:rsidP="0078531C">
            <w:pPr>
              <w:pStyle w:val="BodyText"/>
              <w:rPr>
                <w:lang w:eastAsia="en-AU"/>
              </w:rPr>
            </w:pPr>
            <w:r>
              <w:rPr>
                <w:lang w:eastAsia="en-AU"/>
              </w:rPr>
              <w:t>61.3%</w:t>
            </w:r>
          </w:p>
        </w:tc>
        <w:tc>
          <w:tcPr>
            <w:tcW w:w="1035" w:type="dxa"/>
            <w:hideMark/>
          </w:tcPr>
          <w:p w14:paraId="44D09EF4" w14:textId="43425EF9" w:rsidR="003D7D60" w:rsidRPr="00406DA3" w:rsidRDefault="00DF3453" w:rsidP="0078531C">
            <w:pPr>
              <w:pStyle w:val="BodyText"/>
              <w:rPr>
                <w:lang w:eastAsia="en-AU"/>
              </w:rPr>
            </w:pPr>
            <w:r>
              <w:rPr>
                <w:lang w:eastAsia="en-AU"/>
              </w:rPr>
              <w:t>62.9%</w:t>
            </w:r>
          </w:p>
        </w:tc>
        <w:tc>
          <w:tcPr>
            <w:tcW w:w="1247" w:type="dxa"/>
            <w:hideMark/>
          </w:tcPr>
          <w:p w14:paraId="126ED8F3" w14:textId="03A603CE" w:rsidR="003D7D60" w:rsidRPr="00406DA3" w:rsidRDefault="00FE1ED4" w:rsidP="0078531C">
            <w:pPr>
              <w:pStyle w:val="BodyText"/>
              <w:rPr>
                <w:lang w:eastAsia="en-AU"/>
              </w:rPr>
            </w:pPr>
            <w:r>
              <w:rPr>
                <w:lang w:eastAsia="en-AU"/>
              </w:rPr>
              <w:t>64.3%</w:t>
            </w:r>
          </w:p>
        </w:tc>
        <w:tc>
          <w:tcPr>
            <w:tcW w:w="1349" w:type="dxa"/>
            <w:hideMark/>
          </w:tcPr>
          <w:p w14:paraId="4185A1BE" w14:textId="634CA9F9" w:rsidR="003D7D60" w:rsidRPr="00406DA3" w:rsidRDefault="00FE1ED4" w:rsidP="0078531C">
            <w:pPr>
              <w:pStyle w:val="BodyText"/>
              <w:rPr>
                <w:lang w:eastAsia="en-AU"/>
              </w:rPr>
            </w:pPr>
            <w:r>
              <w:rPr>
                <w:lang w:eastAsia="en-AU"/>
              </w:rPr>
              <w:t>+3.0pp</w:t>
            </w:r>
          </w:p>
        </w:tc>
        <w:tc>
          <w:tcPr>
            <w:tcW w:w="3090" w:type="dxa"/>
            <w:hideMark/>
          </w:tcPr>
          <w:p w14:paraId="3E9ACA18" w14:textId="64D960F7" w:rsidR="003D7D60" w:rsidRPr="00406DA3" w:rsidRDefault="00FE1ED4" w:rsidP="0078531C">
            <w:pPr>
              <w:pStyle w:val="BodyText"/>
              <w:rPr>
                <w:lang w:eastAsia="en-AU"/>
              </w:rPr>
            </w:pPr>
            <w:r>
              <w:rPr>
                <w:lang w:eastAsia="en-AU"/>
              </w:rPr>
              <w:t>No change – Slightly women-concentrated</w:t>
            </w:r>
          </w:p>
        </w:tc>
      </w:tr>
      <w:tr w:rsidR="003D7D60" w:rsidRPr="00406DA3" w14:paraId="1FADD7FB" w14:textId="77777777" w:rsidTr="00EF4CF4">
        <w:tc>
          <w:tcPr>
            <w:tcW w:w="1600" w:type="dxa"/>
            <w:hideMark/>
          </w:tcPr>
          <w:p w14:paraId="048D10D1" w14:textId="12DDD233" w:rsidR="003D7D60" w:rsidRPr="00406DA3" w:rsidRDefault="003D7D60" w:rsidP="0078531C">
            <w:pPr>
              <w:pStyle w:val="BodyText"/>
              <w:rPr>
                <w:lang w:eastAsia="en-AU"/>
              </w:rPr>
            </w:pPr>
            <w:r w:rsidRPr="00406DA3">
              <w:rPr>
                <w:lang w:eastAsia="en-AU"/>
              </w:rPr>
              <w:t>Local government</w:t>
            </w:r>
          </w:p>
        </w:tc>
        <w:tc>
          <w:tcPr>
            <w:tcW w:w="1035" w:type="dxa"/>
            <w:hideMark/>
          </w:tcPr>
          <w:p w14:paraId="32CAD34E" w14:textId="431B3EDF" w:rsidR="003D7D60" w:rsidRPr="00406DA3" w:rsidRDefault="00150992" w:rsidP="0078531C">
            <w:pPr>
              <w:pStyle w:val="BodyText"/>
              <w:rPr>
                <w:lang w:eastAsia="en-AU"/>
              </w:rPr>
            </w:pPr>
            <w:r>
              <w:rPr>
                <w:lang w:eastAsia="en-AU"/>
              </w:rPr>
              <w:t>63.</w:t>
            </w:r>
            <w:r w:rsidR="00B1161E">
              <w:rPr>
                <w:lang w:eastAsia="en-AU"/>
              </w:rPr>
              <w:t>0%</w:t>
            </w:r>
          </w:p>
        </w:tc>
        <w:tc>
          <w:tcPr>
            <w:tcW w:w="1035" w:type="dxa"/>
            <w:hideMark/>
          </w:tcPr>
          <w:p w14:paraId="2A1925B6" w14:textId="02A640FF" w:rsidR="003D7D60" w:rsidRPr="00406DA3" w:rsidRDefault="00B1161E" w:rsidP="0078531C">
            <w:pPr>
              <w:pStyle w:val="BodyText"/>
              <w:rPr>
                <w:lang w:eastAsia="en-AU"/>
              </w:rPr>
            </w:pPr>
            <w:r>
              <w:rPr>
                <w:lang w:eastAsia="en-AU"/>
              </w:rPr>
              <w:t>62.5%</w:t>
            </w:r>
          </w:p>
        </w:tc>
        <w:tc>
          <w:tcPr>
            <w:tcW w:w="1247" w:type="dxa"/>
            <w:hideMark/>
          </w:tcPr>
          <w:p w14:paraId="21C890CF" w14:textId="27D0385F" w:rsidR="003D7D60" w:rsidRPr="00406DA3" w:rsidRDefault="00B1161E" w:rsidP="0078531C">
            <w:pPr>
              <w:pStyle w:val="BodyText"/>
              <w:rPr>
                <w:lang w:eastAsia="en-AU"/>
              </w:rPr>
            </w:pPr>
            <w:r>
              <w:rPr>
                <w:lang w:eastAsia="en-AU"/>
              </w:rPr>
              <w:t>61.7%</w:t>
            </w:r>
          </w:p>
        </w:tc>
        <w:tc>
          <w:tcPr>
            <w:tcW w:w="1349" w:type="dxa"/>
            <w:hideMark/>
          </w:tcPr>
          <w:p w14:paraId="266818F0" w14:textId="4D646CF7" w:rsidR="003D7D60" w:rsidRPr="00406DA3" w:rsidRDefault="00B1161E" w:rsidP="0078531C">
            <w:pPr>
              <w:pStyle w:val="BodyText"/>
              <w:rPr>
                <w:lang w:eastAsia="en-AU"/>
              </w:rPr>
            </w:pPr>
            <w:r>
              <w:rPr>
                <w:lang w:eastAsia="en-AU"/>
              </w:rPr>
              <w:t>-1.2pp</w:t>
            </w:r>
          </w:p>
        </w:tc>
        <w:tc>
          <w:tcPr>
            <w:tcW w:w="3090" w:type="dxa"/>
            <w:hideMark/>
          </w:tcPr>
          <w:p w14:paraId="02916A76" w14:textId="328842F0" w:rsidR="003D7D60" w:rsidRPr="00406DA3" w:rsidRDefault="00FE1ED4" w:rsidP="0078531C">
            <w:pPr>
              <w:pStyle w:val="BodyText"/>
              <w:rPr>
                <w:lang w:eastAsia="en-AU"/>
              </w:rPr>
            </w:pPr>
            <w:r>
              <w:rPr>
                <w:lang w:eastAsia="en-AU"/>
              </w:rPr>
              <w:t>No change – Slightly women-concentrated</w:t>
            </w:r>
          </w:p>
        </w:tc>
      </w:tr>
      <w:tr w:rsidR="003D7D60" w:rsidRPr="00406DA3" w14:paraId="6CB7228D" w14:textId="77777777" w:rsidTr="00EF4CF4">
        <w:tc>
          <w:tcPr>
            <w:tcW w:w="1600" w:type="dxa"/>
          </w:tcPr>
          <w:p w14:paraId="43B78CD6" w14:textId="3A587F27" w:rsidR="003D7D60" w:rsidRPr="00406DA3" w:rsidRDefault="003D7D60" w:rsidP="0078531C">
            <w:pPr>
              <w:pStyle w:val="BodyText"/>
              <w:rPr>
                <w:lang w:eastAsia="en-AU"/>
              </w:rPr>
            </w:pPr>
            <w:r>
              <w:rPr>
                <w:lang w:eastAsia="en-AU"/>
              </w:rPr>
              <w:t>Other</w:t>
            </w:r>
          </w:p>
        </w:tc>
        <w:tc>
          <w:tcPr>
            <w:tcW w:w="1035" w:type="dxa"/>
          </w:tcPr>
          <w:p w14:paraId="73A2B718" w14:textId="6B7A967E" w:rsidR="003D7D60" w:rsidRPr="000F4937" w:rsidRDefault="00B1161E" w:rsidP="0078531C">
            <w:pPr>
              <w:pStyle w:val="BodyText"/>
              <w:rPr>
                <w:lang w:eastAsia="en-AU"/>
              </w:rPr>
            </w:pPr>
            <w:r>
              <w:rPr>
                <w:lang w:eastAsia="en-AU"/>
              </w:rPr>
              <w:t>45.7%</w:t>
            </w:r>
          </w:p>
        </w:tc>
        <w:tc>
          <w:tcPr>
            <w:tcW w:w="1035" w:type="dxa"/>
          </w:tcPr>
          <w:p w14:paraId="44570D41" w14:textId="5FFD8A25" w:rsidR="003D7D60" w:rsidRPr="000F4937" w:rsidRDefault="00B1161E" w:rsidP="0078531C">
            <w:pPr>
              <w:pStyle w:val="BodyText"/>
              <w:rPr>
                <w:lang w:eastAsia="en-AU"/>
              </w:rPr>
            </w:pPr>
            <w:r>
              <w:rPr>
                <w:lang w:eastAsia="en-AU"/>
              </w:rPr>
              <w:t>48.3%</w:t>
            </w:r>
          </w:p>
        </w:tc>
        <w:tc>
          <w:tcPr>
            <w:tcW w:w="1247" w:type="dxa"/>
          </w:tcPr>
          <w:p w14:paraId="5AA44211" w14:textId="560B348B" w:rsidR="003D7D60" w:rsidRPr="00406DA3" w:rsidRDefault="00390A08" w:rsidP="0078531C">
            <w:pPr>
              <w:pStyle w:val="BodyText"/>
              <w:rPr>
                <w:lang w:eastAsia="en-AU"/>
              </w:rPr>
            </w:pPr>
            <w:r>
              <w:rPr>
                <w:lang w:eastAsia="en-AU"/>
              </w:rPr>
              <w:t>48.8</w:t>
            </w:r>
            <w:r w:rsidR="00B26123">
              <w:rPr>
                <w:lang w:eastAsia="en-AU"/>
              </w:rPr>
              <w:t>%</w:t>
            </w:r>
          </w:p>
        </w:tc>
        <w:tc>
          <w:tcPr>
            <w:tcW w:w="1349" w:type="dxa"/>
          </w:tcPr>
          <w:p w14:paraId="65F9F0F1" w14:textId="49478708" w:rsidR="003D7D60" w:rsidRPr="00406DA3" w:rsidRDefault="00390A08" w:rsidP="0078531C">
            <w:pPr>
              <w:pStyle w:val="BodyText"/>
              <w:rPr>
                <w:lang w:eastAsia="en-AU"/>
              </w:rPr>
            </w:pPr>
            <w:r>
              <w:rPr>
                <w:lang w:eastAsia="en-AU"/>
              </w:rPr>
              <w:t>+3.1pp</w:t>
            </w:r>
          </w:p>
        </w:tc>
        <w:tc>
          <w:tcPr>
            <w:tcW w:w="3090" w:type="dxa"/>
          </w:tcPr>
          <w:p w14:paraId="409D46EF" w14:textId="6B91958B" w:rsidR="003D7D60" w:rsidRPr="00406DA3" w:rsidRDefault="00FE1ED4" w:rsidP="0078531C">
            <w:pPr>
              <w:pStyle w:val="BodyText"/>
              <w:rPr>
                <w:lang w:eastAsia="en-AU"/>
              </w:rPr>
            </w:pPr>
            <w:r>
              <w:rPr>
                <w:lang w:eastAsia="en-AU"/>
              </w:rPr>
              <w:t>No change – Gender balanced</w:t>
            </w:r>
          </w:p>
        </w:tc>
      </w:tr>
      <w:tr w:rsidR="003D7D60" w:rsidRPr="00406DA3" w14:paraId="58D3AFF5" w14:textId="77777777" w:rsidTr="00EF4CF4">
        <w:tc>
          <w:tcPr>
            <w:tcW w:w="1600" w:type="dxa"/>
            <w:hideMark/>
          </w:tcPr>
          <w:p w14:paraId="6B438AFB" w14:textId="1F42EB3A" w:rsidR="003D7D60" w:rsidRPr="00406DA3" w:rsidRDefault="003D7D60" w:rsidP="0078531C">
            <w:pPr>
              <w:pStyle w:val="BodyText"/>
              <w:rPr>
                <w:lang w:eastAsia="en-AU"/>
              </w:rPr>
            </w:pPr>
            <w:r w:rsidRPr="00406DA3">
              <w:rPr>
                <w:lang w:eastAsia="en-AU"/>
              </w:rPr>
              <w:t>Police and emergency services</w:t>
            </w:r>
          </w:p>
        </w:tc>
        <w:tc>
          <w:tcPr>
            <w:tcW w:w="1035" w:type="dxa"/>
            <w:hideMark/>
          </w:tcPr>
          <w:p w14:paraId="1937A504" w14:textId="59BC746B" w:rsidR="003D7D60" w:rsidRPr="00406DA3" w:rsidRDefault="00390A08" w:rsidP="0078531C">
            <w:pPr>
              <w:pStyle w:val="BodyText"/>
              <w:rPr>
                <w:lang w:eastAsia="en-AU"/>
              </w:rPr>
            </w:pPr>
            <w:r>
              <w:rPr>
                <w:lang w:eastAsia="en-AU"/>
              </w:rPr>
              <w:t>36.4%</w:t>
            </w:r>
          </w:p>
        </w:tc>
        <w:tc>
          <w:tcPr>
            <w:tcW w:w="1035" w:type="dxa"/>
            <w:hideMark/>
          </w:tcPr>
          <w:p w14:paraId="06C2383D" w14:textId="70C0E9D0" w:rsidR="003D7D60" w:rsidRPr="00406DA3" w:rsidRDefault="00390A08" w:rsidP="0078531C">
            <w:pPr>
              <w:pStyle w:val="BodyText"/>
              <w:rPr>
                <w:lang w:eastAsia="en-AU"/>
              </w:rPr>
            </w:pPr>
            <w:r>
              <w:rPr>
                <w:lang w:eastAsia="en-AU"/>
              </w:rPr>
              <w:t>38.0%</w:t>
            </w:r>
          </w:p>
        </w:tc>
        <w:tc>
          <w:tcPr>
            <w:tcW w:w="1247" w:type="dxa"/>
            <w:hideMark/>
          </w:tcPr>
          <w:p w14:paraId="63F42EF6" w14:textId="4BA81F3E" w:rsidR="003D7D60" w:rsidRPr="00406DA3" w:rsidRDefault="00390A08" w:rsidP="0078531C">
            <w:pPr>
              <w:pStyle w:val="BodyText"/>
              <w:rPr>
                <w:lang w:eastAsia="en-AU"/>
              </w:rPr>
            </w:pPr>
            <w:r>
              <w:rPr>
                <w:lang w:eastAsia="en-AU"/>
              </w:rPr>
              <w:t>38.2%</w:t>
            </w:r>
          </w:p>
        </w:tc>
        <w:tc>
          <w:tcPr>
            <w:tcW w:w="1349" w:type="dxa"/>
            <w:hideMark/>
          </w:tcPr>
          <w:p w14:paraId="29BA730D" w14:textId="735157C4" w:rsidR="003D7D60" w:rsidRPr="00406DA3" w:rsidRDefault="00390A08" w:rsidP="0078531C">
            <w:pPr>
              <w:pStyle w:val="BodyText"/>
              <w:rPr>
                <w:lang w:eastAsia="en-AU"/>
              </w:rPr>
            </w:pPr>
            <w:r>
              <w:rPr>
                <w:lang w:eastAsia="en-AU"/>
              </w:rPr>
              <w:t>+1.7pp</w:t>
            </w:r>
          </w:p>
        </w:tc>
        <w:tc>
          <w:tcPr>
            <w:tcW w:w="3090" w:type="dxa"/>
            <w:hideMark/>
          </w:tcPr>
          <w:p w14:paraId="70DC91D6" w14:textId="5A408ABD" w:rsidR="003D7D60" w:rsidRPr="00406DA3" w:rsidRDefault="00FE1ED4" w:rsidP="0078531C">
            <w:pPr>
              <w:pStyle w:val="BodyText"/>
              <w:rPr>
                <w:lang w:eastAsia="en-AU"/>
              </w:rPr>
            </w:pPr>
            <w:r>
              <w:rPr>
                <w:lang w:eastAsia="en-AU"/>
              </w:rPr>
              <w:t>No change - Slightly men-concentrated</w:t>
            </w:r>
          </w:p>
        </w:tc>
      </w:tr>
      <w:tr w:rsidR="003D7D60" w:rsidRPr="00406DA3" w14:paraId="105D7CFF" w14:textId="77777777" w:rsidTr="00EF4CF4">
        <w:tc>
          <w:tcPr>
            <w:tcW w:w="1600" w:type="dxa"/>
            <w:hideMark/>
          </w:tcPr>
          <w:p w14:paraId="4C123587" w14:textId="68219403" w:rsidR="003D7D60" w:rsidRPr="00406DA3" w:rsidRDefault="003D7D60" w:rsidP="0078531C">
            <w:pPr>
              <w:pStyle w:val="BodyText"/>
              <w:rPr>
                <w:lang w:eastAsia="en-AU"/>
              </w:rPr>
            </w:pPr>
            <w:r w:rsidRPr="00406DA3">
              <w:rPr>
                <w:lang w:eastAsia="en-AU"/>
              </w:rPr>
              <w:t>Public health care</w:t>
            </w:r>
          </w:p>
        </w:tc>
        <w:tc>
          <w:tcPr>
            <w:tcW w:w="1035" w:type="dxa"/>
            <w:hideMark/>
          </w:tcPr>
          <w:p w14:paraId="719C489E" w14:textId="44D79054" w:rsidR="003D7D60" w:rsidRPr="00406DA3" w:rsidRDefault="00390A08" w:rsidP="0078531C">
            <w:pPr>
              <w:pStyle w:val="BodyText"/>
              <w:rPr>
                <w:lang w:eastAsia="en-AU"/>
              </w:rPr>
            </w:pPr>
            <w:r>
              <w:rPr>
                <w:lang w:eastAsia="en-AU"/>
              </w:rPr>
              <w:t>78.2%</w:t>
            </w:r>
          </w:p>
        </w:tc>
        <w:tc>
          <w:tcPr>
            <w:tcW w:w="1035" w:type="dxa"/>
            <w:hideMark/>
          </w:tcPr>
          <w:p w14:paraId="139AC7AB" w14:textId="41BE0ACC" w:rsidR="003D7D60" w:rsidRPr="00406DA3" w:rsidRDefault="002B0DF3" w:rsidP="0078531C">
            <w:pPr>
              <w:pStyle w:val="BodyText"/>
              <w:rPr>
                <w:lang w:eastAsia="en-AU"/>
              </w:rPr>
            </w:pPr>
            <w:r>
              <w:rPr>
                <w:lang w:eastAsia="en-AU"/>
              </w:rPr>
              <w:t>77.4%</w:t>
            </w:r>
          </w:p>
        </w:tc>
        <w:tc>
          <w:tcPr>
            <w:tcW w:w="1247" w:type="dxa"/>
            <w:hideMark/>
          </w:tcPr>
          <w:p w14:paraId="33EA9EBF" w14:textId="6A698416" w:rsidR="003D7D60" w:rsidRPr="00406DA3" w:rsidRDefault="002B0DF3" w:rsidP="0078531C">
            <w:pPr>
              <w:pStyle w:val="BodyText"/>
              <w:rPr>
                <w:lang w:eastAsia="en-AU"/>
              </w:rPr>
            </w:pPr>
            <w:r>
              <w:rPr>
                <w:lang w:eastAsia="en-AU"/>
              </w:rPr>
              <w:t>77.1%</w:t>
            </w:r>
          </w:p>
        </w:tc>
        <w:tc>
          <w:tcPr>
            <w:tcW w:w="1349" w:type="dxa"/>
            <w:hideMark/>
          </w:tcPr>
          <w:p w14:paraId="4AD8E4FF" w14:textId="5AC953D8" w:rsidR="003D7D60" w:rsidRPr="00406DA3" w:rsidRDefault="002B0DF3" w:rsidP="0078531C">
            <w:pPr>
              <w:pStyle w:val="BodyText"/>
              <w:rPr>
                <w:lang w:eastAsia="en-AU"/>
              </w:rPr>
            </w:pPr>
            <w:r>
              <w:rPr>
                <w:lang w:eastAsia="en-AU"/>
              </w:rPr>
              <w:t>-1.0pp</w:t>
            </w:r>
          </w:p>
        </w:tc>
        <w:tc>
          <w:tcPr>
            <w:tcW w:w="3090" w:type="dxa"/>
            <w:hideMark/>
          </w:tcPr>
          <w:p w14:paraId="7DD5DBC8" w14:textId="368F0CC9" w:rsidR="003D7D60" w:rsidRPr="00406DA3" w:rsidRDefault="00FE1ED4" w:rsidP="0078531C">
            <w:pPr>
              <w:pStyle w:val="BodyText"/>
              <w:rPr>
                <w:lang w:eastAsia="en-AU"/>
              </w:rPr>
            </w:pPr>
            <w:r>
              <w:rPr>
                <w:lang w:eastAsia="en-AU"/>
              </w:rPr>
              <w:t xml:space="preserve">No change – </w:t>
            </w:r>
            <w:r w:rsidR="00CF53BF">
              <w:rPr>
                <w:lang w:eastAsia="en-AU"/>
              </w:rPr>
              <w:t>Highly women-concentrated</w:t>
            </w:r>
          </w:p>
        </w:tc>
      </w:tr>
      <w:tr w:rsidR="003D7D60" w:rsidRPr="00406DA3" w14:paraId="3ED51C05" w14:textId="77777777" w:rsidTr="00EF4CF4">
        <w:tc>
          <w:tcPr>
            <w:tcW w:w="1600" w:type="dxa"/>
            <w:hideMark/>
          </w:tcPr>
          <w:p w14:paraId="6D91077E" w14:textId="617E05AA" w:rsidR="003D7D60" w:rsidRPr="00406DA3" w:rsidRDefault="003D7D60" w:rsidP="0078531C">
            <w:pPr>
              <w:pStyle w:val="BodyText"/>
              <w:rPr>
                <w:lang w:eastAsia="en-AU"/>
              </w:rPr>
            </w:pPr>
            <w:r w:rsidRPr="00406DA3">
              <w:rPr>
                <w:lang w:eastAsia="en-AU"/>
              </w:rPr>
              <w:t>TAFE and other education</w:t>
            </w:r>
          </w:p>
        </w:tc>
        <w:tc>
          <w:tcPr>
            <w:tcW w:w="1035" w:type="dxa"/>
            <w:hideMark/>
          </w:tcPr>
          <w:p w14:paraId="6FD96A33" w14:textId="7467F128" w:rsidR="003D7D60" w:rsidRPr="00406DA3" w:rsidRDefault="00A22750" w:rsidP="0078531C">
            <w:pPr>
              <w:pStyle w:val="BodyText"/>
              <w:rPr>
                <w:lang w:eastAsia="en-AU"/>
              </w:rPr>
            </w:pPr>
            <w:r>
              <w:rPr>
                <w:lang w:eastAsia="en-AU"/>
              </w:rPr>
              <w:t>59.7%</w:t>
            </w:r>
          </w:p>
        </w:tc>
        <w:tc>
          <w:tcPr>
            <w:tcW w:w="1035" w:type="dxa"/>
            <w:hideMark/>
          </w:tcPr>
          <w:p w14:paraId="02CC296E" w14:textId="04CCF3AB" w:rsidR="003D7D60" w:rsidRPr="00406DA3" w:rsidRDefault="00A22750" w:rsidP="0078531C">
            <w:pPr>
              <w:pStyle w:val="BodyText"/>
              <w:rPr>
                <w:lang w:eastAsia="en-AU"/>
              </w:rPr>
            </w:pPr>
            <w:r>
              <w:rPr>
                <w:lang w:eastAsia="en-AU"/>
              </w:rPr>
              <w:t>60.0%</w:t>
            </w:r>
          </w:p>
        </w:tc>
        <w:tc>
          <w:tcPr>
            <w:tcW w:w="1247" w:type="dxa"/>
            <w:hideMark/>
          </w:tcPr>
          <w:p w14:paraId="6D5E2106" w14:textId="06997437" w:rsidR="003D7D60" w:rsidRPr="00406DA3" w:rsidRDefault="00A22750" w:rsidP="0078531C">
            <w:pPr>
              <w:pStyle w:val="BodyText"/>
              <w:rPr>
                <w:lang w:eastAsia="en-AU"/>
              </w:rPr>
            </w:pPr>
            <w:r>
              <w:rPr>
                <w:lang w:eastAsia="en-AU"/>
              </w:rPr>
              <w:t>60.0%</w:t>
            </w:r>
          </w:p>
        </w:tc>
        <w:tc>
          <w:tcPr>
            <w:tcW w:w="1349" w:type="dxa"/>
            <w:hideMark/>
          </w:tcPr>
          <w:p w14:paraId="4F25C8A2" w14:textId="4BCE2575" w:rsidR="003D7D60" w:rsidRPr="00406DA3" w:rsidRDefault="00A22750" w:rsidP="0078531C">
            <w:pPr>
              <w:pStyle w:val="BodyText"/>
              <w:rPr>
                <w:lang w:eastAsia="en-AU"/>
              </w:rPr>
            </w:pPr>
            <w:r>
              <w:rPr>
                <w:lang w:eastAsia="en-AU"/>
              </w:rPr>
              <w:t>+0.3pp</w:t>
            </w:r>
          </w:p>
        </w:tc>
        <w:tc>
          <w:tcPr>
            <w:tcW w:w="3090" w:type="dxa"/>
            <w:hideMark/>
          </w:tcPr>
          <w:p w14:paraId="778EDD85" w14:textId="0488ADF2" w:rsidR="003D7D60" w:rsidRPr="00406DA3" w:rsidRDefault="00CF53BF" w:rsidP="0078531C">
            <w:pPr>
              <w:pStyle w:val="BodyText"/>
              <w:rPr>
                <w:lang w:eastAsia="en-AU"/>
              </w:rPr>
            </w:pPr>
            <w:r>
              <w:rPr>
                <w:lang w:eastAsia="en-AU"/>
              </w:rPr>
              <w:t>No change – Slightly women-concentrated</w:t>
            </w:r>
          </w:p>
        </w:tc>
      </w:tr>
      <w:tr w:rsidR="003D7D60" w:rsidRPr="00406DA3" w14:paraId="339BDC1E" w14:textId="77777777" w:rsidTr="00EF4CF4">
        <w:tc>
          <w:tcPr>
            <w:tcW w:w="1600" w:type="dxa"/>
          </w:tcPr>
          <w:p w14:paraId="61679B31" w14:textId="7C912A62" w:rsidR="003D7D60" w:rsidRPr="00406DA3" w:rsidRDefault="003D7D60" w:rsidP="0078531C">
            <w:pPr>
              <w:pStyle w:val="BodyText"/>
              <w:rPr>
                <w:lang w:eastAsia="en-AU"/>
              </w:rPr>
            </w:pPr>
            <w:r>
              <w:rPr>
                <w:lang w:eastAsia="en-AU"/>
              </w:rPr>
              <w:t>Transport</w:t>
            </w:r>
          </w:p>
        </w:tc>
        <w:tc>
          <w:tcPr>
            <w:tcW w:w="1035" w:type="dxa"/>
          </w:tcPr>
          <w:p w14:paraId="5EB98270" w14:textId="0A8EF76C" w:rsidR="003D7D60" w:rsidRPr="000F4937" w:rsidRDefault="008F0DD3" w:rsidP="0078531C">
            <w:pPr>
              <w:pStyle w:val="BodyText"/>
              <w:rPr>
                <w:lang w:eastAsia="en-AU"/>
              </w:rPr>
            </w:pPr>
            <w:r>
              <w:rPr>
                <w:lang w:eastAsia="en-AU"/>
              </w:rPr>
              <w:t>24.4%</w:t>
            </w:r>
          </w:p>
        </w:tc>
        <w:tc>
          <w:tcPr>
            <w:tcW w:w="1035" w:type="dxa"/>
          </w:tcPr>
          <w:p w14:paraId="0DCDE226" w14:textId="65A8A6CE" w:rsidR="003D7D60" w:rsidRPr="000F4937" w:rsidRDefault="008F0DD3" w:rsidP="0078531C">
            <w:pPr>
              <w:pStyle w:val="BodyText"/>
              <w:rPr>
                <w:lang w:eastAsia="en-AU"/>
              </w:rPr>
            </w:pPr>
            <w:r>
              <w:rPr>
                <w:lang w:eastAsia="en-AU"/>
              </w:rPr>
              <w:t>27.3%</w:t>
            </w:r>
          </w:p>
        </w:tc>
        <w:tc>
          <w:tcPr>
            <w:tcW w:w="1247" w:type="dxa"/>
          </w:tcPr>
          <w:p w14:paraId="2E698F04" w14:textId="4B26DF77" w:rsidR="003D7D60" w:rsidRPr="00406DA3" w:rsidRDefault="008F0DD3" w:rsidP="0078531C">
            <w:pPr>
              <w:pStyle w:val="BodyText"/>
              <w:rPr>
                <w:lang w:eastAsia="en-AU"/>
              </w:rPr>
            </w:pPr>
            <w:r>
              <w:rPr>
                <w:lang w:eastAsia="en-AU"/>
              </w:rPr>
              <w:t>29.4%</w:t>
            </w:r>
          </w:p>
        </w:tc>
        <w:tc>
          <w:tcPr>
            <w:tcW w:w="1349" w:type="dxa"/>
          </w:tcPr>
          <w:p w14:paraId="7E1C8171" w14:textId="0A02ED86" w:rsidR="003D7D60" w:rsidRPr="00406DA3" w:rsidRDefault="008F0DD3" w:rsidP="0078531C">
            <w:pPr>
              <w:pStyle w:val="BodyText"/>
              <w:rPr>
                <w:lang w:eastAsia="en-AU"/>
              </w:rPr>
            </w:pPr>
            <w:r>
              <w:rPr>
                <w:lang w:eastAsia="en-AU"/>
              </w:rPr>
              <w:t>+4.9pp</w:t>
            </w:r>
          </w:p>
        </w:tc>
        <w:tc>
          <w:tcPr>
            <w:tcW w:w="3090" w:type="dxa"/>
          </w:tcPr>
          <w:p w14:paraId="269EC297" w14:textId="3EC4ACA2" w:rsidR="003D7D60" w:rsidRPr="00406DA3" w:rsidRDefault="00CF53BF" w:rsidP="0078531C">
            <w:pPr>
              <w:pStyle w:val="BodyText"/>
              <w:rPr>
                <w:lang w:eastAsia="en-AU"/>
              </w:rPr>
            </w:pPr>
            <w:r>
              <w:rPr>
                <w:lang w:eastAsia="en-AU"/>
              </w:rPr>
              <w:t xml:space="preserve">Less segregation – Moderately </w:t>
            </w:r>
            <w:r w:rsidR="00150992">
              <w:rPr>
                <w:lang w:eastAsia="en-AU"/>
              </w:rPr>
              <w:t>men-concentrated</w:t>
            </w:r>
          </w:p>
        </w:tc>
      </w:tr>
      <w:tr w:rsidR="003D7D60" w:rsidRPr="00406DA3" w14:paraId="4196DF8A" w14:textId="77777777" w:rsidTr="00EF4CF4">
        <w:tc>
          <w:tcPr>
            <w:tcW w:w="1600" w:type="dxa"/>
            <w:hideMark/>
          </w:tcPr>
          <w:p w14:paraId="10A0CA74" w14:textId="606F7ABC" w:rsidR="003D7D60" w:rsidRPr="00406DA3" w:rsidRDefault="003D7D60" w:rsidP="0078531C">
            <w:pPr>
              <w:pStyle w:val="BodyText"/>
              <w:rPr>
                <w:lang w:eastAsia="en-AU"/>
              </w:rPr>
            </w:pPr>
            <w:r w:rsidRPr="00406DA3">
              <w:rPr>
                <w:lang w:eastAsia="en-AU"/>
              </w:rPr>
              <w:t>Universities</w:t>
            </w:r>
          </w:p>
        </w:tc>
        <w:tc>
          <w:tcPr>
            <w:tcW w:w="1035" w:type="dxa"/>
            <w:hideMark/>
          </w:tcPr>
          <w:p w14:paraId="0383876E" w14:textId="270121CA" w:rsidR="003D7D60" w:rsidRPr="00406DA3" w:rsidRDefault="008F0DD3" w:rsidP="0078531C">
            <w:pPr>
              <w:pStyle w:val="BodyText"/>
              <w:rPr>
                <w:lang w:eastAsia="en-AU"/>
              </w:rPr>
            </w:pPr>
            <w:r>
              <w:rPr>
                <w:lang w:eastAsia="en-AU"/>
              </w:rPr>
              <w:t>58.1%</w:t>
            </w:r>
          </w:p>
        </w:tc>
        <w:tc>
          <w:tcPr>
            <w:tcW w:w="1035" w:type="dxa"/>
            <w:hideMark/>
          </w:tcPr>
          <w:p w14:paraId="67EF3EC8" w14:textId="14CA138F" w:rsidR="003D7D60" w:rsidRPr="00406DA3" w:rsidRDefault="008F0DD3" w:rsidP="0078531C">
            <w:pPr>
              <w:pStyle w:val="BodyText"/>
              <w:rPr>
                <w:lang w:eastAsia="en-AU"/>
              </w:rPr>
            </w:pPr>
            <w:r>
              <w:rPr>
                <w:lang w:eastAsia="en-AU"/>
              </w:rPr>
              <w:t>59.3%</w:t>
            </w:r>
          </w:p>
        </w:tc>
        <w:tc>
          <w:tcPr>
            <w:tcW w:w="1247" w:type="dxa"/>
            <w:hideMark/>
          </w:tcPr>
          <w:p w14:paraId="604864DB" w14:textId="04EEA7F6" w:rsidR="003D7D60" w:rsidRPr="00406DA3" w:rsidRDefault="008F0DD3" w:rsidP="0078531C">
            <w:pPr>
              <w:pStyle w:val="BodyText"/>
              <w:rPr>
                <w:lang w:eastAsia="en-AU"/>
              </w:rPr>
            </w:pPr>
            <w:r>
              <w:rPr>
                <w:lang w:eastAsia="en-AU"/>
              </w:rPr>
              <w:t>59.6%</w:t>
            </w:r>
          </w:p>
        </w:tc>
        <w:tc>
          <w:tcPr>
            <w:tcW w:w="1349" w:type="dxa"/>
            <w:hideMark/>
          </w:tcPr>
          <w:p w14:paraId="54521C78" w14:textId="5439C051" w:rsidR="003D7D60" w:rsidRPr="00406DA3" w:rsidRDefault="00187950" w:rsidP="0078531C">
            <w:pPr>
              <w:pStyle w:val="BodyText"/>
              <w:rPr>
                <w:lang w:eastAsia="en-AU"/>
              </w:rPr>
            </w:pPr>
            <w:r>
              <w:rPr>
                <w:lang w:eastAsia="en-AU"/>
              </w:rPr>
              <w:t>+1.5pp</w:t>
            </w:r>
          </w:p>
        </w:tc>
        <w:tc>
          <w:tcPr>
            <w:tcW w:w="3090" w:type="dxa"/>
            <w:hideMark/>
          </w:tcPr>
          <w:p w14:paraId="6D1B0B8C" w14:textId="0D2124D4" w:rsidR="003D7D60" w:rsidRPr="00406DA3" w:rsidRDefault="00150992" w:rsidP="0078531C">
            <w:pPr>
              <w:pStyle w:val="BodyText"/>
              <w:rPr>
                <w:lang w:eastAsia="en-AU"/>
              </w:rPr>
            </w:pPr>
            <w:r>
              <w:rPr>
                <w:lang w:eastAsia="en-AU"/>
              </w:rPr>
              <w:t>No change – Slightly women-concentrated</w:t>
            </w:r>
          </w:p>
        </w:tc>
      </w:tr>
      <w:tr w:rsidR="003D7D60" w:rsidRPr="00406DA3" w14:paraId="19E54219" w14:textId="77777777" w:rsidTr="00EF4CF4">
        <w:tc>
          <w:tcPr>
            <w:tcW w:w="1600" w:type="dxa"/>
            <w:hideMark/>
          </w:tcPr>
          <w:p w14:paraId="540A7757" w14:textId="52BD9819" w:rsidR="003D7D60" w:rsidRPr="00406DA3" w:rsidRDefault="003D7D60" w:rsidP="0078531C">
            <w:pPr>
              <w:pStyle w:val="BodyText"/>
              <w:rPr>
                <w:lang w:eastAsia="en-AU"/>
              </w:rPr>
            </w:pPr>
            <w:r w:rsidRPr="00406DA3">
              <w:rPr>
                <w:lang w:eastAsia="en-AU"/>
              </w:rPr>
              <w:t xml:space="preserve">Victorian </w:t>
            </w:r>
            <w:r w:rsidR="00C40FF6">
              <w:rPr>
                <w:lang w:eastAsia="en-AU"/>
              </w:rPr>
              <w:t>P</w:t>
            </w:r>
            <w:r w:rsidRPr="00406DA3">
              <w:rPr>
                <w:lang w:eastAsia="en-AU"/>
              </w:rPr>
              <w:t xml:space="preserve">ublic </w:t>
            </w:r>
            <w:r w:rsidR="00C40FF6">
              <w:rPr>
                <w:lang w:eastAsia="en-AU"/>
              </w:rPr>
              <w:t>S</w:t>
            </w:r>
            <w:r w:rsidRPr="00406DA3">
              <w:rPr>
                <w:lang w:eastAsia="en-AU"/>
              </w:rPr>
              <w:t>ervice</w:t>
            </w:r>
          </w:p>
        </w:tc>
        <w:tc>
          <w:tcPr>
            <w:tcW w:w="1035" w:type="dxa"/>
            <w:hideMark/>
          </w:tcPr>
          <w:p w14:paraId="30912603" w14:textId="2AD8039C" w:rsidR="003D7D60" w:rsidRPr="00406DA3" w:rsidRDefault="00B31537" w:rsidP="0078531C">
            <w:pPr>
              <w:pStyle w:val="BodyText"/>
              <w:rPr>
                <w:lang w:eastAsia="en-AU"/>
              </w:rPr>
            </w:pPr>
            <w:r>
              <w:rPr>
                <w:lang w:eastAsia="en-AU"/>
              </w:rPr>
              <w:t>69.7%</w:t>
            </w:r>
          </w:p>
        </w:tc>
        <w:tc>
          <w:tcPr>
            <w:tcW w:w="1035" w:type="dxa"/>
            <w:hideMark/>
          </w:tcPr>
          <w:p w14:paraId="4B6C2006" w14:textId="0EA20512" w:rsidR="003D7D60" w:rsidRPr="00406DA3" w:rsidRDefault="00B31537" w:rsidP="0078531C">
            <w:pPr>
              <w:pStyle w:val="BodyText"/>
              <w:rPr>
                <w:lang w:eastAsia="en-AU"/>
              </w:rPr>
            </w:pPr>
            <w:r>
              <w:rPr>
                <w:lang w:eastAsia="en-AU"/>
              </w:rPr>
              <w:t>69.7%</w:t>
            </w:r>
          </w:p>
        </w:tc>
        <w:tc>
          <w:tcPr>
            <w:tcW w:w="1247" w:type="dxa"/>
            <w:hideMark/>
          </w:tcPr>
          <w:p w14:paraId="0E156558" w14:textId="7548D59C" w:rsidR="003D7D60" w:rsidRPr="00406DA3" w:rsidRDefault="00B31537" w:rsidP="0078531C">
            <w:pPr>
              <w:pStyle w:val="BodyText"/>
              <w:rPr>
                <w:lang w:eastAsia="en-AU"/>
              </w:rPr>
            </w:pPr>
            <w:r>
              <w:rPr>
                <w:lang w:eastAsia="en-AU"/>
              </w:rPr>
              <w:t>69.5%</w:t>
            </w:r>
          </w:p>
        </w:tc>
        <w:tc>
          <w:tcPr>
            <w:tcW w:w="1349" w:type="dxa"/>
            <w:hideMark/>
          </w:tcPr>
          <w:p w14:paraId="65DD884E" w14:textId="781616E2" w:rsidR="003D7D60" w:rsidRPr="00406DA3" w:rsidRDefault="00B31537" w:rsidP="0078531C">
            <w:pPr>
              <w:pStyle w:val="BodyText"/>
              <w:rPr>
                <w:lang w:eastAsia="en-AU"/>
              </w:rPr>
            </w:pPr>
            <w:r>
              <w:rPr>
                <w:lang w:eastAsia="en-AU"/>
              </w:rPr>
              <w:t>-0.2pp</w:t>
            </w:r>
          </w:p>
        </w:tc>
        <w:tc>
          <w:tcPr>
            <w:tcW w:w="3090" w:type="dxa"/>
            <w:hideMark/>
          </w:tcPr>
          <w:p w14:paraId="7EC30008" w14:textId="1A0C36BE" w:rsidR="003D7D60" w:rsidRPr="00406DA3" w:rsidRDefault="00150992" w:rsidP="0078531C">
            <w:pPr>
              <w:pStyle w:val="BodyText"/>
              <w:rPr>
                <w:lang w:eastAsia="en-AU"/>
              </w:rPr>
            </w:pPr>
            <w:r>
              <w:rPr>
                <w:lang w:eastAsia="en-AU"/>
              </w:rPr>
              <w:t>No change – Moderately women-concentrated</w:t>
            </w:r>
          </w:p>
        </w:tc>
      </w:tr>
      <w:tr w:rsidR="003D7D60" w:rsidRPr="00406DA3" w14:paraId="5DD6DB7A" w14:textId="77777777" w:rsidTr="00EF4CF4">
        <w:tc>
          <w:tcPr>
            <w:tcW w:w="1600" w:type="dxa"/>
            <w:hideMark/>
          </w:tcPr>
          <w:p w14:paraId="0B25710F" w14:textId="44D4B007" w:rsidR="003D7D60" w:rsidRPr="00406DA3" w:rsidRDefault="003D7D60" w:rsidP="0078531C">
            <w:pPr>
              <w:pStyle w:val="BodyText"/>
              <w:rPr>
                <w:lang w:eastAsia="en-AU"/>
              </w:rPr>
            </w:pPr>
            <w:r w:rsidRPr="00406DA3">
              <w:rPr>
                <w:lang w:eastAsia="en-AU"/>
              </w:rPr>
              <w:t>Water and land management</w:t>
            </w:r>
          </w:p>
        </w:tc>
        <w:tc>
          <w:tcPr>
            <w:tcW w:w="1035" w:type="dxa"/>
            <w:hideMark/>
          </w:tcPr>
          <w:p w14:paraId="366EF3DD" w14:textId="10E583B9" w:rsidR="003D7D60" w:rsidRPr="00406DA3" w:rsidRDefault="00B31537" w:rsidP="0078531C">
            <w:pPr>
              <w:pStyle w:val="BodyText"/>
              <w:rPr>
                <w:lang w:eastAsia="en-AU"/>
              </w:rPr>
            </w:pPr>
            <w:r>
              <w:rPr>
                <w:lang w:eastAsia="en-AU"/>
              </w:rPr>
              <w:t>41.0%</w:t>
            </w:r>
          </w:p>
        </w:tc>
        <w:tc>
          <w:tcPr>
            <w:tcW w:w="1035" w:type="dxa"/>
            <w:hideMark/>
          </w:tcPr>
          <w:p w14:paraId="598E2D97" w14:textId="66D2412B" w:rsidR="003D7D60" w:rsidRPr="00406DA3" w:rsidRDefault="00B31537" w:rsidP="0078531C">
            <w:pPr>
              <w:pStyle w:val="BodyText"/>
              <w:rPr>
                <w:lang w:eastAsia="en-AU"/>
              </w:rPr>
            </w:pPr>
            <w:r>
              <w:rPr>
                <w:lang w:eastAsia="en-AU"/>
              </w:rPr>
              <w:t>43.0%</w:t>
            </w:r>
          </w:p>
        </w:tc>
        <w:tc>
          <w:tcPr>
            <w:tcW w:w="1247" w:type="dxa"/>
            <w:hideMark/>
          </w:tcPr>
          <w:p w14:paraId="3E77DE8F" w14:textId="01937CDB" w:rsidR="003D7D60" w:rsidRPr="00406DA3" w:rsidRDefault="00B31537" w:rsidP="0078531C">
            <w:pPr>
              <w:pStyle w:val="BodyText"/>
              <w:rPr>
                <w:lang w:eastAsia="en-AU"/>
              </w:rPr>
            </w:pPr>
            <w:r>
              <w:rPr>
                <w:lang w:eastAsia="en-AU"/>
              </w:rPr>
              <w:t>42.9%</w:t>
            </w:r>
          </w:p>
        </w:tc>
        <w:tc>
          <w:tcPr>
            <w:tcW w:w="1349" w:type="dxa"/>
            <w:hideMark/>
          </w:tcPr>
          <w:p w14:paraId="17A1F296" w14:textId="3591CB38" w:rsidR="003D7D60" w:rsidRPr="00406DA3" w:rsidRDefault="00B31537" w:rsidP="0078531C">
            <w:pPr>
              <w:pStyle w:val="BodyText"/>
              <w:rPr>
                <w:lang w:eastAsia="en-AU"/>
              </w:rPr>
            </w:pPr>
            <w:r>
              <w:rPr>
                <w:lang w:eastAsia="en-AU"/>
              </w:rPr>
              <w:t>+1.9pp</w:t>
            </w:r>
          </w:p>
        </w:tc>
        <w:tc>
          <w:tcPr>
            <w:tcW w:w="3090" w:type="dxa"/>
            <w:hideMark/>
          </w:tcPr>
          <w:p w14:paraId="3AE427C7" w14:textId="176CA476" w:rsidR="003D7D60" w:rsidRPr="00406DA3" w:rsidRDefault="00150992" w:rsidP="0078531C">
            <w:pPr>
              <w:pStyle w:val="BodyText"/>
              <w:rPr>
                <w:lang w:eastAsia="en-AU"/>
              </w:rPr>
            </w:pPr>
            <w:r>
              <w:rPr>
                <w:lang w:eastAsia="en-AU"/>
              </w:rPr>
              <w:t>No change – Slightly men-concentrated</w:t>
            </w:r>
          </w:p>
        </w:tc>
      </w:tr>
    </w:tbl>
    <w:p w14:paraId="6169725C" w14:textId="77777777" w:rsidR="002354D4" w:rsidRDefault="002354D4" w:rsidP="00AB6823">
      <w:pPr>
        <w:pStyle w:val="Tablefigurenote"/>
      </w:pPr>
      <w:r w:rsidRPr="00136D6E">
        <w:t>Source: Workplace gender audit workforce data, 2021</w:t>
      </w:r>
      <w:r>
        <w:t>, 2023 and 2025.</w:t>
      </w:r>
    </w:p>
    <w:p w14:paraId="4588C996" w14:textId="18878BB1" w:rsidR="00A7695E" w:rsidRDefault="00AB6823" w:rsidP="00AB6823">
      <w:pPr>
        <w:pStyle w:val="Tablefigurenote"/>
      </w:pPr>
      <w:r w:rsidRPr="00C27278">
        <w:t xml:space="preserve">Notes: To understand how to interpret the different types of progress ratings, see </w:t>
      </w:r>
      <w:hyperlink w:anchor="_Data_measures" w:history="1">
        <w:r w:rsidR="00810E3E">
          <w:rPr>
            <w:rStyle w:val="Hyperlink"/>
            <w:rFonts w:cs="Times New Roman"/>
          </w:rPr>
          <w:t>Data measures</w:t>
        </w:r>
      </w:hyperlink>
      <w:r w:rsidR="00810E3E">
        <w:t xml:space="preserve"> in </w:t>
      </w:r>
      <w:r w:rsidR="00810E3E" w:rsidRPr="00A2089E">
        <w:t>Appendix 1</w:t>
      </w:r>
      <w:r w:rsidR="00810E3E">
        <w:t>.</w:t>
      </w:r>
      <w:r w:rsidR="004C3436" w:rsidRPr="004C3436">
        <w:t xml:space="preserve"> </w:t>
      </w:r>
      <w:r w:rsidR="004C3436" w:rsidRPr="00AE1037">
        <w:t xml:space="preserve">The </w:t>
      </w:r>
      <w:r w:rsidR="004C3436">
        <w:t xml:space="preserve">percentage point </w:t>
      </w:r>
      <w:r w:rsidR="004C3436" w:rsidRPr="00AE1037">
        <w:t>change column may not always reflect the exact difference between years due to rounding</w:t>
      </w:r>
      <w:r w:rsidRPr="00C27278">
        <w:t>.</w:t>
      </w:r>
    </w:p>
    <w:p w14:paraId="14B09406" w14:textId="1778565E" w:rsidR="00071AD5" w:rsidRDefault="00280AAC" w:rsidP="009A3C55">
      <w:pPr>
        <w:pStyle w:val="Heading3"/>
      </w:pPr>
      <w:r>
        <w:t>Signs of progress</w:t>
      </w:r>
    </w:p>
    <w:p w14:paraId="549D6D16" w14:textId="77777777" w:rsidR="00A034A8" w:rsidRPr="00A034A8" w:rsidRDefault="00A034A8" w:rsidP="00325903">
      <w:pPr>
        <w:pStyle w:val="Heading4"/>
        <w:rPr>
          <w:b w:val="0"/>
          <w:bCs w:val="0"/>
          <w:lang w:eastAsia="en-AU"/>
        </w:rPr>
      </w:pPr>
      <w:r w:rsidRPr="00A034A8">
        <w:rPr>
          <w:lang w:eastAsia="en-AU"/>
        </w:rPr>
        <w:t>More women worked in traditionally men-concentrated occupations</w:t>
      </w:r>
    </w:p>
    <w:p w14:paraId="366ED336" w14:textId="4E80E11B" w:rsidR="00A034A8" w:rsidRPr="00A034A8" w:rsidRDefault="00A034A8" w:rsidP="0078531C">
      <w:pPr>
        <w:pStyle w:val="BodyText"/>
        <w:rPr>
          <w:lang w:eastAsia="en-AU"/>
        </w:rPr>
      </w:pPr>
      <w:r w:rsidRPr="00A034A8">
        <w:rPr>
          <w:lang w:eastAsia="en-AU"/>
        </w:rPr>
        <w:t xml:space="preserve">There was improvement in some </w:t>
      </w:r>
      <w:r w:rsidR="0009109F">
        <w:rPr>
          <w:lang w:eastAsia="en-AU"/>
        </w:rPr>
        <w:t>traditionally</w:t>
      </w:r>
      <w:r w:rsidR="0009109F" w:rsidRPr="00A034A8">
        <w:rPr>
          <w:lang w:eastAsia="en-AU"/>
        </w:rPr>
        <w:t xml:space="preserve"> </w:t>
      </w:r>
      <w:r w:rsidRPr="00A034A8">
        <w:rPr>
          <w:lang w:eastAsia="en-AU"/>
        </w:rPr>
        <w:t>men-concentrated occupations, where women</w:t>
      </w:r>
      <w:r w:rsidR="002F55AB">
        <w:rPr>
          <w:lang w:eastAsia="en-AU"/>
        </w:rPr>
        <w:t>’</w:t>
      </w:r>
      <w:r w:rsidRPr="00A034A8">
        <w:rPr>
          <w:lang w:eastAsia="en-AU"/>
        </w:rPr>
        <w:t>s representation rose:</w:t>
      </w:r>
    </w:p>
    <w:p w14:paraId="54A99FE0" w14:textId="529F5FBD" w:rsidR="00A034A8" w:rsidRPr="00A034A8" w:rsidRDefault="00A034A8" w:rsidP="004444B7">
      <w:pPr>
        <w:pStyle w:val="Bullet1"/>
        <w:rPr>
          <w:lang w:eastAsia="en-AU"/>
        </w:rPr>
      </w:pPr>
      <w:r w:rsidRPr="00A034A8">
        <w:rPr>
          <w:lang w:eastAsia="en-AU"/>
        </w:rPr>
        <w:t xml:space="preserve">machinery operators and drivers </w:t>
      </w:r>
      <w:r w:rsidR="00374EE8">
        <w:rPr>
          <w:lang w:eastAsia="en-AU"/>
        </w:rPr>
        <w:t>(</w:t>
      </w:r>
      <w:r w:rsidRPr="00A034A8">
        <w:rPr>
          <w:lang w:eastAsia="en-AU"/>
        </w:rPr>
        <w:t>16.9%, up 6.3 percentage points</w:t>
      </w:r>
      <w:r w:rsidR="00374EE8">
        <w:rPr>
          <w:lang w:eastAsia="en-AU"/>
        </w:rPr>
        <w:t>)</w:t>
      </w:r>
    </w:p>
    <w:p w14:paraId="0A672560" w14:textId="7FE167A9" w:rsidR="00A034A8" w:rsidRPr="00A034A8" w:rsidRDefault="00A034A8" w:rsidP="004444B7">
      <w:pPr>
        <w:pStyle w:val="Bullet1"/>
        <w:rPr>
          <w:lang w:eastAsia="en-AU"/>
        </w:rPr>
      </w:pPr>
      <w:r w:rsidRPr="00A034A8">
        <w:rPr>
          <w:lang w:eastAsia="en-AU"/>
        </w:rPr>
        <w:t xml:space="preserve">technicians and trades workers </w:t>
      </w:r>
      <w:r w:rsidR="00374EE8">
        <w:rPr>
          <w:lang w:eastAsia="en-AU"/>
        </w:rPr>
        <w:t>(</w:t>
      </w:r>
      <w:r w:rsidRPr="00A034A8">
        <w:rPr>
          <w:lang w:eastAsia="en-AU"/>
        </w:rPr>
        <w:t xml:space="preserve">40.9%, up 2.1 </w:t>
      </w:r>
      <w:r w:rsidR="00374EE8">
        <w:rPr>
          <w:lang w:eastAsia="en-AU"/>
        </w:rPr>
        <w:t xml:space="preserve">percentage </w:t>
      </w:r>
      <w:r w:rsidRPr="00A034A8">
        <w:rPr>
          <w:lang w:eastAsia="en-AU"/>
        </w:rPr>
        <w:t>points</w:t>
      </w:r>
      <w:r w:rsidR="00374EE8">
        <w:rPr>
          <w:lang w:eastAsia="en-AU"/>
        </w:rPr>
        <w:t>)</w:t>
      </w:r>
    </w:p>
    <w:p w14:paraId="321194EA" w14:textId="1518B5C8" w:rsidR="00A034A8" w:rsidRPr="00A034A8" w:rsidRDefault="00A034A8" w:rsidP="004444B7">
      <w:pPr>
        <w:pStyle w:val="Bullet1"/>
        <w:rPr>
          <w:lang w:eastAsia="en-AU"/>
        </w:rPr>
      </w:pPr>
      <w:r w:rsidRPr="00A034A8">
        <w:rPr>
          <w:lang w:eastAsia="en-AU"/>
        </w:rPr>
        <w:t xml:space="preserve">labourers </w:t>
      </w:r>
      <w:r w:rsidR="00374EE8">
        <w:rPr>
          <w:lang w:eastAsia="en-AU"/>
        </w:rPr>
        <w:t>(</w:t>
      </w:r>
      <w:r w:rsidRPr="00A034A8">
        <w:rPr>
          <w:lang w:eastAsia="en-AU"/>
        </w:rPr>
        <w:t xml:space="preserve">51.7%, up 0.6 </w:t>
      </w:r>
      <w:r w:rsidR="00374EE8">
        <w:rPr>
          <w:lang w:eastAsia="en-AU"/>
        </w:rPr>
        <w:t xml:space="preserve">percentage </w:t>
      </w:r>
      <w:r w:rsidRPr="00A034A8">
        <w:rPr>
          <w:lang w:eastAsia="en-AU"/>
        </w:rPr>
        <w:t>points</w:t>
      </w:r>
      <w:r w:rsidR="00374EE8">
        <w:rPr>
          <w:lang w:eastAsia="en-AU"/>
        </w:rPr>
        <w:t>)</w:t>
      </w:r>
      <w:r w:rsidRPr="00A034A8">
        <w:rPr>
          <w:lang w:eastAsia="en-AU"/>
        </w:rPr>
        <w:t>.</w:t>
      </w:r>
    </w:p>
    <w:p w14:paraId="1A99BEC2" w14:textId="15E311BB" w:rsidR="00E35757" w:rsidRDefault="00A034A8" w:rsidP="00017DEE">
      <w:pPr>
        <w:pStyle w:val="Bodyafterbullets"/>
        <w:rPr>
          <w:lang w:eastAsia="en-AU"/>
        </w:rPr>
      </w:pPr>
      <w:r w:rsidRPr="00A034A8">
        <w:rPr>
          <w:lang w:eastAsia="en-AU"/>
        </w:rPr>
        <w:t>These</w:t>
      </w:r>
      <w:r w:rsidR="00AB1092">
        <w:rPr>
          <w:lang w:eastAsia="en-AU"/>
        </w:rPr>
        <w:t xml:space="preserve"> increase</w:t>
      </w:r>
      <w:r w:rsidR="005012C4">
        <w:rPr>
          <w:lang w:eastAsia="en-AU"/>
        </w:rPr>
        <w:t>s</w:t>
      </w:r>
      <w:r w:rsidR="00AB1092">
        <w:rPr>
          <w:lang w:eastAsia="en-AU"/>
        </w:rPr>
        <w:t xml:space="preserve"> </w:t>
      </w:r>
      <w:r w:rsidR="00272083">
        <w:rPr>
          <w:lang w:eastAsia="en-AU"/>
        </w:rPr>
        <w:t>did</w:t>
      </w:r>
      <w:r w:rsidR="00B2729D">
        <w:rPr>
          <w:lang w:eastAsia="en-AU"/>
        </w:rPr>
        <w:t xml:space="preserve"> not always </w:t>
      </w:r>
      <w:r w:rsidRPr="00A034A8">
        <w:rPr>
          <w:lang w:eastAsia="en-AU"/>
        </w:rPr>
        <w:t>shift an occupation</w:t>
      </w:r>
      <w:r w:rsidR="002F55AB">
        <w:rPr>
          <w:lang w:eastAsia="en-AU"/>
        </w:rPr>
        <w:t>’</w:t>
      </w:r>
      <w:r w:rsidRPr="00A034A8">
        <w:rPr>
          <w:lang w:eastAsia="en-AU"/>
        </w:rPr>
        <w:t>s overall</w:t>
      </w:r>
      <w:r w:rsidR="00B2729D">
        <w:rPr>
          <w:lang w:eastAsia="en-AU"/>
        </w:rPr>
        <w:t xml:space="preserve"> </w:t>
      </w:r>
      <w:r w:rsidR="001C5B51">
        <w:rPr>
          <w:lang w:eastAsia="en-AU"/>
        </w:rPr>
        <w:t>classification</w:t>
      </w:r>
      <w:r w:rsidR="00841CC4">
        <w:rPr>
          <w:lang w:eastAsia="en-AU"/>
        </w:rPr>
        <w:t>. M</w:t>
      </w:r>
      <w:r w:rsidRPr="00A034A8">
        <w:rPr>
          <w:lang w:eastAsia="en-AU"/>
        </w:rPr>
        <w:t>achinery operators and drivers, for instance, remain highly men-concentrated despite the largest single rise</w:t>
      </w:r>
      <w:r w:rsidR="005305B4">
        <w:rPr>
          <w:lang w:eastAsia="en-AU"/>
        </w:rPr>
        <w:t>.</w:t>
      </w:r>
      <w:r w:rsidRPr="00A034A8">
        <w:rPr>
          <w:lang w:eastAsia="en-AU"/>
        </w:rPr>
        <w:t xml:space="preserve"> </w:t>
      </w:r>
      <w:r w:rsidR="005305B4">
        <w:rPr>
          <w:lang w:eastAsia="en-AU"/>
        </w:rPr>
        <w:t>S</w:t>
      </w:r>
      <w:r w:rsidRPr="00A034A8">
        <w:rPr>
          <w:lang w:eastAsia="en-AU"/>
        </w:rPr>
        <w:t xml:space="preserve">ome </w:t>
      </w:r>
      <w:r w:rsidR="005305B4">
        <w:rPr>
          <w:lang w:eastAsia="en-AU"/>
        </w:rPr>
        <w:t>changes</w:t>
      </w:r>
      <w:r w:rsidRPr="00A034A8">
        <w:rPr>
          <w:lang w:eastAsia="en-AU"/>
        </w:rPr>
        <w:t xml:space="preserve"> are built on smaller workforce numbers, so should be read as early movement rather than transformation. Even so, growing</w:t>
      </w:r>
      <w:r w:rsidR="00125066">
        <w:rPr>
          <w:lang w:eastAsia="en-AU"/>
        </w:rPr>
        <w:t xml:space="preserve"> participation </w:t>
      </w:r>
      <w:r w:rsidRPr="00A034A8">
        <w:rPr>
          <w:lang w:eastAsia="en-AU"/>
        </w:rPr>
        <w:t>by</w:t>
      </w:r>
      <w:r w:rsidR="00125066">
        <w:rPr>
          <w:lang w:eastAsia="en-AU"/>
        </w:rPr>
        <w:t xml:space="preserve"> women in traditionally masculine roles</w:t>
      </w:r>
      <w:r w:rsidRPr="00A034A8">
        <w:rPr>
          <w:lang w:eastAsia="en-AU"/>
        </w:rPr>
        <w:t xml:space="preserve"> is an encouraging </w:t>
      </w:r>
      <w:r w:rsidR="001610F9">
        <w:rPr>
          <w:lang w:eastAsia="en-AU"/>
        </w:rPr>
        <w:t>result</w:t>
      </w:r>
      <w:r w:rsidR="00125066">
        <w:rPr>
          <w:lang w:eastAsia="en-AU"/>
        </w:rPr>
        <w:t>.</w:t>
      </w:r>
      <w:r w:rsidR="009D2C13" w:rsidRPr="00C27278">
        <w:rPr>
          <w:lang w:eastAsia="en-AU"/>
        </w:rPr>
        <w:t xml:space="preserve"> </w:t>
      </w:r>
    </w:p>
    <w:p w14:paraId="72251CC4" w14:textId="4148A379" w:rsidR="00075D60" w:rsidRDefault="001160C6" w:rsidP="000F6DB6">
      <w:pPr>
        <w:pStyle w:val="Heading4"/>
        <w:rPr>
          <w:lang w:eastAsia="en-AU"/>
        </w:rPr>
      </w:pPr>
      <w:r>
        <w:rPr>
          <w:lang w:eastAsia="en-AU"/>
        </w:rPr>
        <w:t>M</w:t>
      </w:r>
      <w:r w:rsidR="000F6DB6" w:rsidRPr="00C27278">
        <w:rPr>
          <w:lang w:eastAsia="en-AU"/>
        </w:rPr>
        <w:t>ore</w:t>
      </w:r>
      <w:r w:rsidR="000F6DB6">
        <w:rPr>
          <w:lang w:eastAsia="en-AU"/>
        </w:rPr>
        <w:t xml:space="preserve"> women work</w:t>
      </w:r>
      <w:r w:rsidR="00970710">
        <w:rPr>
          <w:lang w:eastAsia="en-AU"/>
        </w:rPr>
        <w:t>ed</w:t>
      </w:r>
      <w:r w:rsidR="000F6DB6">
        <w:rPr>
          <w:lang w:eastAsia="en-AU"/>
        </w:rPr>
        <w:t xml:space="preserve"> in transport</w:t>
      </w:r>
      <w:r w:rsidR="004F405C">
        <w:rPr>
          <w:lang w:eastAsia="en-AU"/>
        </w:rPr>
        <w:t>,</w:t>
      </w:r>
      <w:r>
        <w:rPr>
          <w:lang w:eastAsia="en-AU"/>
        </w:rPr>
        <w:t xml:space="preserve"> finance and insurance</w:t>
      </w:r>
      <w:r w:rsidR="00970710">
        <w:rPr>
          <w:lang w:eastAsia="en-AU"/>
        </w:rPr>
        <w:t xml:space="preserve"> </w:t>
      </w:r>
    </w:p>
    <w:p w14:paraId="751F82E8" w14:textId="5C255D01" w:rsidR="00716325" w:rsidRPr="001C1B49" w:rsidRDefault="00193D5A" w:rsidP="0078531C">
      <w:pPr>
        <w:pStyle w:val="BodyText"/>
      </w:pPr>
      <w:r w:rsidRPr="00193D5A">
        <w:t xml:space="preserve">Transport </w:t>
      </w:r>
      <w:r w:rsidR="00716325" w:rsidRPr="00716325">
        <w:t xml:space="preserve">shifted from </w:t>
      </w:r>
      <w:r w:rsidR="00FF5EDC">
        <w:t xml:space="preserve">a </w:t>
      </w:r>
      <w:r w:rsidR="00F43DBC">
        <w:t>‘</w:t>
      </w:r>
      <w:r w:rsidR="00716325" w:rsidRPr="00716325">
        <w:t>highly</w:t>
      </w:r>
      <w:r w:rsidR="00F43DBC">
        <w:t>’</w:t>
      </w:r>
      <w:r w:rsidR="00716325" w:rsidRPr="00716325">
        <w:t xml:space="preserve"> to </w:t>
      </w:r>
      <w:r w:rsidR="00F43DBC">
        <w:t>‘</w:t>
      </w:r>
      <w:r w:rsidR="00716325" w:rsidRPr="00716325">
        <w:t>moderately</w:t>
      </w:r>
      <w:r w:rsidR="00F43DBC">
        <w:t>’</w:t>
      </w:r>
      <w:r w:rsidRPr="00193D5A">
        <w:t xml:space="preserve"> men-concentrated</w:t>
      </w:r>
      <w:r w:rsidR="00C24190">
        <w:t xml:space="preserve"> industry</w:t>
      </w:r>
      <w:r w:rsidR="00C54168">
        <w:t xml:space="preserve">. This </w:t>
      </w:r>
      <w:r w:rsidR="005A1361">
        <w:t>represents</w:t>
      </w:r>
      <w:r w:rsidRPr="00193D5A">
        <w:t xml:space="preserve"> meaningful </w:t>
      </w:r>
      <w:r w:rsidR="005A1361">
        <w:t>progress</w:t>
      </w:r>
      <w:r w:rsidR="00716325" w:rsidRPr="00C27278">
        <w:t xml:space="preserve"> </w:t>
      </w:r>
      <w:r w:rsidR="004F581F">
        <w:t xml:space="preserve">in a </w:t>
      </w:r>
      <w:r w:rsidR="00675D57">
        <w:t xml:space="preserve">traditionally </w:t>
      </w:r>
      <w:r w:rsidR="00042B69">
        <w:t>men</w:t>
      </w:r>
      <w:r w:rsidR="0061785E">
        <w:t>-concentrated</w:t>
      </w:r>
      <w:r w:rsidR="004F581F">
        <w:t xml:space="preserve"> industry</w:t>
      </w:r>
      <w:r w:rsidRPr="00193D5A">
        <w:t xml:space="preserve"> and </w:t>
      </w:r>
      <w:r w:rsidR="005A1361">
        <w:t>is</w:t>
      </w:r>
      <w:r w:rsidRPr="00193D5A">
        <w:t xml:space="preserve"> consistent with the sector</w:t>
      </w:r>
      <w:r w:rsidR="002F55AB">
        <w:t>’</w:t>
      </w:r>
      <w:r w:rsidRPr="00193D5A">
        <w:t>s sustained</w:t>
      </w:r>
      <w:r w:rsidR="00142FFB">
        <w:t xml:space="preserve"> effort to </w:t>
      </w:r>
      <w:r w:rsidR="00A1632E">
        <w:t xml:space="preserve">support women into </w:t>
      </w:r>
      <w:r w:rsidRPr="00193D5A">
        <w:t xml:space="preserve">transport </w:t>
      </w:r>
      <w:r w:rsidR="00A1632E">
        <w:t xml:space="preserve">careers </w:t>
      </w:r>
      <w:r w:rsidRPr="00193D5A">
        <w:t>(see Ghalebeigi et al.). In finance and insurance, women</w:t>
      </w:r>
      <w:r w:rsidR="002F55AB">
        <w:t>’</w:t>
      </w:r>
      <w:r w:rsidRPr="00193D5A">
        <w:t xml:space="preserve">s </w:t>
      </w:r>
      <w:r w:rsidR="005A1361">
        <w:t>representation</w:t>
      </w:r>
      <w:r w:rsidRPr="00193D5A">
        <w:t xml:space="preserve"> rose by 3 percentage points</w:t>
      </w:r>
      <w:r w:rsidR="008C11D8">
        <w:t>.</w:t>
      </w:r>
      <w:r w:rsidRPr="00193D5A">
        <w:t xml:space="preserve"> </w:t>
      </w:r>
      <w:r w:rsidR="008C11D8">
        <w:t>W</w:t>
      </w:r>
      <w:r w:rsidRPr="00193D5A">
        <w:t xml:space="preserve">hile this part of the public sector is not highly men-concentrated, the broader </w:t>
      </w:r>
      <w:r w:rsidR="00311E83">
        <w:t xml:space="preserve">finance and insurance </w:t>
      </w:r>
      <w:r w:rsidRPr="00193D5A">
        <w:t xml:space="preserve">industry traditionally </w:t>
      </w:r>
      <w:r w:rsidR="00CA1E80" w:rsidRPr="00193D5A">
        <w:t xml:space="preserve">has </w:t>
      </w:r>
      <w:r w:rsidRPr="00193D5A">
        <w:t>been</w:t>
      </w:r>
      <w:r w:rsidR="005A1361">
        <w:t xml:space="preserve">. </w:t>
      </w:r>
      <w:r w:rsidR="00E62CF1" w:rsidRPr="00E62CF1">
        <w:t>Increased</w:t>
      </w:r>
      <w:r w:rsidRPr="00193D5A">
        <w:t xml:space="preserve"> representation of women </w:t>
      </w:r>
      <w:r w:rsidR="00E62CF1" w:rsidRPr="00E62CF1">
        <w:t>in this part of the public sector therefore represents positive progress towards greater gender balance</w:t>
      </w:r>
      <w:r w:rsidRPr="00193D5A">
        <w:t>.</w:t>
      </w:r>
    </w:p>
    <w:p w14:paraId="73B907F9" w14:textId="01539626" w:rsidR="004857B7" w:rsidRPr="004857B7" w:rsidRDefault="004857B7" w:rsidP="00325903">
      <w:pPr>
        <w:pStyle w:val="Heading4"/>
        <w:rPr>
          <w:b w:val="0"/>
          <w:bCs w:val="0"/>
        </w:rPr>
      </w:pPr>
      <w:r w:rsidRPr="004857B7">
        <w:t>Women</w:t>
      </w:r>
      <w:r w:rsidR="002F55AB">
        <w:t>’</w:t>
      </w:r>
      <w:r w:rsidRPr="004857B7">
        <w:t>s representation in management continued to grow</w:t>
      </w:r>
    </w:p>
    <w:p w14:paraId="2BF18BA6" w14:textId="360703CA" w:rsidR="00424703" w:rsidRPr="001A3300" w:rsidRDefault="004857B7" w:rsidP="0078531C">
      <w:pPr>
        <w:pStyle w:val="BodyText"/>
      </w:pPr>
      <w:r w:rsidRPr="004857B7">
        <w:t>Women</w:t>
      </w:r>
      <w:r w:rsidR="002F55AB">
        <w:t>’</w:t>
      </w:r>
      <w:r w:rsidRPr="004857B7">
        <w:t xml:space="preserve">s </w:t>
      </w:r>
      <w:r w:rsidR="00E62CF1">
        <w:t>representation in</w:t>
      </w:r>
      <w:r w:rsidRPr="004857B7">
        <w:t xml:space="preserve"> </w:t>
      </w:r>
      <w:r w:rsidR="00A16771">
        <w:t>management</w:t>
      </w:r>
      <w:r w:rsidRPr="004857B7" w:rsidDel="00BB57C2">
        <w:t xml:space="preserve"> </w:t>
      </w:r>
      <w:r w:rsidR="00BB57C2">
        <w:t>increased</w:t>
      </w:r>
      <w:r w:rsidRPr="004857B7">
        <w:t xml:space="preserve"> from 52.5% in 2021 to 55.9% in 2025 (up 3.4 percentage points). Given</w:t>
      </w:r>
      <w:r w:rsidR="00615550">
        <w:t xml:space="preserve"> </w:t>
      </w:r>
      <w:r w:rsidRPr="004857B7">
        <w:t>management</w:t>
      </w:r>
      <w:r w:rsidR="00582051">
        <w:t xml:space="preserve"> roles</w:t>
      </w:r>
      <w:r w:rsidR="00615550">
        <w:t xml:space="preserve"> are traditionally men-concentrated</w:t>
      </w:r>
      <w:r w:rsidRPr="004857B7">
        <w:t xml:space="preserve">, this </w:t>
      </w:r>
      <w:r w:rsidR="00E62CF1">
        <w:t>increase</w:t>
      </w:r>
      <w:r w:rsidRPr="004857B7">
        <w:t xml:space="preserve"> points to improving access to management for women</w:t>
      </w:r>
      <w:r w:rsidR="00C95B80">
        <w:t>.</w:t>
      </w:r>
      <w:r w:rsidRPr="004857B7">
        <w:t xml:space="preserve"> </w:t>
      </w:r>
      <w:r w:rsidR="00E26E07">
        <w:t xml:space="preserve">This </w:t>
      </w:r>
      <w:r w:rsidR="0005322D">
        <w:t>reduction</w:t>
      </w:r>
      <w:r w:rsidR="00E26E07">
        <w:t xml:space="preserve"> in </w:t>
      </w:r>
      <w:r w:rsidRPr="004857B7">
        <w:t xml:space="preserve">vertical </w:t>
      </w:r>
      <w:r w:rsidR="00C211EA">
        <w:t>gender</w:t>
      </w:r>
      <w:r w:rsidR="002814EB">
        <w:t>ed</w:t>
      </w:r>
      <w:r w:rsidR="00C211EA">
        <w:t xml:space="preserve"> segregation</w:t>
      </w:r>
      <w:r w:rsidRPr="004857B7">
        <w:t xml:space="preserve"> matters</w:t>
      </w:r>
      <w:r w:rsidR="0050702F">
        <w:t>, as p</w:t>
      </w:r>
      <w:r w:rsidR="00152868" w:rsidRPr="00152868">
        <w:t>rogress in who leads organisations is as important as progress in who works in particular occupations and industries.</w:t>
      </w:r>
      <w:r w:rsidR="0050702F">
        <w:t xml:space="preserve"> </w:t>
      </w:r>
      <w:r w:rsidR="00F04032">
        <w:t>Th</w:t>
      </w:r>
      <w:r w:rsidR="007F3FA4">
        <w:t>e</w:t>
      </w:r>
      <w:r w:rsidR="00F04032">
        <w:t xml:space="preserve"> shift in the </w:t>
      </w:r>
      <w:r w:rsidR="00B53D66">
        <w:t xml:space="preserve">gender composition of managers tipped this </w:t>
      </w:r>
      <w:r w:rsidR="00873ACD">
        <w:t>occupation</w:t>
      </w:r>
      <w:r w:rsidR="00B53D66">
        <w:t xml:space="preserve"> into the slightly women-concentrated </w:t>
      </w:r>
      <w:r w:rsidR="00873ACD">
        <w:t xml:space="preserve">category. This is because </w:t>
      </w:r>
      <w:r w:rsidR="007F3FA4">
        <w:t xml:space="preserve">more </w:t>
      </w:r>
      <w:r w:rsidR="00873ACD">
        <w:t xml:space="preserve">than 55% of employees in this group are women, </w:t>
      </w:r>
      <w:r w:rsidR="007F3FA4">
        <w:t xml:space="preserve">outside </w:t>
      </w:r>
      <w:r w:rsidR="00873ACD">
        <w:t xml:space="preserve">the 45:45:10 threshold. </w:t>
      </w:r>
      <w:r w:rsidR="00424703" w:rsidRPr="00424703">
        <w:t xml:space="preserve">Although managers are now classified as slightly women-concentrated, this reflects women reaching a share of management that is </w:t>
      </w:r>
      <w:r w:rsidR="00424703">
        <w:t xml:space="preserve">closer to </w:t>
      </w:r>
      <w:r w:rsidR="006C0BE7">
        <w:t>their representation in</w:t>
      </w:r>
      <w:r w:rsidR="00424703" w:rsidRPr="00424703">
        <w:t xml:space="preserve"> the public sector workforce, not an overconcentration of women in leadership.</w:t>
      </w:r>
    </w:p>
    <w:p w14:paraId="7246876F" w14:textId="206DCEE6" w:rsidR="00D57E01" w:rsidRDefault="00280AAC" w:rsidP="00D57E01">
      <w:pPr>
        <w:pStyle w:val="Heading3"/>
      </w:pPr>
      <w:r>
        <w:t>Areas for attention</w:t>
      </w:r>
    </w:p>
    <w:p w14:paraId="46D77DEF" w14:textId="014E3DD7" w:rsidR="00D57E01" w:rsidRDefault="00200852" w:rsidP="00A02905">
      <w:pPr>
        <w:pStyle w:val="Heading4"/>
      </w:pPr>
      <w:r>
        <w:t xml:space="preserve">Most occupations </w:t>
      </w:r>
      <w:r w:rsidR="00C10A83">
        <w:t>remain</w:t>
      </w:r>
      <w:r w:rsidR="00970710">
        <w:t>ed</w:t>
      </w:r>
      <w:r w:rsidR="00C10A83">
        <w:t xml:space="preserve"> gender concentrated</w:t>
      </w:r>
    </w:p>
    <w:p w14:paraId="67666D10" w14:textId="64146535" w:rsidR="0070203A" w:rsidRPr="0070203A" w:rsidRDefault="0070203A" w:rsidP="0078531C">
      <w:pPr>
        <w:pStyle w:val="BodyText"/>
      </w:pPr>
      <w:r w:rsidRPr="0070203A">
        <w:t xml:space="preserve">Despite </w:t>
      </w:r>
      <w:r w:rsidR="00BC23F9" w:rsidRPr="00BC23F9">
        <w:t>encouraging</w:t>
      </w:r>
      <w:r w:rsidR="00BC23F9">
        <w:t xml:space="preserve"> </w:t>
      </w:r>
      <w:r w:rsidRPr="0070203A">
        <w:t xml:space="preserve">movement in </w:t>
      </w:r>
      <w:r w:rsidR="0068222C">
        <w:t>some</w:t>
      </w:r>
      <w:r w:rsidRPr="0070203A">
        <w:t xml:space="preserve"> men-concentrated occupations, </w:t>
      </w:r>
      <w:r w:rsidR="00623854" w:rsidRPr="00623854">
        <w:t>gendered segregation remain</w:t>
      </w:r>
      <w:r w:rsidR="00623854">
        <w:t>s</w:t>
      </w:r>
      <w:r w:rsidR="00623854" w:rsidRPr="00623854">
        <w:t xml:space="preserve"> entrenched across the Victorian public sector</w:t>
      </w:r>
      <w:r w:rsidR="00623854">
        <w:t>. In 2025,</w:t>
      </w:r>
      <w:r w:rsidRPr="0070203A">
        <w:t xml:space="preserve"> 7 of 8 occupations were gender-concentrated (5 women-concentrated, 2 men-concentrated)</w:t>
      </w:r>
      <w:r w:rsidR="000A5ACE">
        <w:t>.</w:t>
      </w:r>
      <w:r w:rsidRPr="0070203A">
        <w:t xml:space="preserve"> </w:t>
      </w:r>
      <w:r w:rsidR="000A5ACE">
        <w:t xml:space="preserve">Six </w:t>
      </w:r>
      <w:r w:rsidR="00D03162">
        <w:t>occupational groups remained in the same</w:t>
      </w:r>
      <w:r w:rsidRPr="0070203A">
        <w:t xml:space="preserve"> category </w:t>
      </w:r>
      <w:r w:rsidR="00617B38">
        <w:t>as in</w:t>
      </w:r>
      <w:r w:rsidR="00617B38" w:rsidRPr="0070203A">
        <w:t xml:space="preserve"> </w:t>
      </w:r>
      <w:r w:rsidRPr="0070203A">
        <w:t>2021.</w:t>
      </w:r>
    </w:p>
    <w:p w14:paraId="5F72E1B7" w14:textId="2FA717BC" w:rsidR="0070203A" w:rsidRPr="0070203A" w:rsidRDefault="007C1944" w:rsidP="0078531C">
      <w:pPr>
        <w:pStyle w:val="BodyText"/>
      </w:pPr>
      <w:r w:rsidRPr="007C1944">
        <w:t>At first glance, the distribution of occupational groups appears to have become more gender segregated.</w:t>
      </w:r>
      <w:r>
        <w:t xml:space="preserve"> </w:t>
      </w:r>
      <w:r w:rsidR="00F03EE0">
        <w:t>T</w:t>
      </w:r>
      <w:r w:rsidR="0070203A" w:rsidRPr="0070203A">
        <w:t xml:space="preserve">he share of occupations classified as </w:t>
      </w:r>
      <w:r w:rsidR="00F43DBC">
        <w:t>‘</w:t>
      </w:r>
      <w:r w:rsidR="0070203A" w:rsidRPr="0070203A">
        <w:t>balanced</w:t>
      </w:r>
      <w:r w:rsidR="00F43DBC">
        <w:t>’</w:t>
      </w:r>
      <w:r w:rsidR="0070203A" w:rsidRPr="0070203A">
        <w:t xml:space="preserve"> </w:t>
      </w:r>
      <w:r w:rsidR="00127B33">
        <w:t xml:space="preserve">fell </w:t>
      </w:r>
      <w:r w:rsidR="0070203A" w:rsidRPr="0070203A">
        <w:t xml:space="preserve">from 37.5% to 12.5% over the period, </w:t>
      </w:r>
      <w:r w:rsidR="00D552AB">
        <w:t>while</w:t>
      </w:r>
      <w:r w:rsidR="0070203A" w:rsidRPr="0070203A">
        <w:t xml:space="preserve"> the women-concentrated share </w:t>
      </w:r>
      <w:r w:rsidR="00705C44">
        <w:t>rose</w:t>
      </w:r>
      <w:r w:rsidR="0070203A" w:rsidRPr="0070203A">
        <w:t xml:space="preserve"> correspondingly. </w:t>
      </w:r>
      <w:r w:rsidR="002230BE">
        <w:t>H</w:t>
      </w:r>
      <w:r w:rsidR="0070203A" w:rsidRPr="0070203A">
        <w:t>owever,</w:t>
      </w:r>
      <w:r w:rsidR="00CE3F89">
        <w:t xml:space="preserve"> it is worth considering this shift in context.</w:t>
      </w:r>
      <w:r w:rsidR="0070203A" w:rsidRPr="0070203A">
        <w:t xml:space="preserve"> </w:t>
      </w:r>
      <w:r w:rsidR="00CE3F89">
        <w:t>T</w:t>
      </w:r>
      <w:r w:rsidR="0070203A" w:rsidRPr="0070203A">
        <w:t xml:space="preserve">he occupations that </w:t>
      </w:r>
      <w:r w:rsidR="00123B97">
        <w:t>changed category</w:t>
      </w:r>
      <w:r w:rsidR="0070203A" w:rsidRPr="0070203A">
        <w:t xml:space="preserve"> </w:t>
      </w:r>
      <w:r w:rsidR="00123B97">
        <w:t>(</w:t>
      </w:r>
      <w:r w:rsidR="0070203A" w:rsidRPr="0070203A">
        <w:t>managers and sales workers</w:t>
      </w:r>
      <w:r w:rsidR="00123B97">
        <w:t>)</w:t>
      </w:r>
      <w:r w:rsidR="0070203A" w:rsidRPr="0070203A">
        <w:t xml:space="preserve"> shifted from </w:t>
      </w:r>
      <w:r w:rsidR="00F43DBC">
        <w:t>‘</w:t>
      </w:r>
      <w:r w:rsidR="0070203A" w:rsidRPr="0070203A">
        <w:t>balanced</w:t>
      </w:r>
      <w:r w:rsidR="00F43DBC">
        <w:t>’</w:t>
      </w:r>
      <w:r w:rsidR="0070203A" w:rsidRPr="0070203A">
        <w:t xml:space="preserve"> into </w:t>
      </w:r>
      <w:r w:rsidR="00F43DBC">
        <w:t>‘</w:t>
      </w:r>
      <w:r w:rsidR="0070203A" w:rsidRPr="0070203A">
        <w:t>slightly women-concentrated</w:t>
      </w:r>
      <w:r w:rsidR="00F43DBC">
        <w:t>’</w:t>
      </w:r>
      <w:r w:rsidR="0070203A" w:rsidRPr="0070203A">
        <w:t xml:space="preserve"> as women</w:t>
      </w:r>
      <w:r w:rsidR="002F55AB">
        <w:t>’</w:t>
      </w:r>
      <w:r w:rsidR="0070203A" w:rsidRPr="0070203A">
        <w:t xml:space="preserve">s representation grew. In the case of managers, that movement is towards women gaining ground in a </w:t>
      </w:r>
      <w:r w:rsidR="0009109F">
        <w:t>traditionally</w:t>
      </w:r>
      <w:r w:rsidR="0009109F" w:rsidRPr="0070203A">
        <w:t xml:space="preserve"> </w:t>
      </w:r>
      <w:r w:rsidR="0070203A" w:rsidRPr="0070203A">
        <w:t>male-</w:t>
      </w:r>
      <w:r w:rsidR="0009109F">
        <w:t>concentrated</w:t>
      </w:r>
      <w:r w:rsidR="0070203A" w:rsidRPr="0070203A">
        <w:t>, higher-status occupation</w:t>
      </w:r>
      <w:r w:rsidR="00BE659C">
        <w:t>.</w:t>
      </w:r>
      <w:r w:rsidR="0070203A" w:rsidRPr="0070203A">
        <w:t xml:space="preserve"> </w:t>
      </w:r>
      <w:r w:rsidR="00BE659C">
        <w:t>This</w:t>
      </w:r>
      <w:r w:rsidR="0070203A" w:rsidRPr="0070203A">
        <w:t xml:space="preserve"> is a positive development</w:t>
      </w:r>
      <w:r w:rsidR="00BE659C">
        <w:t>,</w:t>
      </w:r>
      <w:r w:rsidR="0070203A" w:rsidRPr="0070203A">
        <w:t xml:space="preserve"> even though it registers as </w:t>
      </w:r>
      <w:r w:rsidR="00F43DBC">
        <w:t>‘</w:t>
      </w:r>
      <w:r w:rsidR="0070203A" w:rsidRPr="0070203A">
        <w:t>more segregation</w:t>
      </w:r>
      <w:r w:rsidR="00F43DBC">
        <w:t>’</w:t>
      </w:r>
      <w:r w:rsidR="00412853">
        <w:t>.</w:t>
      </w:r>
      <w:r w:rsidR="0070203A" w:rsidRPr="0070203A">
        <w:t xml:space="preserve"> </w:t>
      </w:r>
      <w:r w:rsidR="008E4A69">
        <w:t xml:space="preserve">Because </w:t>
      </w:r>
      <w:r w:rsidR="005F74D3">
        <w:t>s</w:t>
      </w:r>
      <w:r w:rsidR="0070203A" w:rsidRPr="0070203A">
        <w:t xml:space="preserve">ales workers </w:t>
      </w:r>
      <w:r w:rsidR="00C5375A">
        <w:t>form</w:t>
      </w:r>
      <w:r w:rsidR="0070203A" w:rsidRPr="0070203A">
        <w:t xml:space="preserve"> the smallest occupation </w:t>
      </w:r>
      <w:r w:rsidR="002A06B0">
        <w:t>group</w:t>
      </w:r>
      <w:r w:rsidR="0070203A" w:rsidRPr="0070203A">
        <w:t xml:space="preserve"> in the dataset (around 1,200 of close to </w:t>
      </w:r>
      <w:r w:rsidR="001E6FAB">
        <w:t>500</w:t>
      </w:r>
      <w:r w:rsidR="0070203A" w:rsidRPr="0070203A">
        <w:t>,000 sector employees)</w:t>
      </w:r>
      <w:r w:rsidR="00180E05">
        <w:t xml:space="preserve"> </w:t>
      </w:r>
      <w:r w:rsidR="00180E05" w:rsidRPr="00180E05">
        <w:t>relatively</w:t>
      </w:r>
      <w:r w:rsidR="00904C89">
        <w:t xml:space="preserve"> s</w:t>
      </w:r>
      <w:r w:rsidR="0070203A" w:rsidRPr="0070203A">
        <w:t xml:space="preserve">mall </w:t>
      </w:r>
      <w:r w:rsidR="00180E05" w:rsidRPr="00180E05">
        <w:t xml:space="preserve">workforce </w:t>
      </w:r>
      <w:r w:rsidR="0070203A" w:rsidRPr="0070203A">
        <w:t xml:space="preserve">changes can move it between </w:t>
      </w:r>
      <w:r w:rsidR="001B532B" w:rsidRPr="0070203A">
        <w:t>categories</w:t>
      </w:r>
      <w:r w:rsidR="00CF1A63" w:rsidRPr="00180E05">
        <w:t>,</w:t>
      </w:r>
      <w:r w:rsidR="0070203A" w:rsidRPr="0070203A">
        <w:t xml:space="preserve"> and it is prone to fluctuation</w:t>
      </w:r>
      <w:r w:rsidR="00904C89">
        <w:t xml:space="preserve"> between reporting years</w:t>
      </w:r>
      <w:r w:rsidR="0070203A" w:rsidRPr="0070203A">
        <w:t>.</w:t>
      </w:r>
    </w:p>
    <w:p w14:paraId="367643FD" w14:textId="0E9CEB90" w:rsidR="00254B5C" w:rsidRDefault="00CB149F" w:rsidP="0078531C">
      <w:pPr>
        <w:pStyle w:val="BodyText"/>
      </w:pPr>
      <w:r>
        <w:t>T</w:t>
      </w:r>
      <w:r w:rsidR="00F64916">
        <w:t xml:space="preserve">here have been small shifts in the </w:t>
      </w:r>
      <w:r w:rsidR="00BE0301">
        <w:t>distribution of occupations across categories</w:t>
      </w:r>
      <w:r>
        <w:t xml:space="preserve">. </w:t>
      </w:r>
      <w:r w:rsidR="00DF5A69">
        <w:t>I</w:t>
      </w:r>
      <w:r w:rsidR="00BE0301">
        <w:t>mportantly</w:t>
      </w:r>
      <w:r w:rsidR="00DF5A69">
        <w:t xml:space="preserve"> though</w:t>
      </w:r>
      <w:r w:rsidR="00BE0301">
        <w:t>,</w:t>
      </w:r>
      <w:r w:rsidR="0070203A" w:rsidRPr="0070203A">
        <w:t xml:space="preserve"> the sector has not become meaningfully more segregated in a way that disadvantages women</w:t>
      </w:r>
      <w:r w:rsidR="00BE0301">
        <w:t>.</w:t>
      </w:r>
      <w:r w:rsidR="0070203A" w:rsidRPr="0070203A">
        <w:t xml:space="preserve"> </w:t>
      </w:r>
      <w:r w:rsidR="00BE0301">
        <w:t>Bu</w:t>
      </w:r>
      <w:r w:rsidR="0070203A" w:rsidRPr="0070203A">
        <w:t xml:space="preserve">t nor has it moved towards balance. With only </w:t>
      </w:r>
      <w:r w:rsidR="00D16582">
        <w:t>8</w:t>
      </w:r>
      <w:r w:rsidR="0070203A" w:rsidRPr="0070203A">
        <w:t xml:space="preserve"> occupational categories, each shift moves the percentages substantially</w:t>
      </w:r>
      <w:r w:rsidR="00624182">
        <w:t>. This</w:t>
      </w:r>
      <w:r w:rsidR="0070203A" w:rsidRPr="0070203A">
        <w:t xml:space="preserve"> is why the occupation-level distribution should be read alongside the more granular industry and </w:t>
      </w:r>
      <w:r w:rsidR="00BE0301">
        <w:t>occupation</w:t>
      </w:r>
      <w:r w:rsidR="0070203A" w:rsidRPr="0070203A">
        <w:t xml:space="preserve"> data rather than on its own. </w:t>
      </w:r>
    </w:p>
    <w:p w14:paraId="554A20B1" w14:textId="4D43A0A2" w:rsidR="0070203A" w:rsidRPr="0070203A" w:rsidRDefault="00BE0301" w:rsidP="0078531C">
      <w:pPr>
        <w:pStyle w:val="BodyText"/>
      </w:pPr>
      <w:r>
        <w:t>While</w:t>
      </w:r>
      <w:r w:rsidR="0070203A" w:rsidRPr="0070203A">
        <w:t xml:space="preserve"> </w:t>
      </w:r>
      <w:r w:rsidR="00DF7CC6">
        <w:t>gendered</w:t>
      </w:r>
      <w:r w:rsidR="0070203A" w:rsidRPr="0070203A">
        <w:t xml:space="preserve"> segregation remains deeply entrenched, a small number of encouraging shifts are underway</w:t>
      </w:r>
      <w:r w:rsidR="00737FA1">
        <w:t xml:space="preserve">. </w:t>
      </w:r>
      <w:r w:rsidR="00367D19" w:rsidRPr="00367D19">
        <w:t>Achieving a more gender-balanced workforce will require sustained action across education, career pathways, workplaces, industries and government, extending well beyond the influence of any single employer.</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288"/>
      </w:tblGrid>
      <w:tr w:rsidR="00B21ED5" w14:paraId="34115D08" w14:textId="77777777" w:rsidTr="003004CD">
        <w:tc>
          <w:tcPr>
            <w:tcW w:w="9288" w:type="dxa"/>
            <w:tcBorders>
              <w:top w:val="nil"/>
              <w:left w:val="nil"/>
              <w:bottom w:val="nil"/>
              <w:right w:val="nil"/>
            </w:tcBorders>
            <w:shd w:val="clear" w:color="auto" w:fill="E3F3F9"/>
          </w:tcPr>
          <w:p w14:paraId="49882913" w14:textId="77777777" w:rsidR="00B21ED5" w:rsidRDefault="00B21ED5" w:rsidP="005F688D">
            <w:pPr>
              <w:pStyle w:val="Heading2"/>
            </w:pPr>
            <w:bookmarkStart w:id="61" w:name="_Toc237259552"/>
            <w:r>
              <w:t>Commissioner expectations</w:t>
            </w:r>
            <w:bookmarkEnd w:id="61"/>
          </w:p>
          <w:p w14:paraId="3A4DF53C" w14:textId="31D78BC7" w:rsidR="001C28B8" w:rsidRPr="001C28B8" w:rsidRDefault="001C28B8" w:rsidP="0078531C">
            <w:pPr>
              <w:pStyle w:val="BodyText"/>
            </w:pPr>
            <w:r w:rsidRPr="001C28B8">
              <w:t xml:space="preserve">The Commissioner expects </w:t>
            </w:r>
            <w:r w:rsidR="009A3AD4">
              <w:t>duty holders to make</w:t>
            </w:r>
            <w:r w:rsidRPr="001C28B8">
              <w:t xml:space="preserve"> sustained</w:t>
            </w:r>
            <w:r w:rsidR="009A3AD4">
              <w:t>, deliberate</w:t>
            </w:r>
            <w:r w:rsidRPr="001C28B8">
              <w:t xml:space="preserve"> effort</w:t>
            </w:r>
            <w:r w:rsidR="009A3AD4">
              <w:t>s to reduce</w:t>
            </w:r>
            <w:r w:rsidRPr="001C28B8">
              <w:t xml:space="preserve"> gendered segregation. </w:t>
            </w:r>
            <w:r w:rsidR="003951F7" w:rsidRPr="003951F7">
              <w:t>It is one of the most persistent forms of workplace gender inequality, shaped by social norms and stereotypes that develop over a lifetime. Progress will take time, but organisations are not powerless to influence it.</w:t>
            </w:r>
          </w:p>
          <w:p w14:paraId="5BC5D9D5" w14:textId="5E1D0843" w:rsidR="001C28B8" w:rsidRPr="001C28B8" w:rsidRDefault="001C28B8" w:rsidP="0078531C">
            <w:pPr>
              <w:pStyle w:val="BodyText"/>
            </w:pPr>
            <w:r w:rsidRPr="001C28B8">
              <w:t>Smaller duty holders should look for ways to act collectively at the industry level to recruit and retain underrepresented genders</w:t>
            </w:r>
            <w:r w:rsidR="00660F30">
              <w:t xml:space="preserve">. This </w:t>
            </w:r>
            <w:r w:rsidR="0081204D">
              <w:t>may</w:t>
            </w:r>
            <w:r w:rsidR="00660F30">
              <w:t xml:space="preserve"> involve</w:t>
            </w:r>
            <w:r w:rsidRPr="001C28B8">
              <w:t xml:space="preserve"> </w:t>
            </w:r>
            <w:r w:rsidR="0081204D">
              <w:t>working</w:t>
            </w:r>
            <w:r w:rsidRPr="001C28B8">
              <w:t xml:space="preserve"> with similar organisations or peak bodies</w:t>
            </w:r>
            <w:r w:rsidR="00660F30">
              <w:t>,</w:t>
            </w:r>
            <w:r w:rsidRPr="001C28B8">
              <w:t xml:space="preserve"> </w:t>
            </w:r>
            <w:r w:rsidR="0081204D">
              <w:t>schools</w:t>
            </w:r>
            <w:r w:rsidR="00536AE9">
              <w:t>,</w:t>
            </w:r>
            <w:r w:rsidRPr="001C28B8">
              <w:t xml:space="preserve"> TAFEs and other </w:t>
            </w:r>
            <w:r w:rsidR="00CF3FEA">
              <w:t xml:space="preserve">education </w:t>
            </w:r>
            <w:r w:rsidRPr="001C28B8">
              <w:t xml:space="preserve">providers to </w:t>
            </w:r>
            <w:r w:rsidR="00536AE9">
              <w:t>strengthen</w:t>
            </w:r>
            <w:r w:rsidRPr="001C28B8">
              <w:t xml:space="preserve"> talent </w:t>
            </w:r>
            <w:r w:rsidR="00082727">
              <w:t xml:space="preserve">pipelines and encourage </w:t>
            </w:r>
            <w:r w:rsidR="003304CA">
              <w:t>people into non-traditional careers from an</w:t>
            </w:r>
            <w:r w:rsidRPr="001C28B8">
              <w:t xml:space="preserve"> early</w:t>
            </w:r>
            <w:r w:rsidR="003304CA">
              <w:t xml:space="preserve"> stage.</w:t>
            </w:r>
            <w:r w:rsidRPr="001C28B8">
              <w:t xml:space="preserve"> Larger organisations may </w:t>
            </w:r>
            <w:r w:rsidR="007A2DCB" w:rsidRPr="007A2DCB">
              <w:t>may be able to invest directly in targeted pathways, traineeships, mentoring, scholarships and networks that support more gender-balanced recruitment over time</w:t>
            </w:r>
            <w:r w:rsidRPr="001C28B8">
              <w:t>.</w:t>
            </w:r>
          </w:p>
          <w:p w14:paraId="5042B4D1" w14:textId="268E55FA" w:rsidR="001C28B8" w:rsidRPr="001C28B8" w:rsidRDefault="001C28B8" w:rsidP="0078531C">
            <w:pPr>
              <w:pStyle w:val="BodyText"/>
            </w:pPr>
            <w:r w:rsidRPr="001C28B8">
              <w:t xml:space="preserve">Within their own workforces, duty holders should focus on attracting and retaining underrepresented genders into specific </w:t>
            </w:r>
            <w:r w:rsidR="00CC3D0A">
              <w:t>occupations,</w:t>
            </w:r>
            <w:r w:rsidRPr="001C28B8">
              <w:t xml:space="preserve"> roles</w:t>
            </w:r>
            <w:r w:rsidR="00CC3D0A">
              <w:t>,</w:t>
            </w:r>
            <w:r w:rsidRPr="001C28B8">
              <w:t xml:space="preserve"> and areas</w:t>
            </w:r>
            <w:r w:rsidR="00FE496D">
              <w:t>. This</w:t>
            </w:r>
            <w:r w:rsidRPr="001C28B8">
              <w:t xml:space="preserve"> includ</w:t>
            </w:r>
            <w:r w:rsidR="00FE496D">
              <w:t>es</w:t>
            </w:r>
            <w:r w:rsidRPr="001C28B8">
              <w:t xml:space="preserve"> building internal pathways through upskilling</w:t>
            </w:r>
            <w:r w:rsidR="00DB4600">
              <w:t>,</w:t>
            </w:r>
            <w:r w:rsidRPr="001C28B8">
              <w:t xml:space="preserve"> job-</w:t>
            </w:r>
            <w:r w:rsidRPr="001C28B8" w:rsidDel="00A312C4">
              <w:t>shadowing</w:t>
            </w:r>
            <w:r w:rsidR="00A312C4" w:rsidRPr="001C28B8">
              <w:t xml:space="preserve"> and</w:t>
            </w:r>
            <w:r w:rsidRPr="001C28B8">
              <w:t xml:space="preserve"> </w:t>
            </w:r>
            <w:r w:rsidR="00DB4600">
              <w:t>development opportunities</w:t>
            </w:r>
            <w:r w:rsidR="00465DD9">
              <w:t>,</w:t>
            </w:r>
            <w:r w:rsidR="00A312C4" w:rsidRPr="001C28B8">
              <w:t xml:space="preserve"> and</w:t>
            </w:r>
            <w:r w:rsidRPr="001C28B8">
              <w:t xml:space="preserve"> </w:t>
            </w:r>
            <w:r w:rsidR="00465DD9">
              <w:t>critically reviewing role</w:t>
            </w:r>
            <w:r w:rsidR="00465DD9" w:rsidRPr="001C28B8">
              <w:t xml:space="preserve"> </w:t>
            </w:r>
            <w:r w:rsidRPr="001C28B8">
              <w:t xml:space="preserve">requirements that act as </w:t>
            </w:r>
            <w:r w:rsidR="00DB4203">
              <w:t xml:space="preserve">unnecessary </w:t>
            </w:r>
            <w:r w:rsidRPr="001C28B8">
              <w:t xml:space="preserve">barriers </w:t>
            </w:r>
            <w:r w:rsidR="00DB4203">
              <w:t>for</w:t>
            </w:r>
            <w:r w:rsidR="00DB4203" w:rsidRPr="001C28B8">
              <w:t xml:space="preserve"> </w:t>
            </w:r>
            <w:r w:rsidR="00DB4203">
              <w:t>a particular</w:t>
            </w:r>
            <w:r w:rsidRPr="001C28B8">
              <w:t xml:space="preserve"> gender</w:t>
            </w:r>
            <w:r w:rsidR="00FE496D">
              <w:t>.</w:t>
            </w:r>
            <w:r w:rsidRPr="001C28B8">
              <w:t xml:space="preserve"> </w:t>
            </w:r>
            <w:r w:rsidR="003F2B6D" w:rsidRPr="003F2B6D">
              <w:t>Organisations should also consider</w:t>
            </w:r>
            <w:r w:rsidRPr="001C28B8">
              <w:t xml:space="preserve"> where skills can be </w:t>
            </w:r>
            <w:r w:rsidR="003F2B6D" w:rsidRPr="003F2B6D">
              <w:t>developed</w:t>
            </w:r>
            <w:r w:rsidRPr="001C28B8">
              <w:t xml:space="preserve"> on the job or through </w:t>
            </w:r>
            <w:r w:rsidR="003F2B6D" w:rsidRPr="003F2B6D">
              <w:t>traineeships rather than requiring prior experience.</w:t>
            </w:r>
            <w:r w:rsidRPr="001C28B8">
              <w:t xml:space="preserve"> Gendered imagery and language are not the whole story, but they are powerful signals of who belongs in a role or industry</w:t>
            </w:r>
            <w:r w:rsidR="0017053D">
              <w:t>. R</w:t>
            </w:r>
            <w:r w:rsidRPr="001C28B8">
              <w:t>ecruitment campaigns and internal and public communications should show people of different genders across the full range of roles.</w:t>
            </w:r>
          </w:p>
          <w:p w14:paraId="79B87299" w14:textId="6C14276B" w:rsidR="00B21ED5" w:rsidRDefault="003F2B6D" w:rsidP="0078531C">
            <w:pPr>
              <w:pStyle w:val="BodyText"/>
            </w:pPr>
            <w:r>
              <w:t>Many of the</w:t>
            </w:r>
            <w:r w:rsidR="001C28B8" w:rsidRPr="001C28B8">
              <w:t xml:space="preserve"> strongest levers on </w:t>
            </w:r>
            <w:r w:rsidR="00DF7CC6">
              <w:t>gendered</w:t>
            </w:r>
            <w:r w:rsidR="001C28B8" w:rsidRPr="001C28B8">
              <w:t xml:space="preserve"> segregation </w:t>
            </w:r>
            <w:r>
              <w:t>lie</w:t>
            </w:r>
            <w:r w:rsidR="001C28B8" w:rsidRPr="001C28B8">
              <w:t xml:space="preserve"> beyond </w:t>
            </w:r>
            <w:r>
              <w:t>the control of</w:t>
            </w:r>
            <w:r w:rsidR="001C28B8" w:rsidRPr="001C28B8">
              <w:t xml:space="preserve"> </w:t>
            </w:r>
            <w:r w:rsidR="00BC66A7" w:rsidRPr="00BC66A7">
              <w:t>any single employer</w:t>
            </w:r>
            <w:r w:rsidR="00BC66A7">
              <w:t xml:space="preserve"> </w:t>
            </w:r>
            <w:r w:rsidR="003B1AA5">
              <w:t>–</w:t>
            </w:r>
            <w:r w:rsidR="00BC66A7" w:rsidRPr="00BC66A7">
              <w:t xml:space="preserve"> including</w:t>
            </w:r>
            <w:r w:rsidR="001C28B8" w:rsidRPr="001C28B8">
              <w:t xml:space="preserve"> the education system</w:t>
            </w:r>
            <w:r w:rsidR="00BC66A7" w:rsidRPr="00BC66A7">
              <w:t xml:space="preserve">, occupational pipelines and </w:t>
            </w:r>
            <w:r w:rsidR="001C28B8" w:rsidRPr="001C28B8">
              <w:t>broader social norms</w:t>
            </w:r>
            <w:r w:rsidR="00AF0EF5">
              <w:t xml:space="preserve">. </w:t>
            </w:r>
            <w:r w:rsidR="00BC66A7" w:rsidRPr="00BC66A7">
              <w:t>However, organisations still have significant influence over who they recruit, develop, promote and retain. The Commissioner therefore expects duty holders to use every lever available to them while working collaboratively with governments, education providers, industry bodies and other employers to achieve lasting change.</w:t>
            </w:r>
          </w:p>
        </w:tc>
      </w:tr>
    </w:tbl>
    <w:p w14:paraId="15A270DB" w14:textId="03D97F7E" w:rsidR="00253AF3" w:rsidRPr="00810E3E" w:rsidRDefault="00253AF3" w:rsidP="00810E3E">
      <w:pPr>
        <w:pStyle w:val="BodyText"/>
      </w:pPr>
      <w:r>
        <w:rPr>
          <w:lang w:eastAsia="en-AU"/>
        </w:rPr>
        <w:br w:type="page"/>
      </w:r>
    </w:p>
    <w:p w14:paraId="0F1F1FD8" w14:textId="01649FDE" w:rsidR="008D6969" w:rsidRPr="00036E70" w:rsidRDefault="008D6969" w:rsidP="008D6969">
      <w:pPr>
        <w:pStyle w:val="Heading1"/>
        <w:rPr>
          <w:lang w:eastAsia="en-AU"/>
        </w:rPr>
      </w:pPr>
      <w:bookmarkStart w:id="62" w:name="_Toc237259553"/>
      <w:r>
        <w:rPr>
          <w:lang w:eastAsia="en-AU"/>
        </w:rPr>
        <w:t xml:space="preserve">Appendix 1: Data and </w:t>
      </w:r>
      <w:r w:rsidR="00A16128">
        <w:rPr>
          <w:lang w:eastAsia="en-AU"/>
        </w:rPr>
        <w:t>m</w:t>
      </w:r>
      <w:r>
        <w:rPr>
          <w:lang w:eastAsia="en-AU"/>
        </w:rPr>
        <w:t>ethods</w:t>
      </w:r>
      <w:bookmarkEnd w:id="62"/>
    </w:p>
    <w:p w14:paraId="381552B3" w14:textId="77777777" w:rsidR="008D6969" w:rsidRPr="009C57F5" w:rsidRDefault="008D6969" w:rsidP="008D6969">
      <w:pPr>
        <w:pStyle w:val="Heading2"/>
      </w:pPr>
      <w:bookmarkStart w:id="63" w:name="_Toc237259554"/>
      <w:r w:rsidRPr="009C57F5">
        <w:t xml:space="preserve">About </w:t>
      </w:r>
      <w:r>
        <w:t>o</w:t>
      </w:r>
      <w:r w:rsidRPr="009C57F5">
        <w:t xml:space="preserve">ur </w:t>
      </w:r>
      <w:r>
        <w:t>d</w:t>
      </w:r>
      <w:r w:rsidRPr="009C57F5">
        <w:t>ata</w:t>
      </w:r>
      <w:bookmarkEnd w:id="63"/>
    </w:p>
    <w:p w14:paraId="25125D78" w14:textId="7413493F" w:rsidR="008D6969" w:rsidRDefault="008D6969" w:rsidP="0078531C">
      <w:pPr>
        <w:pStyle w:val="BodyText"/>
        <w:rPr>
          <w:lang w:eastAsia="en-AU"/>
        </w:rPr>
      </w:pPr>
      <w:r w:rsidRPr="00657260">
        <w:rPr>
          <w:lang w:eastAsia="en-AU"/>
        </w:rPr>
        <w:t>This report uses data from duty holders</w:t>
      </w:r>
      <w:r w:rsidR="008B33D4">
        <w:rPr>
          <w:lang w:eastAsia="en-AU"/>
        </w:rPr>
        <w:t>’</w:t>
      </w:r>
      <w:r w:rsidRPr="00657260">
        <w:rPr>
          <w:lang w:eastAsia="en-AU"/>
        </w:rPr>
        <w:t xml:space="preserve"> 2021</w:t>
      </w:r>
      <w:r>
        <w:rPr>
          <w:lang w:eastAsia="en-AU"/>
        </w:rPr>
        <w:t>,</w:t>
      </w:r>
      <w:r w:rsidRPr="00657260">
        <w:rPr>
          <w:lang w:eastAsia="en-AU"/>
        </w:rPr>
        <w:t xml:space="preserve"> 2023</w:t>
      </w:r>
      <w:r>
        <w:rPr>
          <w:lang w:eastAsia="en-AU"/>
        </w:rPr>
        <w:t xml:space="preserve"> and 2025</w:t>
      </w:r>
      <w:r w:rsidRPr="00657260">
        <w:rPr>
          <w:lang w:eastAsia="en-AU"/>
        </w:rPr>
        <w:t xml:space="preserve"> workplace gender audits</w:t>
      </w:r>
      <w:r w:rsidR="00C450E8">
        <w:rPr>
          <w:lang w:eastAsia="en-AU"/>
        </w:rPr>
        <w:t>.</w:t>
      </w:r>
      <w:r w:rsidRPr="00657260">
        <w:rPr>
          <w:lang w:eastAsia="en-AU"/>
        </w:rPr>
        <w:t xml:space="preserve"> </w:t>
      </w:r>
      <w:r w:rsidR="00C450E8">
        <w:rPr>
          <w:lang w:eastAsia="en-AU"/>
        </w:rPr>
        <w:t>U</w:t>
      </w:r>
      <w:r w:rsidRPr="00657260">
        <w:rPr>
          <w:lang w:eastAsia="en-AU"/>
        </w:rPr>
        <w:t>nder the</w:t>
      </w:r>
      <w:r w:rsidR="007E0A57">
        <w:rPr>
          <w:lang w:eastAsia="en-AU"/>
        </w:rPr>
        <w:t xml:space="preserve"> </w:t>
      </w:r>
      <w:r w:rsidRPr="00876356">
        <w:rPr>
          <w:lang w:eastAsia="en-AU"/>
        </w:rPr>
        <w:t>Gender Equality Act</w:t>
      </w:r>
      <w:r w:rsidR="00C450E8">
        <w:rPr>
          <w:lang w:eastAsia="en-AU"/>
        </w:rPr>
        <w:t>,</w:t>
      </w:r>
      <w:r w:rsidRPr="00657260">
        <w:rPr>
          <w:lang w:eastAsia="en-AU"/>
        </w:rPr>
        <w:t xml:space="preserve"> </w:t>
      </w:r>
      <w:r w:rsidR="00C450E8">
        <w:rPr>
          <w:lang w:eastAsia="en-AU"/>
        </w:rPr>
        <w:t>d</w:t>
      </w:r>
      <w:r w:rsidRPr="00657260">
        <w:rPr>
          <w:lang w:eastAsia="en-AU"/>
        </w:rPr>
        <w:t xml:space="preserve">uty holders must </w:t>
      </w:r>
      <w:r w:rsidR="008A02A4">
        <w:rPr>
          <w:lang w:eastAsia="en-AU"/>
        </w:rPr>
        <w:t>submit workplace gender au</w:t>
      </w:r>
      <w:r w:rsidR="00C450E8">
        <w:rPr>
          <w:lang w:eastAsia="en-AU"/>
        </w:rPr>
        <w:t>dits</w:t>
      </w:r>
      <w:r w:rsidRPr="00657260">
        <w:rPr>
          <w:lang w:eastAsia="en-AU"/>
        </w:rPr>
        <w:t xml:space="preserve"> to the Commissioner every </w:t>
      </w:r>
      <w:r w:rsidR="008B33D4">
        <w:rPr>
          <w:lang w:eastAsia="en-AU"/>
        </w:rPr>
        <w:t>2</w:t>
      </w:r>
      <w:r w:rsidRPr="00657260">
        <w:rPr>
          <w:lang w:eastAsia="en-AU"/>
        </w:rPr>
        <w:t xml:space="preserve"> years. This is part of </w:t>
      </w:r>
      <w:r>
        <w:rPr>
          <w:lang w:eastAsia="en-AU"/>
        </w:rPr>
        <w:t xml:space="preserve">their requirement </w:t>
      </w:r>
      <w:r w:rsidRPr="00657260">
        <w:rPr>
          <w:lang w:eastAsia="en-AU"/>
        </w:rPr>
        <w:t xml:space="preserve">to develop gender equality action plans and report on progress. </w:t>
      </w:r>
    </w:p>
    <w:p w14:paraId="4C988029" w14:textId="5678DF1B" w:rsidR="008D6969" w:rsidRPr="00611143" w:rsidRDefault="00C8270A" w:rsidP="0078531C">
      <w:pPr>
        <w:pStyle w:val="BodyText"/>
        <w:rPr>
          <w:lang w:eastAsia="en-AU"/>
        </w:rPr>
      </w:pPr>
      <w:r>
        <w:rPr>
          <w:lang w:eastAsia="en-AU"/>
        </w:rPr>
        <w:t xml:space="preserve">Duty holders submit </w:t>
      </w:r>
      <w:r w:rsidR="00D672F4">
        <w:rPr>
          <w:lang w:eastAsia="en-AU"/>
        </w:rPr>
        <w:t xml:space="preserve">audit data for </w:t>
      </w:r>
      <w:r w:rsidR="0051627A">
        <w:rPr>
          <w:lang w:eastAsia="en-AU"/>
        </w:rPr>
        <w:t>7 workplace gender equality indicators:</w:t>
      </w:r>
    </w:p>
    <w:p w14:paraId="11798E3F" w14:textId="4397FFA7" w:rsidR="008D6969" w:rsidRPr="00CF243F" w:rsidRDefault="008B33D4" w:rsidP="008D6969">
      <w:pPr>
        <w:pStyle w:val="Bullet1"/>
        <w:rPr>
          <w:lang w:eastAsia="en-AU"/>
        </w:rPr>
      </w:pPr>
      <w:r>
        <w:t>g</w:t>
      </w:r>
      <w:r w:rsidR="008D6969" w:rsidRPr="00DB7694">
        <w:t>ender composition at all levels of the workforce</w:t>
      </w:r>
    </w:p>
    <w:p w14:paraId="7F52C932" w14:textId="63CD1645" w:rsidR="008D6969" w:rsidRPr="00CF243F" w:rsidRDefault="008B33D4" w:rsidP="008D6969">
      <w:pPr>
        <w:pStyle w:val="Bullet1"/>
        <w:rPr>
          <w:lang w:eastAsia="en-AU"/>
        </w:rPr>
      </w:pPr>
      <w:r>
        <w:t>g</w:t>
      </w:r>
      <w:r w:rsidR="008D6969" w:rsidRPr="00DB7694">
        <w:t>ender composition of governing bodies</w:t>
      </w:r>
    </w:p>
    <w:p w14:paraId="25FD79DA" w14:textId="6D299115" w:rsidR="008D6969" w:rsidRPr="00CF243F" w:rsidRDefault="008B33D4" w:rsidP="008D6969">
      <w:pPr>
        <w:pStyle w:val="Bullet1"/>
        <w:rPr>
          <w:lang w:eastAsia="en-AU"/>
        </w:rPr>
      </w:pPr>
      <w:r>
        <w:t>g</w:t>
      </w:r>
      <w:r w:rsidR="008D6969" w:rsidRPr="00DB7694">
        <w:t>ender pay gap</w:t>
      </w:r>
    </w:p>
    <w:p w14:paraId="08386F40" w14:textId="4920AC0F" w:rsidR="008D6969" w:rsidRPr="00CF243F" w:rsidRDefault="00AD530D" w:rsidP="008D6969">
      <w:pPr>
        <w:pStyle w:val="Bullet1"/>
        <w:rPr>
          <w:lang w:eastAsia="en-AU"/>
        </w:rPr>
      </w:pPr>
      <w:r>
        <w:t>s</w:t>
      </w:r>
      <w:r w:rsidR="008D6969" w:rsidRPr="00DB7694">
        <w:t>exual harassment in the workplace</w:t>
      </w:r>
    </w:p>
    <w:p w14:paraId="78108F90" w14:textId="5020C50D" w:rsidR="008D6969" w:rsidRPr="00CF243F" w:rsidRDefault="00AD530D" w:rsidP="008D6969">
      <w:pPr>
        <w:pStyle w:val="Bullet1"/>
        <w:rPr>
          <w:lang w:eastAsia="en-AU"/>
        </w:rPr>
      </w:pPr>
      <w:r>
        <w:t>r</w:t>
      </w:r>
      <w:r w:rsidR="008D6969" w:rsidRPr="00DB7694">
        <w:t>ecruitment and promotion practices</w:t>
      </w:r>
    </w:p>
    <w:p w14:paraId="2E6072B0" w14:textId="29A3D1F4" w:rsidR="008D6969" w:rsidRPr="00CF243F" w:rsidRDefault="00AD530D" w:rsidP="008D6969">
      <w:pPr>
        <w:pStyle w:val="Bullet1"/>
        <w:rPr>
          <w:lang w:eastAsia="en-AU"/>
        </w:rPr>
      </w:pPr>
      <w:r>
        <w:t>l</w:t>
      </w:r>
      <w:r w:rsidR="008D6969" w:rsidRPr="004D44EC">
        <w:t>eave and flexibility</w:t>
      </w:r>
    </w:p>
    <w:p w14:paraId="451C88A7" w14:textId="15094471" w:rsidR="008D6969" w:rsidRPr="00CF243F" w:rsidRDefault="00AD530D" w:rsidP="008D6969">
      <w:pPr>
        <w:pStyle w:val="Bullet1"/>
        <w:rPr>
          <w:lang w:eastAsia="en-AU"/>
        </w:rPr>
      </w:pPr>
      <w:r>
        <w:t>g</w:t>
      </w:r>
      <w:r w:rsidR="008D6969" w:rsidRPr="004D44EC">
        <w:t>endered segregation within the workplace</w:t>
      </w:r>
      <w:r w:rsidR="00225422">
        <w:t>.</w:t>
      </w:r>
    </w:p>
    <w:p w14:paraId="4F6DBDD2" w14:textId="4FF3FCCA" w:rsidR="00175F7B" w:rsidRDefault="0051627A" w:rsidP="00225422">
      <w:pPr>
        <w:pStyle w:val="Bodyafterbullets"/>
        <w:rPr>
          <w:lang w:eastAsia="en-AU"/>
        </w:rPr>
      </w:pPr>
      <w:r>
        <w:rPr>
          <w:lang w:eastAsia="en-AU"/>
        </w:rPr>
        <w:t xml:space="preserve">Duty holders must </w:t>
      </w:r>
      <w:r w:rsidRPr="00611143">
        <w:rPr>
          <w:lang w:eastAsia="en-AU"/>
        </w:rPr>
        <w:t>collect gender-disaggregated data</w:t>
      </w:r>
      <w:r>
        <w:rPr>
          <w:lang w:eastAsia="en-AU"/>
        </w:rPr>
        <w:t>. This is</w:t>
      </w:r>
      <w:r w:rsidRPr="00611143">
        <w:rPr>
          <w:lang w:eastAsia="en-AU"/>
        </w:rPr>
        <w:t xml:space="preserve"> data that is broken down separately for women, men and gender diverse people</w:t>
      </w:r>
      <w:r>
        <w:rPr>
          <w:lang w:eastAsia="en-AU"/>
        </w:rPr>
        <w:t xml:space="preserve">. </w:t>
      </w:r>
      <w:r w:rsidR="008D6969" w:rsidRPr="00611143">
        <w:rPr>
          <w:lang w:eastAsia="en-AU"/>
        </w:rPr>
        <w:t xml:space="preserve">If available, </w:t>
      </w:r>
      <w:r w:rsidR="008D6969">
        <w:rPr>
          <w:lang w:eastAsia="en-AU"/>
        </w:rPr>
        <w:t>duty holders are also required to</w:t>
      </w:r>
      <w:r w:rsidR="008D6969" w:rsidRPr="00611143">
        <w:rPr>
          <w:lang w:eastAsia="en-AU"/>
        </w:rPr>
        <w:t xml:space="preserve"> report </w:t>
      </w:r>
      <w:r w:rsidR="008D6969">
        <w:rPr>
          <w:lang w:eastAsia="en-AU"/>
        </w:rPr>
        <w:t xml:space="preserve">demographic </w:t>
      </w:r>
      <w:r w:rsidR="008D6969" w:rsidRPr="00611143">
        <w:rPr>
          <w:lang w:eastAsia="en-AU"/>
        </w:rPr>
        <w:t>data about</w:t>
      </w:r>
      <w:r w:rsidR="00175F7B">
        <w:rPr>
          <w:lang w:eastAsia="en-AU"/>
        </w:rPr>
        <w:t>:</w:t>
      </w:r>
    </w:p>
    <w:p w14:paraId="1886B21A" w14:textId="662B7773" w:rsidR="00175F7B" w:rsidRDefault="008D6969" w:rsidP="00516B86">
      <w:pPr>
        <w:pStyle w:val="Bullet1"/>
        <w:rPr>
          <w:lang w:eastAsia="en-AU"/>
        </w:rPr>
      </w:pPr>
      <w:r w:rsidRPr="00611143">
        <w:rPr>
          <w:lang w:eastAsia="en-AU"/>
        </w:rPr>
        <w:t>Aboriginality</w:t>
      </w:r>
    </w:p>
    <w:p w14:paraId="6D6775DD" w14:textId="2EBD19A4" w:rsidR="00175F7B" w:rsidRDefault="008D6969" w:rsidP="00516B86">
      <w:pPr>
        <w:pStyle w:val="Bullet1"/>
        <w:rPr>
          <w:lang w:eastAsia="en-AU"/>
        </w:rPr>
      </w:pPr>
      <w:r w:rsidRPr="00611143">
        <w:rPr>
          <w:lang w:eastAsia="en-AU"/>
        </w:rPr>
        <w:t>age</w:t>
      </w:r>
    </w:p>
    <w:p w14:paraId="5B9CE583" w14:textId="467701CD" w:rsidR="00175F7B" w:rsidRDefault="008D6969" w:rsidP="00516B86">
      <w:pPr>
        <w:pStyle w:val="Bullet1"/>
        <w:rPr>
          <w:lang w:eastAsia="en-AU"/>
        </w:rPr>
      </w:pPr>
      <w:r w:rsidRPr="00611143">
        <w:rPr>
          <w:lang w:eastAsia="en-AU"/>
        </w:rPr>
        <w:t>disability</w:t>
      </w:r>
    </w:p>
    <w:p w14:paraId="2D54E28C" w14:textId="25F13E4C" w:rsidR="00175F7B" w:rsidRDefault="008D6969" w:rsidP="00516B86">
      <w:pPr>
        <w:pStyle w:val="Bullet1"/>
        <w:rPr>
          <w:lang w:eastAsia="en-AU"/>
        </w:rPr>
      </w:pPr>
      <w:r w:rsidRPr="00611143">
        <w:rPr>
          <w:lang w:eastAsia="en-AU"/>
        </w:rPr>
        <w:t>ethnicity</w:t>
      </w:r>
    </w:p>
    <w:p w14:paraId="7A5CFF4D" w14:textId="0605F051" w:rsidR="00175F7B" w:rsidRDefault="008D6969" w:rsidP="00516B86">
      <w:pPr>
        <w:pStyle w:val="Bullet1"/>
        <w:rPr>
          <w:lang w:eastAsia="en-AU"/>
        </w:rPr>
      </w:pPr>
      <w:r w:rsidRPr="00611143">
        <w:rPr>
          <w:lang w:eastAsia="en-AU"/>
        </w:rPr>
        <w:t>gender identity</w:t>
      </w:r>
    </w:p>
    <w:p w14:paraId="7E44F286" w14:textId="77777777" w:rsidR="00175F7B" w:rsidRDefault="008D6969" w:rsidP="00516B86">
      <w:pPr>
        <w:pStyle w:val="Bullet1"/>
        <w:rPr>
          <w:lang w:eastAsia="en-AU"/>
        </w:rPr>
      </w:pPr>
      <w:r w:rsidRPr="00611143">
        <w:rPr>
          <w:lang w:eastAsia="en-AU"/>
        </w:rPr>
        <w:t>race</w:t>
      </w:r>
    </w:p>
    <w:p w14:paraId="221198D1" w14:textId="16EACDBC" w:rsidR="00175F7B" w:rsidRDefault="008D6969" w:rsidP="00516B86">
      <w:pPr>
        <w:pStyle w:val="Bullet1"/>
        <w:rPr>
          <w:lang w:eastAsia="en-AU"/>
        </w:rPr>
      </w:pPr>
      <w:r w:rsidRPr="00611143">
        <w:rPr>
          <w:lang w:eastAsia="en-AU"/>
        </w:rPr>
        <w:t>religion</w:t>
      </w:r>
    </w:p>
    <w:p w14:paraId="0AEDA268" w14:textId="3D828B7A" w:rsidR="00175F7B" w:rsidRDefault="008D6969" w:rsidP="00516B86">
      <w:pPr>
        <w:pStyle w:val="Bullet1"/>
        <w:rPr>
          <w:lang w:eastAsia="en-AU"/>
        </w:rPr>
      </w:pPr>
      <w:r w:rsidRPr="00611143">
        <w:rPr>
          <w:lang w:eastAsia="en-AU"/>
        </w:rPr>
        <w:t>sexual orientation</w:t>
      </w:r>
      <w:r>
        <w:rPr>
          <w:lang w:eastAsia="en-AU"/>
        </w:rPr>
        <w:t xml:space="preserve">. </w:t>
      </w:r>
    </w:p>
    <w:p w14:paraId="72B349C7" w14:textId="4BA530B4" w:rsidR="008D6969" w:rsidRDefault="008D6969" w:rsidP="00225422">
      <w:pPr>
        <w:pStyle w:val="Bodyafterbullets"/>
        <w:rPr>
          <w:lang w:eastAsia="en-AU"/>
        </w:rPr>
      </w:pPr>
      <w:r>
        <w:rPr>
          <w:lang w:eastAsia="en-AU"/>
        </w:rPr>
        <w:t xml:space="preserve">Duty holders must analyse this demographic data and take steps to address any intersecting forms of </w:t>
      </w:r>
      <w:r w:rsidRPr="00611143">
        <w:rPr>
          <w:lang w:eastAsia="en-AU"/>
        </w:rPr>
        <w:t>disadvantage or discrimination that a person may experience</w:t>
      </w:r>
      <w:r>
        <w:rPr>
          <w:lang w:eastAsia="en-AU"/>
        </w:rPr>
        <w:t>. The Act conveys this requirement through the language of ‘compounded inequality</w:t>
      </w:r>
      <w:r w:rsidR="00613CB5">
        <w:rPr>
          <w:lang w:eastAsia="en-AU"/>
        </w:rPr>
        <w:t>.</w:t>
      </w:r>
      <w:r w:rsidR="00613CB5" w:rsidDel="002F55AB">
        <w:rPr>
          <w:lang w:eastAsia="en-AU"/>
        </w:rPr>
        <w:t>’</w:t>
      </w:r>
      <w:r>
        <w:rPr>
          <w:lang w:eastAsia="en-AU"/>
        </w:rPr>
        <w:t xml:space="preserve"> You can read more about how the Commission collects and analyses demographic data in the </w:t>
      </w:r>
      <w:hyperlink w:anchor="_Intersectionality" w:history="1">
        <w:r w:rsidRPr="00CF042C">
          <w:rPr>
            <w:rStyle w:val="Hyperlink"/>
            <w:rFonts w:cs="Times New Roman"/>
            <w:lang w:eastAsia="en-AU"/>
          </w:rPr>
          <w:t>Intersectionality</w:t>
        </w:r>
      </w:hyperlink>
      <w:r>
        <w:rPr>
          <w:lang w:eastAsia="en-AU"/>
        </w:rPr>
        <w:t xml:space="preserve"> section</w:t>
      </w:r>
      <w:r w:rsidR="00C76A91">
        <w:rPr>
          <w:lang w:eastAsia="en-AU"/>
        </w:rPr>
        <w:t xml:space="preserve"> </w:t>
      </w:r>
      <w:r w:rsidR="000F23DA">
        <w:rPr>
          <w:lang w:eastAsia="en-AU"/>
        </w:rPr>
        <w:t>below</w:t>
      </w:r>
      <w:r>
        <w:rPr>
          <w:lang w:eastAsia="en-AU"/>
        </w:rPr>
        <w:t xml:space="preserve">. </w:t>
      </w:r>
      <w:hyperlink r:id="rId54" w:history="1">
        <w:r w:rsidRPr="00841917">
          <w:rPr>
            <w:rStyle w:val="Hyperlink"/>
            <w:rFonts w:cs="Times New Roman"/>
            <w:lang w:eastAsia="en-AU"/>
          </w:rPr>
          <w:t xml:space="preserve">Intersectionality at </w:t>
        </w:r>
        <w:r w:rsidR="00284158">
          <w:rPr>
            <w:rStyle w:val="Hyperlink"/>
            <w:rFonts w:cs="Times New Roman"/>
            <w:lang w:eastAsia="en-AU"/>
          </w:rPr>
          <w:t>w</w:t>
        </w:r>
        <w:r w:rsidRPr="00841917">
          <w:rPr>
            <w:rStyle w:val="Hyperlink"/>
            <w:rFonts w:cs="Times New Roman"/>
            <w:lang w:eastAsia="en-AU"/>
          </w:rPr>
          <w:t>ork</w:t>
        </w:r>
      </w:hyperlink>
      <w:r>
        <w:rPr>
          <w:lang w:eastAsia="en-AU"/>
        </w:rPr>
        <w:t xml:space="preserve"> </w:t>
      </w:r>
      <w:r w:rsidR="003361A4">
        <w:rPr>
          <w:lang w:eastAsia="en-AU"/>
        </w:rPr>
        <w:t xml:space="preserve">(2023) </w:t>
      </w:r>
      <w:r>
        <w:rPr>
          <w:lang w:eastAsia="en-AU"/>
        </w:rPr>
        <w:t xml:space="preserve">also provides further advice about collecting and analysing demographic data with an intersectional lens. </w:t>
      </w:r>
    </w:p>
    <w:p w14:paraId="632252B3" w14:textId="77777777" w:rsidR="008D6969" w:rsidRDefault="008D6969" w:rsidP="008D6969">
      <w:pPr>
        <w:pStyle w:val="Heading2"/>
        <w:rPr>
          <w:lang w:eastAsia="en-AU"/>
        </w:rPr>
      </w:pPr>
      <w:bookmarkStart w:id="64" w:name="_Toc237259555"/>
      <w:r>
        <w:rPr>
          <w:lang w:eastAsia="en-AU"/>
        </w:rPr>
        <w:t>Data types</w:t>
      </w:r>
      <w:bookmarkEnd w:id="64"/>
    </w:p>
    <w:p w14:paraId="36CB7D29" w14:textId="4D4E4927" w:rsidR="008D6969" w:rsidRDefault="008D6969" w:rsidP="008D6969">
      <w:pPr>
        <w:pStyle w:val="Bodyafterbullets"/>
        <w:rPr>
          <w:lang w:eastAsia="en-AU"/>
        </w:rPr>
      </w:pPr>
      <w:r>
        <w:rPr>
          <w:lang w:eastAsia="en-AU"/>
        </w:rPr>
        <w:t xml:space="preserve">The Commission holds </w:t>
      </w:r>
      <w:r w:rsidR="000F23DA">
        <w:rPr>
          <w:lang w:eastAsia="en-AU"/>
        </w:rPr>
        <w:t>3</w:t>
      </w:r>
      <w:r>
        <w:rPr>
          <w:lang w:eastAsia="en-AU"/>
        </w:rPr>
        <w:t xml:space="preserve"> types of data, all of which have been used to create this report. </w:t>
      </w:r>
      <w:r w:rsidR="000F23DA">
        <w:rPr>
          <w:lang w:eastAsia="en-AU"/>
        </w:rPr>
        <w:t>These are aggregated workforce data, unit-level workforce data and u</w:t>
      </w:r>
      <w:r w:rsidR="000F23DA" w:rsidRPr="000F23DA">
        <w:rPr>
          <w:lang w:eastAsia="en-AU"/>
        </w:rPr>
        <w:t>nit-level employee experience data</w:t>
      </w:r>
      <w:r>
        <w:rPr>
          <w:lang w:eastAsia="en-AU"/>
        </w:rPr>
        <w:t>.</w:t>
      </w:r>
      <w:r w:rsidR="000F23DA">
        <w:rPr>
          <w:lang w:eastAsia="en-AU"/>
        </w:rPr>
        <w:t xml:space="preserve"> Each is described below.</w:t>
      </w:r>
      <w:r>
        <w:rPr>
          <w:lang w:eastAsia="en-AU"/>
        </w:rPr>
        <w:t xml:space="preserve"> </w:t>
      </w:r>
    </w:p>
    <w:p w14:paraId="378D6975" w14:textId="46C95A6C" w:rsidR="008D6969" w:rsidRDefault="008D6969" w:rsidP="008D6969">
      <w:pPr>
        <w:pStyle w:val="Heading3"/>
        <w:rPr>
          <w:lang w:eastAsia="en-AU"/>
        </w:rPr>
      </w:pPr>
      <w:r>
        <w:rPr>
          <w:lang w:eastAsia="en-AU"/>
        </w:rPr>
        <w:t>Aggregated workforce data</w:t>
      </w:r>
      <w:r w:rsidR="00DD39BE">
        <w:rPr>
          <w:lang w:eastAsia="en-AU"/>
        </w:rPr>
        <w:t xml:space="preserve"> </w:t>
      </w:r>
    </w:p>
    <w:p w14:paraId="471385FE" w14:textId="47793EAF" w:rsidR="008D6969" w:rsidRDefault="008D6969" w:rsidP="0078531C">
      <w:pPr>
        <w:pStyle w:val="BodyText"/>
        <w:rPr>
          <w:lang w:eastAsia="en-AU"/>
        </w:rPr>
      </w:pPr>
      <w:r>
        <w:rPr>
          <w:lang w:eastAsia="en-AU"/>
        </w:rPr>
        <w:t xml:space="preserve">Workforce data is collected from </w:t>
      </w:r>
      <w:r w:rsidRPr="002C0AFC">
        <w:rPr>
          <w:lang w:eastAsia="en-AU"/>
        </w:rPr>
        <w:t>organisations’ payroll and HR systems</w:t>
      </w:r>
      <w:r>
        <w:rPr>
          <w:lang w:eastAsia="en-AU"/>
        </w:rPr>
        <w:t xml:space="preserve">. </w:t>
      </w:r>
      <w:r w:rsidRPr="00B11602">
        <w:rPr>
          <w:lang w:eastAsia="en-AU"/>
        </w:rPr>
        <w:t>Aggregated</w:t>
      </w:r>
      <w:r>
        <w:rPr>
          <w:lang w:eastAsia="en-AU"/>
        </w:rPr>
        <w:t xml:space="preserve"> workforce data is data that </w:t>
      </w:r>
      <w:r w:rsidR="00582FC9">
        <w:rPr>
          <w:lang w:eastAsia="en-AU"/>
        </w:rPr>
        <w:t xml:space="preserve">the duty holder </w:t>
      </w:r>
      <w:r>
        <w:rPr>
          <w:lang w:eastAsia="en-AU"/>
        </w:rPr>
        <w:t xml:space="preserve">has grouped together </w:t>
      </w:r>
      <w:r w:rsidR="00582FC9">
        <w:rPr>
          <w:lang w:eastAsia="en-AU"/>
        </w:rPr>
        <w:t xml:space="preserve">before </w:t>
      </w:r>
      <w:r>
        <w:rPr>
          <w:lang w:eastAsia="en-AU"/>
        </w:rPr>
        <w:t>submitting. This data mainly consists of</w:t>
      </w:r>
      <w:r w:rsidRPr="002C0AFC">
        <w:rPr>
          <w:lang w:eastAsia="en-AU"/>
        </w:rPr>
        <w:t xml:space="preserve"> headcounts. </w:t>
      </w:r>
      <w:r>
        <w:rPr>
          <w:lang w:eastAsia="en-AU"/>
        </w:rPr>
        <w:t>For example, an organisation may have provided the total number of women working full time at the most junior level of the organisation. The Commission</w:t>
      </w:r>
      <w:r w:rsidRPr="002C0AFC">
        <w:rPr>
          <w:lang w:eastAsia="en-AU"/>
        </w:rPr>
        <w:t xml:space="preserve"> used this</w:t>
      </w:r>
      <w:r>
        <w:rPr>
          <w:lang w:eastAsia="en-AU"/>
        </w:rPr>
        <w:t xml:space="preserve"> type of data</w:t>
      </w:r>
      <w:r w:rsidRPr="002C0AFC">
        <w:rPr>
          <w:lang w:eastAsia="en-AU"/>
        </w:rPr>
        <w:t xml:space="preserve"> for the 2021 audit</w:t>
      </w:r>
      <w:r>
        <w:rPr>
          <w:lang w:eastAsia="en-AU"/>
        </w:rPr>
        <w:t xml:space="preserve">, where </w:t>
      </w:r>
      <w:r w:rsidRPr="002C0AFC">
        <w:rPr>
          <w:lang w:eastAsia="en-AU"/>
        </w:rPr>
        <w:t>177 organisations met quality standards.</w:t>
      </w:r>
      <w:r>
        <w:rPr>
          <w:lang w:eastAsia="en-AU"/>
        </w:rPr>
        <w:t xml:space="preserve"> </w:t>
      </w:r>
    </w:p>
    <w:p w14:paraId="53084EF8" w14:textId="327D5269" w:rsidR="008D6969" w:rsidRPr="002C0AFC" w:rsidRDefault="008D6969" w:rsidP="0078531C">
      <w:pPr>
        <w:pStyle w:val="BodyText"/>
        <w:rPr>
          <w:lang w:eastAsia="en-AU"/>
        </w:rPr>
      </w:pPr>
      <w:r>
        <w:rPr>
          <w:lang w:eastAsia="en-AU"/>
        </w:rPr>
        <w:t xml:space="preserve">You can read more about the aggregated workforce data used in 2021 in </w:t>
      </w:r>
      <w:hyperlink r:id="rId55" w:history="1">
        <w:r w:rsidR="009772D1">
          <w:rPr>
            <w:rStyle w:val="Hyperlink"/>
            <w:rFonts w:cs="Times New Roman"/>
            <w:lang w:eastAsia="en-AU"/>
          </w:rPr>
          <w:t>the</w:t>
        </w:r>
        <w:r w:rsidRPr="008C3C05">
          <w:rPr>
            <w:rStyle w:val="Hyperlink"/>
            <w:rFonts w:cs="Times New Roman"/>
            <w:lang w:eastAsia="en-AU"/>
          </w:rPr>
          <w:t xml:space="preserve"> Baseline report</w:t>
        </w:r>
      </w:hyperlink>
      <w:r w:rsidR="009772D1">
        <w:t xml:space="preserve"> (2021)</w:t>
      </w:r>
      <w:r>
        <w:rPr>
          <w:lang w:eastAsia="en-AU"/>
        </w:rPr>
        <w:t xml:space="preserve"> </w:t>
      </w:r>
    </w:p>
    <w:p w14:paraId="00CA56F1" w14:textId="6BE0D429" w:rsidR="008D6969" w:rsidRDefault="008D6969" w:rsidP="008D6969">
      <w:pPr>
        <w:pStyle w:val="Heading3"/>
        <w:rPr>
          <w:lang w:eastAsia="en-AU"/>
        </w:rPr>
      </w:pPr>
      <w:r w:rsidRPr="002C0AFC">
        <w:rPr>
          <w:lang w:eastAsia="en-AU"/>
        </w:rPr>
        <w:t>Unit-level workforce data</w:t>
      </w:r>
      <w:r w:rsidR="00DD39BE">
        <w:rPr>
          <w:lang w:eastAsia="en-AU"/>
        </w:rPr>
        <w:t xml:space="preserve"> </w:t>
      </w:r>
    </w:p>
    <w:p w14:paraId="6D75FCAB" w14:textId="1B3E43D3" w:rsidR="008D6969" w:rsidRPr="002C0AFC" w:rsidRDefault="008D6969" w:rsidP="0078531C">
      <w:pPr>
        <w:pStyle w:val="BodyText"/>
        <w:rPr>
          <w:lang w:eastAsia="en-AU"/>
        </w:rPr>
      </w:pPr>
      <w:r>
        <w:rPr>
          <w:lang w:eastAsia="en-AU"/>
        </w:rPr>
        <w:t xml:space="preserve">From 2023 onwards, </w:t>
      </w:r>
      <w:r w:rsidR="0021457A">
        <w:rPr>
          <w:lang w:eastAsia="en-AU"/>
        </w:rPr>
        <w:t xml:space="preserve">duty holders </w:t>
      </w:r>
      <w:r w:rsidR="00F84F1C">
        <w:rPr>
          <w:lang w:eastAsia="en-AU"/>
        </w:rPr>
        <w:t>submitted</w:t>
      </w:r>
      <w:r>
        <w:rPr>
          <w:lang w:eastAsia="en-AU"/>
        </w:rPr>
        <w:t xml:space="preserve"> de-identified</w:t>
      </w:r>
      <w:r w:rsidRPr="002C0AFC">
        <w:rPr>
          <w:lang w:eastAsia="en-AU"/>
        </w:rPr>
        <w:t xml:space="preserve"> individual employee data </w:t>
      </w:r>
      <w:r>
        <w:rPr>
          <w:lang w:eastAsia="en-AU"/>
        </w:rPr>
        <w:t xml:space="preserve">extracted from </w:t>
      </w:r>
      <w:r w:rsidRPr="002C0AFC">
        <w:rPr>
          <w:lang w:eastAsia="en-AU"/>
        </w:rPr>
        <w:t xml:space="preserve">payroll and HR systems. </w:t>
      </w:r>
      <w:r>
        <w:rPr>
          <w:lang w:eastAsia="en-AU"/>
        </w:rPr>
        <w:t xml:space="preserve">This data provides a range of information about each employee in an organisation, which makes it easier to calculate a variety of data measures. </w:t>
      </w:r>
      <w:r w:rsidR="00AA47CA">
        <w:rPr>
          <w:lang w:eastAsia="en-AU"/>
        </w:rPr>
        <w:t>I</w:t>
      </w:r>
      <w:r>
        <w:rPr>
          <w:lang w:eastAsia="en-AU"/>
        </w:rPr>
        <w:t>n</w:t>
      </w:r>
      <w:r w:rsidRPr="002C0AFC">
        <w:rPr>
          <w:lang w:eastAsia="en-AU"/>
        </w:rPr>
        <w:t xml:space="preserve"> the 2023 audit</w:t>
      </w:r>
      <w:r w:rsidR="00AA47CA">
        <w:rPr>
          <w:lang w:eastAsia="en-AU"/>
        </w:rPr>
        <w:t>,</w:t>
      </w:r>
      <w:r w:rsidRPr="002C0AFC">
        <w:rPr>
          <w:lang w:eastAsia="en-AU"/>
        </w:rPr>
        <w:t xml:space="preserve"> 257 organisations met quality standards</w:t>
      </w:r>
      <w:r w:rsidR="00AA47CA">
        <w:rPr>
          <w:lang w:eastAsia="en-AU"/>
        </w:rPr>
        <w:t>. I</w:t>
      </w:r>
      <w:r>
        <w:rPr>
          <w:lang w:eastAsia="en-AU"/>
        </w:rPr>
        <w:t>n the 2025 audit</w:t>
      </w:r>
      <w:r w:rsidR="00AA47CA">
        <w:rPr>
          <w:lang w:eastAsia="en-AU"/>
        </w:rPr>
        <w:t xml:space="preserve">, </w:t>
      </w:r>
      <w:r w:rsidR="00810215" w:rsidRPr="004D1A0B">
        <w:rPr>
          <w:lang w:eastAsia="en-AU"/>
        </w:rPr>
        <w:t>298</w:t>
      </w:r>
      <w:r w:rsidRPr="004D1A0B">
        <w:rPr>
          <w:lang w:eastAsia="en-AU"/>
        </w:rPr>
        <w:t xml:space="preserve"> organisations</w:t>
      </w:r>
      <w:r>
        <w:rPr>
          <w:lang w:eastAsia="en-AU"/>
        </w:rPr>
        <w:t xml:space="preserve"> met quality standards. </w:t>
      </w:r>
      <w:r w:rsidR="00C40B82">
        <w:rPr>
          <w:lang w:eastAsia="en-AU"/>
        </w:rPr>
        <w:t>The number of organisations whose data was used to calculate each individual measure</w:t>
      </w:r>
      <w:r w:rsidR="008505C2">
        <w:rPr>
          <w:lang w:eastAsia="en-AU"/>
        </w:rPr>
        <w:t xml:space="preserve"> in this report</w:t>
      </w:r>
      <w:r w:rsidR="00C40B82">
        <w:rPr>
          <w:lang w:eastAsia="en-AU"/>
        </w:rPr>
        <w:t xml:space="preserve"> varies. This is because an organisation may provide </w:t>
      </w:r>
      <w:r w:rsidR="00096A05">
        <w:rPr>
          <w:lang w:eastAsia="en-AU"/>
        </w:rPr>
        <w:t xml:space="preserve">data that meets quality standards for some measures, but not others. </w:t>
      </w:r>
      <w:r>
        <w:rPr>
          <w:lang w:eastAsia="en-AU"/>
        </w:rPr>
        <w:t>Submitting this kind of data was optional in 2021.</w:t>
      </w:r>
    </w:p>
    <w:p w14:paraId="626B10E6" w14:textId="32878622" w:rsidR="008D6969" w:rsidRDefault="008D6969" w:rsidP="008D6969">
      <w:pPr>
        <w:pStyle w:val="Heading3"/>
        <w:rPr>
          <w:lang w:eastAsia="en-AU"/>
        </w:rPr>
      </w:pPr>
      <w:r w:rsidRPr="002C0AFC">
        <w:rPr>
          <w:lang w:eastAsia="en-AU"/>
        </w:rPr>
        <w:t xml:space="preserve">Unit-level employee experience data </w:t>
      </w:r>
    </w:p>
    <w:p w14:paraId="407438C6" w14:textId="3BED0DE1" w:rsidR="008D6969" w:rsidRPr="008C035F" w:rsidRDefault="008D6969" w:rsidP="0078531C">
      <w:pPr>
        <w:pStyle w:val="BodyText"/>
        <w:rPr>
          <w:lang w:eastAsia="en-AU"/>
        </w:rPr>
      </w:pPr>
      <w:r>
        <w:rPr>
          <w:lang w:eastAsia="en-AU"/>
        </w:rPr>
        <w:t xml:space="preserve">This type of data is collected through surveys and is used across all reporting years. </w:t>
      </w:r>
      <w:r w:rsidR="003C2569" w:rsidRPr="00C27278">
        <w:rPr>
          <w:lang w:eastAsia="en-AU"/>
        </w:rPr>
        <w:t>D</w:t>
      </w:r>
      <w:r w:rsidRPr="00C27278">
        <w:rPr>
          <w:lang w:eastAsia="en-AU"/>
        </w:rPr>
        <w:t xml:space="preserve">uty holders have </w:t>
      </w:r>
      <w:r w:rsidR="00B15BC0">
        <w:rPr>
          <w:lang w:eastAsia="en-AU"/>
        </w:rPr>
        <w:t>3</w:t>
      </w:r>
      <w:r w:rsidRPr="00C27278">
        <w:rPr>
          <w:lang w:eastAsia="en-AU"/>
        </w:rPr>
        <w:t xml:space="preserve"> options</w:t>
      </w:r>
      <w:r w:rsidR="00B5499F" w:rsidRPr="00C27278">
        <w:rPr>
          <w:lang w:eastAsia="en-AU"/>
        </w:rPr>
        <w:t xml:space="preserve"> to </w:t>
      </w:r>
      <w:r w:rsidR="003C2569" w:rsidRPr="00C27278">
        <w:rPr>
          <w:lang w:eastAsia="en-AU"/>
        </w:rPr>
        <w:t>collect employee experience data</w:t>
      </w:r>
      <w:r w:rsidRPr="00C27278">
        <w:rPr>
          <w:lang w:eastAsia="en-AU"/>
        </w:rPr>
        <w:t>:</w:t>
      </w:r>
    </w:p>
    <w:p w14:paraId="45B2C903" w14:textId="3C138486" w:rsidR="008D6969" w:rsidRPr="008C035F" w:rsidRDefault="00D33D64" w:rsidP="00B15BC0">
      <w:pPr>
        <w:pStyle w:val="Bullet1"/>
        <w:rPr>
          <w:lang w:eastAsia="en-AU"/>
        </w:rPr>
      </w:pPr>
      <w:r>
        <w:rPr>
          <w:lang w:eastAsia="en-AU"/>
        </w:rPr>
        <w:t>u</w:t>
      </w:r>
      <w:r w:rsidR="008D6969" w:rsidRPr="00C27278">
        <w:rPr>
          <w:lang w:eastAsia="en-AU"/>
        </w:rPr>
        <w:t xml:space="preserve">ndertake the annual People matter survey or the shorter People matter survey for gender equality reporting (collectively referred to in this report as the People matter survey). The </w:t>
      </w:r>
      <w:r w:rsidR="00BF3D4D" w:rsidRPr="00C27278">
        <w:rPr>
          <w:lang w:eastAsia="en-AU"/>
        </w:rPr>
        <w:t>People matter survey</w:t>
      </w:r>
      <w:r w:rsidR="008D6969" w:rsidRPr="00C27278">
        <w:rPr>
          <w:lang w:eastAsia="en-AU"/>
        </w:rPr>
        <w:t xml:space="preserve"> is administered by the Victorian Public Sector Commission (VPSC)</w:t>
      </w:r>
    </w:p>
    <w:p w14:paraId="76D6640F" w14:textId="50C6756E" w:rsidR="008D6969" w:rsidRPr="008C035F" w:rsidRDefault="00D33D64" w:rsidP="00B15BC0">
      <w:pPr>
        <w:pStyle w:val="Bullet1"/>
        <w:rPr>
          <w:lang w:eastAsia="en-AU"/>
        </w:rPr>
      </w:pPr>
      <w:r>
        <w:rPr>
          <w:lang w:eastAsia="en-AU"/>
        </w:rPr>
        <w:t>u</w:t>
      </w:r>
      <w:r w:rsidR="008D6969" w:rsidRPr="00C27278">
        <w:rPr>
          <w:lang w:eastAsia="en-AU"/>
        </w:rPr>
        <w:t>se a third-party provider to independently administer the survey</w:t>
      </w:r>
    </w:p>
    <w:p w14:paraId="19C989D7" w14:textId="7D4BCAC7" w:rsidR="008D6969" w:rsidRDefault="00D33D64" w:rsidP="00B15BC0">
      <w:pPr>
        <w:pStyle w:val="Bullet1"/>
        <w:rPr>
          <w:lang w:eastAsia="en-AU"/>
        </w:rPr>
      </w:pPr>
      <w:r>
        <w:rPr>
          <w:lang w:eastAsia="en-AU"/>
        </w:rPr>
        <w:t>c</w:t>
      </w:r>
      <w:r w:rsidR="008D6969" w:rsidRPr="00C27278">
        <w:rPr>
          <w:lang w:eastAsia="en-AU"/>
        </w:rPr>
        <w:t>onduct the survey in-house.</w:t>
      </w:r>
    </w:p>
    <w:p w14:paraId="0EBCB557" w14:textId="4D25B853" w:rsidR="00BB6B1F" w:rsidRDefault="001812F4" w:rsidP="00D33D64">
      <w:pPr>
        <w:pStyle w:val="Bodyafterbullets"/>
      </w:pPr>
      <w:r>
        <w:t xml:space="preserve">In this report, only </w:t>
      </w:r>
      <w:r w:rsidR="005F2BD4">
        <w:t>People matter survey</w:t>
      </w:r>
      <w:r>
        <w:t xml:space="preserve"> data is used to calculate survey results.</w:t>
      </w:r>
      <w:r w:rsidRPr="00542DC5">
        <w:t xml:space="preserve"> </w:t>
      </w:r>
      <w:r>
        <w:t xml:space="preserve">This is because duty holders who do not use the </w:t>
      </w:r>
      <w:r w:rsidR="00351CAF" w:rsidRPr="00C27278">
        <w:rPr>
          <w:lang w:eastAsia="en-AU"/>
        </w:rPr>
        <w:t>People matter survey</w:t>
      </w:r>
      <w:r>
        <w:t xml:space="preserve"> do not submit raw data to the Commission, limiting the analysis that is possible</w:t>
      </w:r>
      <w:r w:rsidR="00F10204">
        <w:t>.</w:t>
      </w:r>
      <w:r w:rsidRPr="00542DC5">
        <w:t xml:space="preserve"> </w:t>
      </w:r>
      <w:r w:rsidR="008D6969" w:rsidRPr="00542DC5">
        <w:t xml:space="preserve">In every reporting year, around 90% of duty holders use </w:t>
      </w:r>
      <w:r w:rsidR="00D106AD">
        <w:t xml:space="preserve">the </w:t>
      </w:r>
      <w:r w:rsidR="00351CAF" w:rsidRPr="00C27278">
        <w:rPr>
          <w:lang w:eastAsia="en-AU"/>
        </w:rPr>
        <w:t>People matter survey</w:t>
      </w:r>
      <w:r w:rsidR="008D6969" w:rsidRPr="00542DC5">
        <w:t xml:space="preserve"> to </w:t>
      </w:r>
      <w:r w:rsidR="004F6489">
        <w:t>provide</w:t>
      </w:r>
      <w:r w:rsidR="008D6969" w:rsidRPr="00542DC5">
        <w:t xml:space="preserve"> employee experience data </w:t>
      </w:r>
      <w:r w:rsidR="004F6489">
        <w:t>for</w:t>
      </w:r>
      <w:r w:rsidR="008D6969" w:rsidRPr="00542DC5">
        <w:t xml:space="preserve"> their workplace gender audit.</w:t>
      </w:r>
      <w:r w:rsidR="008D6969">
        <w:t xml:space="preserve"> </w:t>
      </w:r>
      <w:r w:rsidR="00DD39C0">
        <w:t>This means</w:t>
      </w:r>
      <w:r w:rsidR="008D6969">
        <w:t xml:space="preserve"> </w:t>
      </w:r>
      <w:r w:rsidR="00351CAF" w:rsidRPr="00C27278">
        <w:rPr>
          <w:lang w:eastAsia="en-AU"/>
        </w:rPr>
        <w:t>People matter survey</w:t>
      </w:r>
      <w:r w:rsidR="008D6969">
        <w:t xml:space="preserve"> results are broadly representative of the sector. </w:t>
      </w:r>
      <w:r w:rsidR="00351CAF" w:rsidRPr="00C27278">
        <w:rPr>
          <w:lang w:eastAsia="en-AU"/>
        </w:rPr>
        <w:t>People matter survey</w:t>
      </w:r>
      <w:r w:rsidR="008D6969">
        <w:t xml:space="preserve"> data in this report</w:t>
      </w:r>
      <w:r w:rsidR="008D6969" w:rsidRPr="00DE070B">
        <w:t xml:space="preserve"> </w:t>
      </w:r>
      <w:r w:rsidR="00F050A1">
        <w:t>uses</w:t>
      </w:r>
      <w:r w:rsidR="008D6969" w:rsidRPr="00DE070B">
        <w:t xml:space="preserve"> anonymous individual data from participating duty holder</w:t>
      </w:r>
      <w:r w:rsidR="007B0DA8">
        <w:t>s</w:t>
      </w:r>
      <w:r w:rsidR="00DE1C5B">
        <w:t>.</w:t>
      </w:r>
      <w:r w:rsidR="008D6969" w:rsidRPr="00DE070B">
        <w:t xml:space="preserve"> </w:t>
      </w:r>
      <w:r w:rsidR="006B3244">
        <w:t>This includes:</w:t>
      </w:r>
    </w:p>
    <w:p w14:paraId="1CD7D531" w14:textId="3AF84818" w:rsidR="00377DFB" w:rsidRDefault="008D6969" w:rsidP="002D332D">
      <w:pPr>
        <w:pStyle w:val="Bullet1"/>
      </w:pPr>
      <w:r w:rsidRPr="00DE070B">
        <w:t xml:space="preserve">2021 </w:t>
      </w:r>
      <w:r w:rsidR="007B0DA8">
        <w:t xml:space="preserve">data </w:t>
      </w:r>
      <w:r w:rsidR="00377DFB">
        <w:t xml:space="preserve">from </w:t>
      </w:r>
      <w:r w:rsidRPr="00DE070B">
        <w:t xml:space="preserve">106,069 people </w:t>
      </w:r>
      <w:r w:rsidR="006B3244">
        <w:t>across</w:t>
      </w:r>
      <w:r w:rsidRPr="00DE070B">
        <w:t xml:space="preserve"> 271 organisations</w:t>
      </w:r>
    </w:p>
    <w:p w14:paraId="17A61D13" w14:textId="7A12AF35" w:rsidR="00BA409F" w:rsidRDefault="008D6969" w:rsidP="002D332D">
      <w:pPr>
        <w:pStyle w:val="Bullet1"/>
      </w:pPr>
      <w:r w:rsidRPr="00DE070B">
        <w:t xml:space="preserve">2023 </w:t>
      </w:r>
      <w:r w:rsidR="00377DFB">
        <w:t xml:space="preserve">data from </w:t>
      </w:r>
      <w:r w:rsidRPr="00DE070B">
        <w:t xml:space="preserve">131,852 people </w:t>
      </w:r>
      <w:r w:rsidR="006B3244">
        <w:t>across</w:t>
      </w:r>
      <w:r w:rsidRPr="00DE070B">
        <w:t xml:space="preserve"> 276 organisations</w:t>
      </w:r>
    </w:p>
    <w:p w14:paraId="63B9B048" w14:textId="59713183" w:rsidR="008D6969" w:rsidRDefault="008D6969" w:rsidP="002D332D">
      <w:pPr>
        <w:pStyle w:val="Bullet1"/>
      </w:pPr>
      <w:r w:rsidRPr="00DE070B">
        <w:t xml:space="preserve">2025 </w:t>
      </w:r>
      <w:r w:rsidR="00BA409F">
        <w:t xml:space="preserve">data from </w:t>
      </w:r>
      <w:r w:rsidR="00EF0BB9" w:rsidRPr="005F688D">
        <w:t>114,396</w:t>
      </w:r>
      <w:r w:rsidRPr="005F688D">
        <w:t xml:space="preserve"> people </w:t>
      </w:r>
      <w:r w:rsidR="006B3244">
        <w:t>across</w:t>
      </w:r>
      <w:r w:rsidRPr="005F688D">
        <w:t xml:space="preserve"> </w:t>
      </w:r>
      <w:r w:rsidR="000E1DCC" w:rsidRPr="005F688D">
        <w:t>281</w:t>
      </w:r>
      <w:r w:rsidRPr="005F688D">
        <w:t xml:space="preserve"> organisations</w:t>
      </w:r>
      <w:r w:rsidRPr="00DE070B">
        <w:t xml:space="preserve">. </w:t>
      </w:r>
    </w:p>
    <w:p w14:paraId="31970292" w14:textId="682109BD" w:rsidR="00764108" w:rsidRDefault="008D6969" w:rsidP="009E6196">
      <w:pPr>
        <w:pStyle w:val="Bodyafterbullets"/>
        <w:rPr>
          <w:lang w:eastAsia="en-AU"/>
        </w:rPr>
      </w:pPr>
      <w:r>
        <w:rPr>
          <w:lang w:eastAsia="en-AU"/>
        </w:rPr>
        <w:t xml:space="preserve">It is important to note </w:t>
      </w:r>
      <w:r w:rsidR="006B3244">
        <w:rPr>
          <w:lang w:eastAsia="en-AU"/>
        </w:rPr>
        <w:t>3</w:t>
      </w:r>
      <w:r>
        <w:rPr>
          <w:lang w:eastAsia="en-AU"/>
        </w:rPr>
        <w:t xml:space="preserve"> things in relation to the </w:t>
      </w:r>
      <w:r w:rsidR="00BF3D4D" w:rsidRPr="00C27278">
        <w:rPr>
          <w:lang w:eastAsia="en-AU"/>
        </w:rPr>
        <w:t>People matter survey</w:t>
      </w:r>
      <w:r>
        <w:rPr>
          <w:lang w:eastAsia="en-AU"/>
        </w:rPr>
        <w:t xml:space="preserve">. </w:t>
      </w:r>
    </w:p>
    <w:p w14:paraId="65AC9651" w14:textId="7EC4B1DF" w:rsidR="008D6969" w:rsidRDefault="008D6969" w:rsidP="0078531C">
      <w:pPr>
        <w:pStyle w:val="BodyText"/>
        <w:rPr>
          <w:lang w:eastAsia="en-AU"/>
        </w:rPr>
      </w:pPr>
      <w:r>
        <w:rPr>
          <w:lang w:eastAsia="en-AU"/>
        </w:rPr>
        <w:t xml:space="preserve">First, </w:t>
      </w:r>
      <w:r>
        <w:t>because so m</w:t>
      </w:r>
      <w:r w:rsidRPr="002C0AFC">
        <w:rPr>
          <w:lang w:eastAsia="en-AU"/>
        </w:rPr>
        <w:t>any public sector employees take the survey, small percentage changes can mean a large number of people have experienced a change</w:t>
      </w:r>
      <w:r>
        <w:rPr>
          <w:lang w:eastAsia="en-AU"/>
        </w:rPr>
        <w:t>.</w:t>
      </w:r>
    </w:p>
    <w:p w14:paraId="290F8B4D" w14:textId="3B21E05F" w:rsidR="008D6969" w:rsidRPr="00C27278" w:rsidRDefault="008D6969" w:rsidP="0078531C">
      <w:pPr>
        <w:pStyle w:val="BodyText"/>
        <w:rPr>
          <w:lang w:eastAsia="en-AU"/>
        </w:rPr>
      </w:pPr>
      <w:r>
        <w:rPr>
          <w:lang w:eastAsia="en-AU"/>
        </w:rPr>
        <w:t xml:space="preserve">Second, </w:t>
      </w:r>
      <w:r w:rsidR="00B55102">
        <w:rPr>
          <w:lang w:eastAsia="en-AU"/>
        </w:rPr>
        <w:t>VPSC</w:t>
      </w:r>
      <w:r>
        <w:rPr>
          <w:lang w:eastAsia="en-AU"/>
        </w:rPr>
        <w:t xml:space="preserve"> administers </w:t>
      </w:r>
      <w:r w:rsidR="00D106AD">
        <w:rPr>
          <w:lang w:eastAsia="en-AU"/>
        </w:rPr>
        <w:t xml:space="preserve">the </w:t>
      </w:r>
      <w:r w:rsidR="00BF3D4D" w:rsidRPr="00C27278">
        <w:rPr>
          <w:lang w:eastAsia="en-AU"/>
        </w:rPr>
        <w:t>People matter survey</w:t>
      </w:r>
      <w:r>
        <w:rPr>
          <w:lang w:eastAsia="en-AU"/>
        </w:rPr>
        <w:t xml:space="preserve">, not </w:t>
      </w:r>
      <w:r w:rsidR="00B55102">
        <w:rPr>
          <w:lang w:eastAsia="en-AU"/>
        </w:rPr>
        <w:t>the Commission</w:t>
      </w:r>
      <w:r>
        <w:rPr>
          <w:lang w:eastAsia="en-AU"/>
        </w:rPr>
        <w:t xml:space="preserve">. </w:t>
      </w:r>
      <w:r w:rsidR="004A73E9">
        <w:rPr>
          <w:lang w:eastAsia="en-AU"/>
        </w:rPr>
        <w:t xml:space="preserve">The Commission works with </w:t>
      </w:r>
      <w:r>
        <w:rPr>
          <w:lang w:eastAsia="en-AU"/>
        </w:rPr>
        <w:t xml:space="preserve">VPSC </w:t>
      </w:r>
      <w:r w:rsidR="00C17444">
        <w:rPr>
          <w:lang w:eastAsia="en-AU"/>
        </w:rPr>
        <w:t>to include</w:t>
      </w:r>
      <w:r>
        <w:rPr>
          <w:lang w:eastAsia="en-AU"/>
        </w:rPr>
        <w:t xml:space="preserve"> the questions required by the Commission</w:t>
      </w:r>
      <w:r w:rsidR="004A73E9">
        <w:rPr>
          <w:lang w:eastAsia="en-AU"/>
        </w:rPr>
        <w:t xml:space="preserve"> </w:t>
      </w:r>
      <w:r w:rsidR="007A6160">
        <w:rPr>
          <w:lang w:eastAsia="en-AU"/>
        </w:rPr>
        <w:t>for audits</w:t>
      </w:r>
      <w:r>
        <w:rPr>
          <w:lang w:eastAsia="en-AU"/>
        </w:rPr>
        <w:t xml:space="preserve">. </w:t>
      </w:r>
      <w:r w:rsidR="007A6160">
        <w:rPr>
          <w:lang w:eastAsia="en-AU"/>
        </w:rPr>
        <w:t>VPSC</w:t>
      </w:r>
      <w:r>
        <w:rPr>
          <w:lang w:eastAsia="en-AU"/>
        </w:rPr>
        <w:t xml:space="preserve"> then provides the Commission with raw data from each participating duty holder</w:t>
      </w:r>
      <w:r w:rsidR="007A6160">
        <w:rPr>
          <w:lang w:eastAsia="en-AU"/>
        </w:rPr>
        <w:t>.</w:t>
      </w:r>
      <w:r>
        <w:rPr>
          <w:lang w:eastAsia="en-AU"/>
        </w:rPr>
        <w:t xml:space="preserve"> This means that </w:t>
      </w:r>
      <w:r w:rsidR="004A73E9">
        <w:rPr>
          <w:lang w:eastAsia="en-AU"/>
        </w:rPr>
        <w:t>the Commission</w:t>
      </w:r>
      <w:r w:rsidR="002F55AB">
        <w:rPr>
          <w:lang w:eastAsia="en-AU"/>
        </w:rPr>
        <w:t>’</w:t>
      </w:r>
      <w:r w:rsidR="004A73E9">
        <w:rPr>
          <w:lang w:eastAsia="en-AU"/>
        </w:rPr>
        <w:t>s</w:t>
      </w:r>
      <w:r>
        <w:rPr>
          <w:lang w:eastAsia="en-AU"/>
        </w:rPr>
        <w:t xml:space="preserve"> </w:t>
      </w:r>
      <w:r w:rsidRPr="00C27278">
        <w:rPr>
          <w:lang w:eastAsia="en-AU"/>
        </w:rPr>
        <w:t xml:space="preserve">results database includes </w:t>
      </w:r>
      <w:r w:rsidR="00C921B7" w:rsidRPr="00C27278">
        <w:rPr>
          <w:lang w:eastAsia="en-AU"/>
        </w:rPr>
        <w:t>individual</w:t>
      </w:r>
      <w:r w:rsidRPr="00C27278">
        <w:rPr>
          <w:lang w:eastAsia="en-AU"/>
        </w:rPr>
        <w:t xml:space="preserve"> responses to the required </w:t>
      </w:r>
      <w:r w:rsidR="003B1BBA" w:rsidRPr="00C27278">
        <w:rPr>
          <w:lang w:eastAsia="en-AU"/>
        </w:rPr>
        <w:t xml:space="preserve">workplace gender audit questions. </w:t>
      </w:r>
      <w:r w:rsidR="000411BD" w:rsidRPr="00C27278">
        <w:rPr>
          <w:lang w:eastAsia="en-AU"/>
        </w:rPr>
        <w:t xml:space="preserve">For </w:t>
      </w:r>
      <w:r w:rsidR="00800CA5">
        <w:rPr>
          <w:lang w:eastAsia="en-AU"/>
        </w:rPr>
        <w:t>the</w:t>
      </w:r>
      <w:r w:rsidR="000411BD" w:rsidRPr="00C27278">
        <w:rPr>
          <w:lang w:eastAsia="en-AU"/>
        </w:rPr>
        <w:t xml:space="preserve"> </w:t>
      </w:r>
      <w:hyperlink r:id="rId56" w:history="1">
        <w:r w:rsidR="00FE3171" w:rsidRPr="00C27278">
          <w:rPr>
            <w:rStyle w:val="Hyperlink"/>
            <w:rFonts w:cs="Times New Roman"/>
            <w:lang w:eastAsia="en-AU"/>
          </w:rPr>
          <w:t>Baseline report</w:t>
        </w:r>
      </w:hyperlink>
      <w:r w:rsidR="00FE3171" w:rsidRPr="00C27278">
        <w:rPr>
          <w:lang w:eastAsia="en-AU"/>
        </w:rPr>
        <w:t xml:space="preserve"> (2021)</w:t>
      </w:r>
      <w:r w:rsidR="0028436B" w:rsidRPr="00C27278">
        <w:rPr>
          <w:lang w:eastAsia="en-AU"/>
        </w:rPr>
        <w:t xml:space="preserve">, the Commission did not have access to the raw data for all duty holders. </w:t>
      </w:r>
      <w:r w:rsidR="000411BD">
        <w:t>This is because</w:t>
      </w:r>
      <w:r w:rsidR="00823162">
        <w:t xml:space="preserve"> VPSC </w:t>
      </w:r>
      <w:r w:rsidR="000411BD">
        <w:t xml:space="preserve">initially </w:t>
      </w:r>
      <w:r w:rsidR="00823162">
        <w:t xml:space="preserve">reported the </w:t>
      </w:r>
      <w:r w:rsidR="00823162" w:rsidRPr="00C27278">
        <w:rPr>
          <w:lang w:eastAsia="en-AU"/>
        </w:rPr>
        <w:t xml:space="preserve">results to the Commission as a percentage of respondents. Items with fewer than 10 responses were suppressed by the survey provider to protect respondents’ privacy. In late 2022, the Commission received the unit level individual data. </w:t>
      </w:r>
      <w:r w:rsidR="00FA549F" w:rsidRPr="00C27278">
        <w:rPr>
          <w:lang w:eastAsia="en-AU"/>
        </w:rPr>
        <w:t xml:space="preserve">The Commission has used </w:t>
      </w:r>
      <w:r w:rsidR="00D43250" w:rsidRPr="00C27278">
        <w:rPr>
          <w:lang w:eastAsia="en-AU"/>
        </w:rPr>
        <w:t xml:space="preserve">this raw </w:t>
      </w:r>
      <w:r w:rsidR="00BF3D4D" w:rsidRPr="00C27278">
        <w:rPr>
          <w:lang w:eastAsia="en-AU"/>
        </w:rPr>
        <w:t>People matter survey</w:t>
      </w:r>
      <w:r w:rsidR="00D43250" w:rsidRPr="00C27278">
        <w:rPr>
          <w:lang w:eastAsia="en-AU"/>
        </w:rPr>
        <w:t xml:space="preserve"> data for analysis in all insights reporting since </w:t>
      </w:r>
      <w:r w:rsidR="00800CA5">
        <w:rPr>
          <w:lang w:eastAsia="en-AU"/>
        </w:rPr>
        <w:t xml:space="preserve">the </w:t>
      </w:r>
      <w:hyperlink r:id="rId57" w:history="1">
        <w:r w:rsidR="00D43250" w:rsidRPr="00C27278">
          <w:rPr>
            <w:rStyle w:val="Hyperlink"/>
            <w:rFonts w:cs="Times New Roman"/>
            <w:lang w:eastAsia="en-AU"/>
          </w:rPr>
          <w:t>Baseline report</w:t>
        </w:r>
      </w:hyperlink>
      <w:r w:rsidR="00D43250" w:rsidRPr="00C27278">
        <w:rPr>
          <w:lang w:eastAsia="en-AU"/>
        </w:rPr>
        <w:t xml:space="preserve">. Raw </w:t>
      </w:r>
      <w:r w:rsidR="00BF3D4D" w:rsidRPr="00C27278">
        <w:rPr>
          <w:lang w:eastAsia="en-AU"/>
        </w:rPr>
        <w:t>People matter survey</w:t>
      </w:r>
      <w:r w:rsidR="00D43250" w:rsidRPr="00C27278">
        <w:rPr>
          <w:lang w:eastAsia="en-AU"/>
        </w:rPr>
        <w:t xml:space="preserve"> data</w:t>
      </w:r>
      <w:r w:rsidRPr="00C27278">
        <w:rPr>
          <w:lang w:eastAsia="en-AU"/>
        </w:rPr>
        <w:t xml:space="preserve"> allows the Commission to calculate percentages for different groups across the whole dataset.</w:t>
      </w:r>
      <w:r w:rsidR="00CB2AEA" w:rsidRPr="00C27278">
        <w:rPr>
          <w:lang w:eastAsia="en-AU"/>
        </w:rPr>
        <w:t xml:space="preserve"> </w:t>
      </w:r>
    </w:p>
    <w:p w14:paraId="545FD5B3" w14:textId="2AFA7AF6" w:rsidR="008D6969" w:rsidRPr="008C035F" w:rsidRDefault="00DB4B0D" w:rsidP="0078531C">
      <w:pPr>
        <w:pStyle w:val="BodyText"/>
        <w:rPr>
          <w:lang w:eastAsia="en-AU"/>
        </w:rPr>
      </w:pPr>
      <w:r w:rsidRPr="00C27278">
        <w:rPr>
          <w:lang w:eastAsia="en-AU"/>
        </w:rPr>
        <w:t xml:space="preserve">Finally, </w:t>
      </w:r>
      <w:r w:rsidR="004C0ACA" w:rsidRPr="00C27278">
        <w:rPr>
          <w:lang w:eastAsia="en-AU"/>
        </w:rPr>
        <w:t>the Commission</w:t>
      </w:r>
      <w:r w:rsidR="002F55AB">
        <w:rPr>
          <w:lang w:eastAsia="en-AU"/>
        </w:rPr>
        <w:t>’</w:t>
      </w:r>
      <w:r w:rsidR="004C0ACA" w:rsidRPr="00C27278">
        <w:rPr>
          <w:lang w:eastAsia="en-AU"/>
        </w:rPr>
        <w:t>s</w:t>
      </w:r>
      <w:r w:rsidRPr="00C27278">
        <w:rPr>
          <w:lang w:eastAsia="en-AU"/>
        </w:rPr>
        <w:t xml:space="preserve"> </w:t>
      </w:r>
      <w:r w:rsidR="00BF3D4D" w:rsidRPr="00C27278">
        <w:rPr>
          <w:lang w:eastAsia="en-AU"/>
        </w:rPr>
        <w:t>People matter survey</w:t>
      </w:r>
      <w:r w:rsidR="008D6969" w:rsidRPr="00C27278">
        <w:rPr>
          <w:lang w:eastAsia="en-AU"/>
        </w:rPr>
        <w:t xml:space="preserve"> dataset is a different sample to that used by VPSC. VPSC</w:t>
      </w:r>
      <w:r w:rsidR="002F55AB">
        <w:rPr>
          <w:lang w:eastAsia="en-AU"/>
        </w:rPr>
        <w:t>’</w:t>
      </w:r>
      <w:r w:rsidR="008D6969" w:rsidRPr="00C27278">
        <w:rPr>
          <w:lang w:eastAsia="en-AU"/>
        </w:rPr>
        <w:t xml:space="preserve">s reporting of </w:t>
      </w:r>
      <w:r w:rsidR="00BF3D4D" w:rsidRPr="00C27278">
        <w:rPr>
          <w:lang w:eastAsia="en-AU"/>
        </w:rPr>
        <w:t>People matter survey</w:t>
      </w:r>
      <w:r w:rsidR="007B32B1" w:rsidRPr="00C27278">
        <w:rPr>
          <w:lang w:eastAsia="en-AU"/>
        </w:rPr>
        <w:t xml:space="preserve"> </w:t>
      </w:r>
      <w:r w:rsidR="008D6969" w:rsidRPr="00C27278">
        <w:rPr>
          <w:lang w:eastAsia="en-AU"/>
        </w:rPr>
        <w:t xml:space="preserve">results does not include local government organisations, universities or library corporations. It does, however, include public sector organisations </w:t>
      </w:r>
      <w:r w:rsidR="007B32B1" w:rsidRPr="00C27278">
        <w:rPr>
          <w:lang w:eastAsia="en-AU"/>
        </w:rPr>
        <w:t xml:space="preserve">with fewer than 50 employees </w:t>
      </w:r>
      <w:r w:rsidR="008D6969" w:rsidRPr="00C27278">
        <w:rPr>
          <w:lang w:eastAsia="en-AU"/>
        </w:rPr>
        <w:t xml:space="preserve">that </w:t>
      </w:r>
      <w:r w:rsidR="007B32B1" w:rsidRPr="00C27278">
        <w:rPr>
          <w:lang w:eastAsia="en-AU"/>
        </w:rPr>
        <w:t>are not</w:t>
      </w:r>
      <w:r w:rsidR="008D6969" w:rsidRPr="00C27278">
        <w:rPr>
          <w:lang w:eastAsia="en-AU"/>
        </w:rPr>
        <w:t xml:space="preserve"> duty holders under the Act. These differences can lead to discrepancies between analysis from VPSC and the Commission.</w:t>
      </w:r>
    </w:p>
    <w:p w14:paraId="7B960DDD" w14:textId="4C69F5FD" w:rsidR="008D6969" w:rsidRDefault="008D6969" w:rsidP="0078531C">
      <w:pPr>
        <w:pStyle w:val="BodyText"/>
      </w:pPr>
      <w:r w:rsidRPr="00C27278">
        <w:t>For more information on how the Commission uses</w:t>
      </w:r>
      <w:r w:rsidR="007B32B1" w:rsidRPr="00C27278">
        <w:t xml:space="preserve"> </w:t>
      </w:r>
      <w:r w:rsidR="008A3E0B" w:rsidRPr="00C27278">
        <w:t xml:space="preserve">the </w:t>
      </w:r>
      <w:r w:rsidR="00BF3D4D" w:rsidRPr="00C27278">
        <w:rPr>
          <w:lang w:eastAsia="en-AU"/>
        </w:rPr>
        <w:t>People matter survey</w:t>
      </w:r>
      <w:r w:rsidR="00F76340" w:rsidRPr="00C27278">
        <w:t xml:space="preserve"> </w:t>
      </w:r>
      <w:r w:rsidRPr="00C27278">
        <w:t>to produce data insights, see the methodology section of </w:t>
      </w:r>
      <w:hyperlink r:id="rId58" w:anchor="methodology" w:tgtFrame="_blank" w:tooltip="Intersectionality at Work" w:history="1">
        <w:r w:rsidRPr="00C27278">
          <w:rPr>
            <w:rStyle w:val="Hyperlink"/>
            <w:rFonts w:cs="Arial"/>
          </w:rPr>
          <w:t>Intersectionality at work</w:t>
        </w:r>
      </w:hyperlink>
      <w:r w:rsidR="002C0C9D" w:rsidRPr="00C27278">
        <w:t xml:space="preserve"> (202</w:t>
      </w:r>
      <w:r w:rsidR="00284158" w:rsidRPr="00C27278">
        <w:t>3</w:t>
      </w:r>
      <w:r w:rsidR="002C0C9D" w:rsidRPr="00C27278">
        <w:t xml:space="preserve">). </w:t>
      </w:r>
    </w:p>
    <w:p w14:paraId="61556912" w14:textId="77777777" w:rsidR="007337C0" w:rsidRDefault="007337C0" w:rsidP="005F688D">
      <w:pPr>
        <w:pStyle w:val="Heading2"/>
        <w:rPr>
          <w:lang w:eastAsia="en-AU"/>
        </w:rPr>
      </w:pPr>
      <w:bookmarkStart w:id="65" w:name="_Intersectionality"/>
      <w:bookmarkStart w:id="66" w:name="_Toc237259556"/>
      <w:bookmarkEnd w:id="65"/>
      <w:r>
        <w:rPr>
          <w:lang w:eastAsia="en-AU"/>
        </w:rPr>
        <w:t>Intersectionality</w:t>
      </w:r>
      <w:bookmarkEnd w:id="66"/>
      <w:r>
        <w:rPr>
          <w:lang w:eastAsia="en-AU"/>
        </w:rPr>
        <w:t xml:space="preserve"> </w:t>
      </w:r>
    </w:p>
    <w:p w14:paraId="24ACBB92" w14:textId="35BABAEC" w:rsidR="007337C0" w:rsidRDefault="007337C0" w:rsidP="0078531C">
      <w:pPr>
        <w:pStyle w:val="BodyText"/>
        <w:rPr>
          <w:lang w:eastAsia="en-AU"/>
        </w:rPr>
      </w:pPr>
      <w:r>
        <w:rPr>
          <w:lang w:eastAsia="en-AU"/>
        </w:rPr>
        <w:t xml:space="preserve">Intersectionality seeks to reveal </w:t>
      </w:r>
      <w:r w:rsidRPr="009C57F5">
        <w:rPr>
          <w:lang w:eastAsia="en-AU"/>
        </w:rPr>
        <w:t xml:space="preserve">how </w:t>
      </w:r>
      <w:r>
        <w:rPr>
          <w:lang w:eastAsia="en-AU"/>
        </w:rPr>
        <w:t xml:space="preserve">discriminatory systems such as sexism, racism, classism and ableism interact to produce new forms of inequality. The Commission focusses specifically on </w:t>
      </w:r>
      <w:r w:rsidRPr="00C82824">
        <w:rPr>
          <w:b/>
          <w:lang w:eastAsia="en-AU"/>
        </w:rPr>
        <w:t>intersectional gender inequality</w:t>
      </w:r>
      <w:r>
        <w:rPr>
          <w:lang w:eastAsia="en-AU"/>
        </w:rPr>
        <w:t>. This is where gender inequality intersects with other forms of inequality to produce unique forms of discrimination.</w:t>
      </w:r>
    </w:p>
    <w:p w14:paraId="11A49653" w14:textId="4C7F3EB0" w:rsidR="007337C0" w:rsidRDefault="007337C0" w:rsidP="0078531C">
      <w:pPr>
        <w:pStyle w:val="BodyText"/>
        <w:rPr>
          <w:lang w:eastAsia="en-AU"/>
        </w:rPr>
      </w:pPr>
      <w:r w:rsidRPr="0086221F">
        <w:rPr>
          <w:lang w:eastAsia="en-AU"/>
        </w:rPr>
        <w:t xml:space="preserve">The Act </w:t>
      </w:r>
      <w:r w:rsidR="00DF0A88">
        <w:rPr>
          <w:lang w:eastAsia="en-AU"/>
        </w:rPr>
        <w:t>requires</w:t>
      </w:r>
      <w:r w:rsidRPr="0086221F">
        <w:rPr>
          <w:lang w:eastAsia="en-AU"/>
        </w:rPr>
        <w:t xml:space="preserve"> that, where possible, </w:t>
      </w:r>
      <w:r>
        <w:rPr>
          <w:lang w:eastAsia="en-AU"/>
        </w:rPr>
        <w:t>duty holders</w:t>
      </w:r>
      <w:r w:rsidRPr="0086221F">
        <w:rPr>
          <w:lang w:eastAsia="en-AU"/>
        </w:rPr>
        <w:t xml:space="preserve"> should </w:t>
      </w:r>
      <w:r>
        <w:rPr>
          <w:lang w:eastAsia="en-AU"/>
        </w:rPr>
        <w:t>collect data about additional</w:t>
      </w:r>
      <w:r w:rsidRPr="0086221F">
        <w:rPr>
          <w:lang w:eastAsia="en-AU"/>
        </w:rPr>
        <w:t xml:space="preserve"> forms of disadvantage or discrimination that a person may experience based on</w:t>
      </w:r>
      <w:r>
        <w:rPr>
          <w:lang w:eastAsia="en-AU"/>
        </w:rPr>
        <w:t>:</w:t>
      </w:r>
    </w:p>
    <w:p w14:paraId="7227B029" w14:textId="77777777" w:rsidR="007337C0" w:rsidRDefault="007337C0" w:rsidP="007337C0">
      <w:pPr>
        <w:pStyle w:val="Bullet1"/>
        <w:rPr>
          <w:lang w:eastAsia="en-AU"/>
        </w:rPr>
      </w:pPr>
      <w:r w:rsidRPr="0086221F">
        <w:rPr>
          <w:lang w:eastAsia="en-AU"/>
        </w:rPr>
        <w:t>Aboriginality</w:t>
      </w:r>
      <w:r>
        <w:rPr>
          <w:lang w:eastAsia="en-AU"/>
        </w:rPr>
        <w:t xml:space="preserve"> </w:t>
      </w:r>
    </w:p>
    <w:p w14:paraId="779E1611" w14:textId="77777777" w:rsidR="007337C0" w:rsidRDefault="007337C0" w:rsidP="007337C0">
      <w:pPr>
        <w:pStyle w:val="Bullet1"/>
        <w:rPr>
          <w:lang w:eastAsia="en-AU"/>
        </w:rPr>
      </w:pPr>
      <w:r w:rsidRPr="0086221F">
        <w:rPr>
          <w:lang w:eastAsia="en-AU"/>
        </w:rPr>
        <w:t xml:space="preserve">age </w:t>
      </w:r>
    </w:p>
    <w:p w14:paraId="06C19014" w14:textId="77777777" w:rsidR="007337C0" w:rsidRDefault="007337C0" w:rsidP="007337C0">
      <w:pPr>
        <w:pStyle w:val="Bullet1"/>
        <w:rPr>
          <w:lang w:eastAsia="en-AU"/>
        </w:rPr>
      </w:pPr>
      <w:r w:rsidRPr="0086221F">
        <w:rPr>
          <w:lang w:eastAsia="en-AU"/>
        </w:rPr>
        <w:t xml:space="preserve">disability </w:t>
      </w:r>
    </w:p>
    <w:p w14:paraId="4AC0F328" w14:textId="77777777" w:rsidR="007337C0" w:rsidRDefault="007337C0" w:rsidP="007337C0">
      <w:pPr>
        <w:pStyle w:val="Bullet1"/>
        <w:rPr>
          <w:lang w:eastAsia="en-AU"/>
        </w:rPr>
      </w:pPr>
      <w:r w:rsidRPr="0086221F">
        <w:rPr>
          <w:lang w:eastAsia="en-AU"/>
        </w:rPr>
        <w:t xml:space="preserve">ethnicity </w:t>
      </w:r>
    </w:p>
    <w:p w14:paraId="673D1F98" w14:textId="77777777" w:rsidR="007337C0" w:rsidRDefault="007337C0" w:rsidP="007337C0">
      <w:pPr>
        <w:pStyle w:val="Bullet1"/>
        <w:rPr>
          <w:lang w:eastAsia="en-AU"/>
        </w:rPr>
      </w:pPr>
      <w:r w:rsidRPr="0086221F">
        <w:rPr>
          <w:lang w:eastAsia="en-AU"/>
        </w:rPr>
        <w:t xml:space="preserve">gender identity </w:t>
      </w:r>
    </w:p>
    <w:p w14:paraId="2EF1F0CC" w14:textId="77777777" w:rsidR="007337C0" w:rsidRDefault="007337C0" w:rsidP="007337C0">
      <w:pPr>
        <w:pStyle w:val="Bullet1"/>
        <w:rPr>
          <w:lang w:eastAsia="en-AU"/>
        </w:rPr>
      </w:pPr>
      <w:r w:rsidRPr="0086221F">
        <w:rPr>
          <w:lang w:eastAsia="en-AU"/>
        </w:rPr>
        <w:t xml:space="preserve">race </w:t>
      </w:r>
    </w:p>
    <w:p w14:paraId="12AF8F24" w14:textId="77777777" w:rsidR="007337C0" w:rsidRDefault="007337C0" w:rsidP="007337C0">
      <w:pPr>
        <w:pStyle w:val="Bullet1"/>
        <w:rPr>
          <w:lang w:eastAsia="en-AU"/>
        </w:rPr>
      </w:pPr>
      <w:r w:rsidRPr="0086221F">
        <w:rPr>
          <w:lang w:eastAsia="en-AU"/>
        </w:rPr>
        <w:t xml:space="preserve">religion </w:t>
      </w:r>
    </w:p>
    <w:p w14:paraId="74130110" w14:textId="77777777" w:rsidR="007337C0" w:rsidRDefault="007337C0" w:rsidP="007337C0">
      <w:pPr>
        <w:pStyle w:val="Bullet1"/>
        <w:rPr>
          <w:lang w:eastAsia="en-AU"/>
        </w:rPr>
      </w:pPr>
      <w:r w:rsidRPr="0086221F">
        <w:rPr>
          <w:lang w:eastAsia="en-AU"/>
        </w:rPr>
        <w:t xml:space="preserve">sexual orientation </w:t>
      </w:r>
    </w:p>
    <w:p w14:paraId="181CAA5E" w14:textId="77777777" w:rsidR="007337C0" w:rsidRDefault="007337C0" w:rsidP="007337C0">
      <w:pPr>
        <w:pStyle w:val="Bullet1"/>
        <w:rPr>
          <w:lang w:eastAsia="en-AU"/>
        </w:rPr>
      </w:pPr>
      <w:r w:rsidRPr="0086221F">
        <w:rPr>
          <w:lang w:eastAsia="en-AU"/>
        </w:rPr>
        <w:t xml:space="preserve">other attributes. </w:t>
      </w:r>
    </w:p>
    <w:p w14:paraId="1EC08CD3" w14:textId="77777777" w:rsidR="007337C0" w:rsidRDefault="007337C0" w:rsidP="007337C0">
      <w:pPr>
        <w:pStyle w:val="Bodyafterbullets"/>
        <w:rPr>
          <w:lang w:eastAsia="en-AU"/>
        </w:rPr>
      </w:pPr>
      <w:r w:rsidRPr="0086221F">
        <w:rPr>
          <w:lang w:eastAsia="en-AU"/>
        </w:rPr>
        <w:t xml:space="preserve">The Act requires </w:t>
      </w:r>
      <w:r>
        <w:rPr>
          <w:lang w:eastAsia="en-AU"/>
        </w:rPr>
        <w:t>duty holders</w:t>
      </w:r>
      <w:r w:rsidRPr="0086221F">
        <w:rPr>
          <w:lang w:eastAsia="en-AU"/>
        </w:rPr>
        <w:t xml:space="preserve"> to use this data to </w:t>
      </w:r>
      <w:r>
        <w:rPr>
          <w:lang w:eastAsia="en-AU"/>
        </w:rPr>
        <w:t>consider how gender inequality may be compounded. Duty holders</w:t>
      </w:r>
      <w:r w:rsidRPr="0086221F">
        <w:rPr>
          <w:lang w:eastAsia="en-AU"/>
        </w:rPr>
        <w:t xml:space="preserve"> </w:t>
      </w:r>
      <w:r>
        <w:rPr>
          <w:lang w:eastAsia="en-AU"/>
        </w:rPr>
        <w:t>must then use this data</w:t>
      </w:r>
      <w:r w:rsidRPr="0086221F">
        <w:rPr>
          <w:lang w:eastAsia="en-AU"/>
        </w:rPr>
        <w:t xml:space="preserve"> to drive positive and transparent progress towards intersectional gender equality.</w:t>
      </w:r>
      <w:r>
        <w:rPr>
          <w:lang w:eastAsia="en-AU"/>
        </w:rPr>
        <w:t xml:space="preserve"> </w:t>
      </w:r>
    </w:p>
    <w:p w14:paraId="5BE748BA" w14:textId="7DD2863B" w:rsidR="007337C0" w:rsidRDefault="007337C0" w:rsidP="0078531C">
      <w:pPr>
        <w:pStyle w:val="BodyText"/>
        <w:rPr>
          <w:lang w:eastAsia="en-AU"/>
        </w:rPr>
      </w:pPr>
      <w:r w:rsidRPr="00876356">
        <w:rPr>
          <w:lang w:eastAsia="en-AU"/>
        </w:rPr>
        <w:t xml:space="preserve">Intersectionality </w:t>
      </w:r>
      <w:r>
        <w:rPr>
          <w:lang w:eastAsia="en-AU"/>
        </w:rPr>
        <w:t>focus</w:t>
      </w:r>
      <w:r w:rsidR="00CF5D5D">
        <w:rPr>
          <w:lang w:eastAsia="en-AU"/>
        </w:rPr>
        <w:t>es on</w:t>
      </w:r>
      <w:r>
        <w:rPr>
          <w:lang w:eastAsia="en-AU"/>
        </w:rPr>
        <w:t xml:space="preserve"> the</w:t>
      </w:r>
      <w:r w:rsidRPr="00B04ADB">
        <w:rPr>
          <w:lang w:eastAsia="en-AU"/>
        </w:rPr>
        <w:t xml:space="preserve"> systems and structures that create and sustain inequalit</w:t>
      </w:r>
      <w:r>
        <w:rPr>
          <w:lang w:eastAsia="en-AU"/>
        </w:rPr>
        <w:t xml:space="preserve">y. You can read more about intersectionality, including how to measure and apply it, in the </w:t>
      </w:r>
      <w:hyperlink r:id="rId59" w:history="1">
        <w:r w:rsidRPr="00617560">
          <w:rPr>
            <w:rStyle w:val="Hyperlink"/>
            <w:rFonts w:cs="Times New Roman"/>
            <w:lang w:eastAsia="en-AU"/>
          </w:rPr>
          <w:t xml:space="preserve">Intersectionality at </w:t>
        </w:r>
        <w:r>
          <w:rPr>
            <w:rStyle w:val="Hyperlink"/>
            <w:rFonts w:cs="Times New Roman"/>
            <w:lang w:eastAsia="en-AU"/>
          </w:rPr>
          <w:t>w</w:t>
        </w:r>
        <w:r w:rsidRPr="00617560">
          <w:rPr>
            <w:rStyle w:val="Hyperlink"/>
            <w:rFonts w:cs="Times New Roman"/>
            <w:lang w:eastAsia="en-AU"/>
          </w:rPr>
          <w:t>ork report</w:t>
        </w:r>
      </w:hyperlink>
      <w:r>
        <w:t xml:space="preserve"> (2023). </w:t>
      </w:r>
    </w:p>
    <w:p w14:paraId="52DDEBC0" w14:textId="4894D116" w:rsidR="007337C0" w:rsidRPr="00712641" w:rsidRDefault="00A6514D" w:rsidP="0078531C">
      <w:pPr>
        <w:pStyle w:val="BodyText"/>
        <w:rPr>
          <w:lang w:eastAsia="en-AU"/>
        </w:rPr>
      </w:pPr>
      <w:r>
        <w:rPr>
          <w:lang w:eastAsia="en-AU"/>
        </w:rPr>
        <w:t>T</w:t>
      </w:r>
      <w:r w:rsidR="007337C0">
        <w:rPr>
          <w:lang w:eastAsia="en-AU"/>
        </w:rPr>
        <w:t xml:space="preserve">he Commission adopts a </w:t>
      </w:r>
      <w:r w:rsidR="007337C0" w:rsidRPr="00F1705B">
        <w:rPr>
          <w:lang w:eastAsia="en-AU"/>
        </w:rPr>
        <w:t>‘gender-plus-one-other-attribute’</w:t>
      </w:r>
      <w:r w:rsidR="007337C0">
        <w:rPr>
          <w:lang w:eastAsia="en-AU"/>
        </w:rPr>
        <w:t xml:space="preserve"> approach to intersectional</w:t>
      </w:r>
      <w:r w:rsidR="00361005">
        <w:rPr>
          <w:lang w:eastAsia="en-AU"/>
        </w:rPr>
        <w:t xml:space="preserve"> analysis</w:t>
      </w:r>
      <w:r w:rsidR="007337C0">
        <w:rPr>
          <w:lang w:eastAsia="en-AU"/>
        </w:rPr>
        <w:t xml:space="preserve">. This approach offers a practical starting point for exposing previously hidden patterns of intersectional inequality. However, it is not the final goal. As the Victorian public sector improves its ability to collect demographic data, we will also be able to analyse more complex data combinations that better reflect the experiences of all Victorians. </w:t>
      </w:r>
    </w:p>
    <w:p w14:paraId="26A9F8F9" w14:textId="3A704767" w:rsidR="007337C0" w:rsidRDefault="007337C0" w:rsidP="0078531C">
      <w:pPr>
        <w:pStyle w:val="BodyText"/>
        <w:rPr>
          <w:lang w:eastAsia="en-AU"/>
        </w:rPr>
      </w:pPr>
      <w:r>
        <w:rPr>
          <w:lang w:eastAsia="en-AU"/>
        </w:rPr>
        <w:t xml:space="preserve">As was the case in 2021 and 2023, only a small proportion of duty holders returned reliable demographic data </w:t>
      </w:r>
      <w:r w:rsidR="007638A6">
        <w:rPr>
          <w:lang w:eastAsia="en-AU"/>
        </w:rPr>
        <w:t>beyond gender and age</w:t>
      </w:r>
      <w:r>
        <w:rPr>
          <w:lang w:eastAsia="en-AU"/>
        </w:rPr>
        <w:t xml:space="preserve"> in 2025. Because of this, the Commission relies on anonymous People matter survey data to analyse experiences of intersectional inequality.</w:t>
      </w:r>
    </w:p>
    <w:p w14:paraId="61C1223A" w14:textId="1944071E" w:rsidR="007337C0" w:rsidRDefault="007337C0" w:rsidP="0078531C">
      <w:pPr>
        <w:pStyle w:val="BodyText"/>
        <w:rPr>
          <w:lang w:eastAsia="en-AU"/>
        </w:rPr>
      </w:pPr>
      <w:r>
        <w:rPr>
          <w:lang w:eastAsia="en-AU"/>
        </w:rPr>
        <w:t xml:space="preserve">This report offers intersectional analysis for 2 workplace gender equality indicators: gender pay gaps and sexual harassment. Gender pay gaps and sexual harassment are regulatory focus areas for the Commissioner. Both continue to be the cause of the most significant and persistent gendered harms. They also offer the greatest opportunity for meaningful and systemic change. </w:t>
      </w:r>
    </w:p>
    <w:p w14:paraId="494AE6A2" w14:textId="77777777" w:rsidR="007337C0" w:rsidRDefault="007337C0" w:rsidP="0078531C">
      <w:pPr>
        <w:pStyle w:val="BodyText"/>
        <w:rPr>
          <w:lang w:eastAsia="en-AU"/>
        </w:rPr>
      </w:pPr>
      <w:r>
        <w:rPr>
          <w:lang w:eastAsia="en-AU"/>
        </w:rPr>
        <w:t xml:space="preserve">The Commission has not assigned progress ratings to measures with an intersectional lens due to complexities in the data and inconsistent reporting. </w:t>
      </w:r>
    </w:p>
    <w:p w14:paraId="469ECF52" w14:textId="77777777" w:rsidR="008D6969" w:rsidRDefault="008D6969" w:rsidP="005F688D">
      <w:pPr>
        <w:pStyle w:val="Heading2"/>
        <w:rPr>
          <w:lang w:eastAsia="en-AU"/>
        </w:rPr>
      </w:pPr>
      <w:bookmarkStart w:id="67" w:name="_Approach_to_indicative"/>
      <w:bookmarkStart w:id="68" w:name="_Toc237259557"/>
      <w:bookmarkEnd w:id="67"/>
      <w:r>
        <w:rPr>
          <w:lang w:eastAsia="en-AU"/>
        </w:rPr>
        <w:t xml:space="preserve">Data </w:t>
      </w:r>
      <w:r w:rsidRPr="00413435">
        <w:t>measures</w:t>
      </w:r>
      <w:bookmarkEnd w:id="68"/>
      <w:r>
        <w:rPr>
          <w:lang w:eastAsia="en-AU"/>
        </w:rPr>
        <w:t xml:space="preserve"> </w:t>
      </w:r>
    </w:p>
    <w:p w14:paraId="55845654" w14:textId="4ADB4C76" w:rsidR="008D6969" w:rsidRDefault="008D6969" w:rsidP="0078531C">
      <w:pPr>
        <w:pStyle w:val="BodyText"/>
        <w:rPr>
          <w:lang w:eastAsia="en-AU"/>
        </w:rPr>
      </w:pPr>
      <w:r>
        <w:rPr>
          <w:lang w:eastAsia="en-AU"/>
        </w:rPr>
        <w:t xml:space="preserve">In the 2021 </w:t>
      </w:r>
      <w:hyperlink r:id="rId60" w:history="1">
        <w:r w:rsidRPr="00233502">
          <w:rPr>
            <w:rStyle w:val="Hyperlink"/>
            <w:rFonts w:cs="Times New Roman"/>
            <w:lang w:eastAsia="en-AU"/>
          </w:rPr>
          <w:t>Baseline report</w:t>
        </w:r>
      </w:hyperlink>
      <w:r>
        <w:rPr>
          <w:lang w:eastAsia="en-AU"/>
        </w:rPr>
        <w:t xml:space="preserve"> and the 202</w:t>
      </w:r>
      <w:r w:rsidR="00284158">
        <w:rPr>
          <w:lang w:eastAsia="en-AU"/>
        </w:rPr>
        <w:t>3</w:t>
      </w:r>
      <w:r>
        <w:rPr>
          <w:lang w:eastAsia="en-AU"/>
        </w:rPr>
        <w:t xml:space="preserve"> </w:t>
      </w:r>
      <w:hyperlink r:id="rId61" w:history="1">
        <w:r w:rsidRPr="00233502">
          <w:rPr>
            <w:rStyle w:val="Hyperlink"/>
            <w:rFonts w:cs="Times New Roman"/>
            <w:lang w:eastAsia="en-AU"/>
          </w:rPr>
          <w:t xml:space="preserve">Intersectionality at </w:t>
        </w:r>
        <w:r w:rsidR="00791349">
          <w:rPr>
            <w:rStyle w:val="Hyperlink"/>
            <w:rFonts w:cs="Times New Roman"/>
            <w:lang w:eastAsia="en-AU"/>
          </w:rPr>
          <w:t>w</w:t>
        </w:r>
        <w:r w:rsidRPr="00233502">
          <w:rPr>
            <w:rStyle w:val="Hyperlink"/>
            <w:rFonts w:cs="Times New Roman"/>
            <w:lang w:eastAsia="en-AU"/>
          </w:rPr>
          <w:t>ork report</w:t>
        </w:r>
      </w:hyperlink>
      <w:r>
        <w:rPr>
          <w:lang w:eastAsia="en-AU"/>
        </w:rPr>
        <w:t xml:space="preserve">, the Commission established the baseline for intersectional gender </w:t>
      </w:r>
      <w:r w:rsidR="005E731C">
        <w:rPr>
          <w:lang w:eastAsia="en-AU"/>
        </w:rPr>
        <w:t>in</w:t>
      </w:r>
      <w:r w:rsidRPr="00C27278">
        <w:rPr>
          <w:lang w:eastAsia="en-AU"/>
        </w:rPr>
        <w:t>equality</w:t>
      </w:r>
      <w:r>
        <w:rPr>
          <w:lang w:eastAsia="en-AU"/>
        </w:rPr>
        <w:t xml:space="preserve"> in the Victorian public sector. This </w:t>
      </w:r>
      <w:r w:rsidR="002D24F3">
        <w:rPr>
          <w:lang w:eastAsia="en-AU"/>
        </w:rPr>
        <w:t>current</w:t>
      </w:r>
      <w:r>
        <w:rPr>
          <w:lang w:eastAsia="en-AU"/>
        </w:rPr>
        <w:t xml:space="preserve"> report </w:t>
      </w:r>
      <w:r w:rsidR="00A437A9">
        <w:rPr>
          <w:lang w:eastAsia="en-AU"/>
        </w:rPr>
        <w:t>publishes</w:t>
      </w:r>
      <w:r>
        <w:rPr>
          <w:lang w:eastAsia="en-AU"/>
        </w:rPr>
        <w:t xml:space="preserve"> a suite of measures to track progress towards a more gender equal Victoria over time.</w:t>
      </w:r>
    </w:p>
    <w:p w14:paraId="47137C46" w14:textId="193501A2" w:rsidR="00EF0F92" w:rsidRDefault="00283A5B" w:rsidP="0078531C">
      <w:pPr>
        <w:pStyle w:val="BodyText"/>
        <w:rPr>
          <w:lang w:eastAsia="en-AU"/>
        </w:rPr>
      </w:pPr>
      <w:r>
        <w:rPr>
          <w:lang w:eastAsia="en-AU"/>
        </w:rPr>
        <w:t>Five</w:t>
      </w:r>
      <w:r w:rsidR="00EF0F92">
        <w:rPr>
          <w:lang w:eastAsia="en-AU"/>
        </w:rPr>
        <w:t xml:space="preserve"> years into the implementation of the Act, </w:t>
      </w:r>
      <w:r w:rsidR="008A3E0B">
        <w:rPr>
          <w:lang w:eastAsia="en-AU"/>
        </w:rPr>
        <w:t xml:space="preserve">the Commission </w:t>
      </w:r>
      <w:r w:rsidR="00413435">
        <w:rPr>
          <w:lang w:eastAsia="en-AU"/>
        </w:rPr>
        <w:t>can now</w:t>
      </w:r>
      <w:r w:rsidR="00F70AF8">
        <w:rPr>
          <w:lang w:eastAsia="en-AU"/>
        </w:rPr>
        <w:t xml:space="preserve"> provide</w:t>
      </w:r>
      <w:r w:rsidR="00EF0F92">
        <w:rPr>
          <w:lang w:eastAsia="en-AU"/>
        </w:rPr>
        <w:t xml:space="preserve"> more detailed information about:</w:t>
      </w:r>
    </w:p>
    <w:p w14:paraId="6385A42C" w14:textId="5A723403" w:rsidR="008B0606" w:rsidRDefault="004E232B" w:rsidP="00493AD7">
      <w:pPr>
        <w:pStyle w:val="Bullet1"/>
        <w:rPr>
          <w:lang w:eastAsia="en-AU"/>
        </w:rPr>
      </w:pPr>
      <w:r>
        <w:rPr>
          <w:lang w:eastAsia="en-AU"/>
        </w:rPr>
        <w:t>w</w:t>
      </w:r>
      <w:r w:rsidR="008B0606">
        <w:rPr>
          <w:lang w:eastAsia="en-AU"/>
        </w:rPr>
        <w:t>hat good progress looks like against measures under each workplace gender equality indicator</w:t>
      </w:r>
    </w:p>
    <w:p w14:paraId="086B2755" w14:textId="39912F1A" w:rsidR="00AF05B4" w:rsidRDefault="004E232B" w:rsidP="00493AD7">
      <w:pPr>
        <w:pStyle w:val="Bullet1"/>
        <w:rPr>
          <w:lang w:eastAsia="en-AU"/>
        </w:rPr>
      </w:pPr>
      <w:r>
        <w:rPr>
          <w:lang w:eastAsia="en-AU"/>
        </w:rPr>
        <w:t>h</w:t>
      </w:r>
      <w:r w:rsidR="00AF05B4">
        <w:rPr>
          <w:lang w:eastAsia="en-AU"/>
        </w:rPr>
        <w:t>ow to best measure progress at industry and sector levels</w:t>
      </w:r>
      <w:r w:rsidR="00B27C20">
        <w:rPr>
          <w:lang w:eastAsia="en-AU"/>
        </w:rPr>
        <w:t>.</w:t>
      </w:r>
    </w:p>
    <w:p w14:paraId="3215A636" w14:textId="399947B5" w:rsidR="00F4525A" w:rsidRDefault="00015BE1" w:rsidP="00C779C6">
      <w:pPr>
        <w:pStyle w:val="Bodyafterbullets"/>
        <w:rPr>
          <w:lang w:eastAsia="en-AU"/>
        </w:rPr>
      </w:pPr>
      <w:r>
        <w:rPr>
          <w:lang w:eastAsia="en-AU"/>
        </w:rPr>
        <w:t>To arrive at the suite of data measures presented in this report</w:t>
      </w:r>
      <w:r w:rsidR="00B71212">
        <w:rPr>
          <w:lang w:eastAsia="en-AU"/>
        </w:rPr>
        <w:t>,</w:t>
      </w:r>
      <w:r>
        <w:rPr>
          <w:lang w:eastAsia="en-AU"/>
        </w:rPr>
        <w:t xml:space="preserve"> and </w:t>
      </w:r>
      <w:r w:rsidR="00B71212">
        <w:rPr>
          <w:lang w:eastAsia="en-AU"/>
        </w:rPr>
        <w:t>produce</w:t>
      </w:r>
      <w:r>
        <w:rPr>
          <w:lang w:eastAsia="en-AU"/>
        </w:rPr>
        <w:t xml:space="preserve"> their corresponding progress </w:t>
      </w:r>
      <w:r w:rsidR="004129FD" w:rsidRPr="00C27278">
        <w:rPr>
          <w:lang w:eastAsia="en-AU"/>
        </w:rPr>
        <w:t>ratings</w:t>
      </w:r>
      <w:r>
        <w:rPr>
          <w:lang w:eastAsia="en-AU"/>
        </w:rPr>
        <w:t xml:space="preserve"> (where </w:t>
      </w:r>
      <w:r w:rsidR="009F3732">
        <w:rPr>
          <w:lang w:eastAsia="en-AU"/>
        </w:rPr>
        <w:t>relevant</w:t>
      </w:r>
      <w:r>
        <w:rPr>
          <w:lang w:eastAsia="en-AU"/>
        </w:rPr>
        <w:t xml:space="preserve">), the </w:t>
      </w:r>
      <w:r w:rsidR="009F3732">
        <w:rPr>
          <w:lang w:eastAsia="en-AU"/>
        </w:rPr>
        <w:t>Commissio</w:t>
      </w:r>
      <w:r w:rsidR="00F4525A">
        <w:rPr>
          <w:lang w:eastAsia="en-AU"/>
        </w:rPr>
        <w:t>n:</w:t>
      </w:r>
    </w:p>
    <w:p w14:paraId="74532308" w14:textId="1AA20511" w:rsidR="003D1E5F" w:rsidRDefault="00556BDB" w:rsidP="003D1E5F">
      <w:pPr>
        <w:pStyle w:val="Bullet1"/>
        <w:rPr>
          <w:lang w:eastAsia="en-AU"/>
        </w:rPr>
      </w:pPr>
      <w:r>
        <w:rPr>
          <w:lang w:eastAsia="en-AU"/>
        </w:rPr>
        <w:t>u</w:t>
      </w:r>
      <w:r w:rsidR="003D1E5F">
        <w:rPr>
          <w:lang w:eastAsia="en-AU"/>
        </w:rPr>
        <w:t xml:space="preserve">ndertook an extensive review of local and international literature, </w:t>
      </w:r>
      <w:r w:rsidR="00111E33">
        <w:rPr>
          <w:lang w:eastAsia="en-AU"/>
        </w:rPr>
        <w:t xml:space="preserve">conducted </w:t>
      </w:r>
      <w:r w:rsidR="003D1E5F">
        <w:rPr>
          <w:lang w:eastAsia="en-AU"/>
        </w:rPr>
        <w:t xml:space="preserve">internal consultation, </w:t>
      </w:r>
      <w:r w:rsidR="00A501A4">
        <w:rPr>
          <w:lang w:eastAsia="en-AU"/>
        </w:rPr>
        <w:t>and</w:t>
      </w:r>
      <w:r w:rsidR="003D1E5F">
        <w:rPr>
          <w:lang w:eastAsia="en-AU"/>
        </w:rPr>
        <w:t xml:space="preserve"> commissioned expert advice from Associate Professor Leonora Risse</w:t>
      </w:r>
    </w:p>
    <w:p w14:paraId="237708FD" w14:textId="39440AD2" w:rsidR="00F4525A" w:rsidRDefault="00615F4C" w:rsidP="00F4525A">
      <w:pPr>
        <w:pStyle w:val="Bullet1"/>
        <w:rPr>
          <w:lang w:eastAsia="en-AU"/>
        </w:rPr>
      </w:pPr>
      <w:r>
        <w:rPr>
          <w:lang w:eastAsia="en-AU"/>
        </w:rPr>
        <w:t>a</w:t>
      </w:r>
      <w:r w:rsidR="008D6969">
        <w:rPr>
          <w:lang w:eastAsia="en-AU"/>
        </w:rPr>
        <w:t>ssess</w:t>
      </w:r>
      <w:r w:rsidR="00F4525A">
        <w:rPr>
          <w:lang w:eastAsia="en-AU"/>
        </w:rPr>
        <w:t>ed</w:t>
      </w:r>
      <w:r w:rsidR="008D6969">
        <w:rPr>
          <w:lang w:eastAsia="en-AU"/>
        </w:rPr>
        <w:t xml:space="preserve"> wh</w:t>
      </w:r>
      <w:r w:rsidR="006F2FB2">
        <w:rPr>
          <w:lang w:eastAsia="en-AU"/>
        </w:rPr>
        <w:t xml:space="preserve">ich datapoints collected under the workplace gender audit </w:t>
      </w:r>
      <w:r w:rsidR="00D5668A">
        <w:rPr>
          <w:lang w:eastAsia="en-AU"/>
        </w:rPr>
        <w:t xml:space="preserve">are the </w:t>
      </w:r>
      <w:r w:rsidR="006F2FB2">
        <w:rPr>
          <w:lang w:eastAsia="en-AU"/>
        </w:rPr>
        <w:t>most</w:t>
      </w:r>
      <w:r w:rsidR="008D6969">
        <w:rPr>
          <w:lang w:eastAsia="en-AU"/>
        </w:rPr>
        <w:t xml:space="preserve"> meaningful</w:t>
      </w:r>
      <w:r w:rsidR="00D5668A">
        <w:rPr>
          <w:lang w:eastAsia="en-AU"/>
        </w:rPr>
        <w:t xml:space="preserve"> to</w:t>
      </w:r>
      <w:r w:rsidR="008D6969">
        <w:rPr>
          <w:lang w:eastAsia="en-AU"/>
        </w:rPr>
        <w:t xml:space="preserve"> </w:t>
      </w:r>
      <w:r w:rsidR="00D5668A">
        <w:rPr>
          <w:lang w:eastAsia="en-AU"/>
        </w:rPr>
        <w:t>understand</w:t>
      </w:r>
      <w:r w:rsidR="008D6969">
        <w:rPr>
          <w:lang w:eastAsia="en-AU"/>
        </w:rPr>
        <w:t xml:space="preserve"> the state of gender (in)equality against each </w:t>
      </w:r>
      <w:r w:rsidR="006F2FB2">
        <w:rPr>
          <w:lang w:eastAsia="en-AU"/>
        </w:rPr>
        <w:t xml:space="preserve">workplace gender equality </w:t>
      </w:r>
      <w:r w:rsidR="008D6969">
        <w:rPr>
          <w:lang w:eastAsia="en-AU"/>
        </w:rPr>
        <w:t>indicator</w:t>
      </w:r>
    </w:p>
    <w:p w14:paraId="2DBF7CA0" w14:textId="4D639598" w:rsidR="003D1E5F" w:rsidRDefault="00C7615B" w:rsidP="008D6969">
      <w:pPr>
        <w:pStyle w:val="Bullet1"/>
        <w:rPr>
          <w:lang w:eastAsia="en-AU"/>
        </w:rPr>
      </w:pPr>
      <w:r>
        <w:rPr>
          <w:lang w:eastAsia="en-AU"/>
        </w:rPr>
        <w:t>c</w:t>
      </w:r>
      <w:r w:rsidR="00D5381A">
        <w:rPr>
          <w:lang w:eastAsia="en-AU"/>
        </w:rPr>
        <w:t xml:space="preserve">onsidered </w:t>
      </w:r>
      <w:r w:rsidR="008D6969">
        <w:rPr>
          <w:lang w:eastAsia="en-AU"/>
        </w:rPr>
        <w:t>how progress could be rigorously assessed for each measure across multiple audit years</w:t>
      </w:r>
      <w:r w:rsidR="00AA4774">
        <w:rPr>
          <w:lang w:eastAsia="en-AU"/>
        </w:rPr>
        <w:t>.</w:t>
      </w:r>
    </w:p>
    <w:p w14:paraId="4522F53E" w14:textId="192F2544" w:rsidR="00AA4774" w:rsidRDefault="00B80406" w:rsidP="00AA4774">
      <w:pPr>
        <w:pStyle w:val="Bodyafterbullets"/>
        <w:rPr>
          <w:lang w:eastAsia="en-AU"/>
        </w:rPr>
      </w:pPr>
      <w:r>
        <w:rPr>
          <w:lang w:eastAsia="en-AU"/>
        </w:rPr>
        <w:t>Understanding what ‘good</w:t>
      </w:r>
      <w:r w:rsidR="002F55AB">
        <w:rPr>
          <w:lang w:eastAsia="en-AU"/>
        </w:rPr>
        <w:t>’</w:t>
      </w:r>
      <w:r>
        <w:rPr>
          <w:lang w:eastAsia="en-AU"/>
        </w:rPr>
        <w:t xml:space="preserve"> looks like on each data measure and how to interpret changes in the data </w:t>
      </w:r>
      <w:r w:rsidR="00DE3972">
        <w:rPr>
          <w:lang w:eastAsia="en-AU"/>
        </w:rPr>
        <w:t>as evidence of</w:t>
      </w:r>
      <w:r w:rsidR="002F568D">
        <w:rPr>
          <w:lang w:eastAsia="en-AU"/>
        </w:rPr>
        <w:t xml:space="preserve"> progress is a complex process. It involves </w:t>
      </w:r>
      <w:r w:rsidR="00E56FBD">
        <w:rPr>
          <w:lang w:eastAsia="en-AU"/>
        </w:rPr>
        <w:t>first</w:t>
      </w:r>
      <w:r w:rsidR="002F568D">
        <w:rPr>
          <w:lang w:eastAsia="en-AU"/>
        </w:rPr>
        <w:t xml:space="preserve"> determining what the </w:t>
      </w:r>
      <w:r w:rsidR="002F51D4">
        <w:rPr>
          <w:lang w:eastAsia="en-AU"/>
        </w:rPr>
        <w:t>numerical</w:t>
      </w:r>
      <w:r w:rsidR="002F568D">
        <w:rPr>
          <w:lang w:eastAsia="en-AU"/>
        </w:rPr>
        <w:t xml:space="preserve"> gender equality ‘goal</w:t>
      </w:r>
      <w:r w:rsidR="002F55AB">
        <w:rPr>
          <w:lang w:eastAsia="en-AU"/>
        </w:rPr>
        <w:t>’</w:t>
      </w:r>
      <w:r w:rsidR="002F568D">
        <w:rPr>
          <w:lang w:eastAsia="en-AU"/>
        </w:rPr>
        <w:t xml:space="preserve"> is on each measure</w:t>
      </w:r>
      <w:r w:rsidR="00E56FBD">
        <w:rPr>
          <w:lang w:eastAsia="en-AU"/>
        </w:rPr>
        <w:t>. It then involves</w:t>
      </w:r>
      <w:r w:rsidR="002F568D">
        <w:rPr>
          <w:lang w:eastAsia="en-AU"/>
        </w:rPr>
        <w:t xml:space="preserve"> </w:t>
      </w:r>
      <w:r w:rsidR="006B1651">
        <w:rPr>
          <w:lang w:eastAsia="en-AU"/>
        </w:rPr>
        <w:t xml:space="preserve">identifying </w:t>
      </w:r>
      <w:r w:rsidR="00A71098">
        <w:rPr>
          <w:lang w:eastAsia="en-AU"/>
        </w:rPr>
        <w:t>whether</w:t>
      </w:r>
      <w:r w:rsidR="006B1651">
        <w:rPr>
          <w:lang w:eastAsia="en-AU"/>
        </w:rPr>
        <w:t xml:space="preserve"> changes in that measure </w:t>
      </w:r>
      <w:r w:rsidR="00A71098">
        <w:rPr>
          <w:lang w:eastAsia="en-AU"/>
        </w:rPr>
        <w:t>can be understood as ‘positive</w:t>
      </w:r>
      <w:r w:rsidR="002F55AB">
        <w:rPr>
          <w:lang w:eastAsia="en-AU"/>
        </w:rPr>
        <w:t>’</w:t>
      </w:r>
      <w:r w:rsidR="00A71098">
        <w:rPr>
          <w:lang w:eastAsia="en-AU"/>
        </w:rPr>
        <w:t xml:space="preserve"> for gender equality, based on the direction and </w:t>
      </w:r>
      <w:r w:rsidR="001F5FA7">
        <w:rPr>
          <w:lang w:eastAsia="en-AU"/>
        </w:rPr>
        <w:t>size of the change.</w:t>
      </w:r>
      <w:r w:rsidR="00CE18D7">
        <w:rPr>
          <w:lang w:eastAsia="en-AU"/>
        </w:rPr>
        <w:t xml:space="preserve"> Overall, the Commission designed 4 types of progress </w:t>
      </w:r>
      <w:r w:rsidR="009C34D6" w:rsidRPr="00C27278">
        <w:rPr>
          <w:lang w:eastAsia="en-AU"/>
        </w:rPr>
        <w:t>ratings</w:t>
      </w:r>
      <w:r w:rsidR="00CE18D7" w:rsidRPr="00C27278">
        <w:rPr>
          <w:lang w:eastAsia="en-AU"/>
        </w:rPr>
        <w:t>.</w:t>
      </w:r>
      <w:r w:rsidR="005965F5">
        <w:rPr>
          <w:lang w:eastAsia="en-AU"/>
        </w:rPr>
        <w:t xml:space="preserve"> These include matrix </w:t>
      </w:r>
      <w:r w:rsidR="009C34D6" w:rsidRPr="00C27278">
        <w:rPr>
          <w:lang w:eastAsia="en-AU"/>
        </w:rPr>
        <w:t>ratings</w:t>
      </w:r>
      <w:r w:rsidR="005965F5">
        <w:rPr>
          <w:lang w:eastAsia="en-AU"/>
        </w:rPr>
        <w:t xml:space="preserve">, </w:t>
      </w:r>
      <w:r w:rsidR="00D84CD7">
        <w:rPr>
          <w:lang w:eastAsia="en-AU"/>
        </w:rPr>
        <w:t xml:space="preserve">holistic </w:t>
      </w:r>
      <w:r w:rsidR="009C34D6" w:rsidRPr="00C27278">
        <w:rPr>
          <w:lang w:eastAsia="en-AU"/>
        </w:rPr>
        <w:t>ratings</w:t>
      </w:r>
      <w:r w:rsidR="00D84CD7">
        <w:rPr>
          <w:lang w:eastAsia="en-AU"/>
        </w:rPr>
        <w:t xml:space="preserve">, proportionality </w:t>
      </w:r>
      <w:r w:rsidR="009C34D6" w:rsidRPr="00C27278">
        <w:rPr>
          <w:lang w:eastAsia="en-AU"/>
        </w:rPr>
        <w:t>ratings</w:t>
      </w:r>
      <w:r w:rsidR="00D84CD7">
        <w:rPr>
          <w:lang w:eastAsia="en-AU"/>
        </w:rPr>
        <w:t xml:space="preserve"> and gender-composition </w:t>
      </w:r>
      <w:r w:rsidR="009C34D6" w:rsidRPr="00C27278">
        <w:rPr>
          <w:lang w:eastAsia="en-AU"/>
        </w:rPr>
        <w:t>ratings</w:t>
      </w:r>
      <w:r w:rsidR="00D84CD7">
        <w:rPr>
          <w:lang w:eastAsia="en-AU"/>
        </w:rPr>
        <w:t xml:space="preserve">. </w:t>
      </w:r>
    </w:p>
    <w:p w14:paraId="7CC25BB9" w14:textId="7AB89C10" w:rsidR="008B5406" w:rsidRDefault="008B5406" w:rsidP="0078531C">
      <w:pPr>
        <w:pStyle w:val="BodyText"/>
        <w:rPr>
          <w:lang w:eastAsia="en-AU"/>
        </w:rPr>
      </w:pPr>
      <w:r w:rsidRPr="00C27278">
        <w:t>Duty holders can use these measures to track their progress against their industry group to understand how their performance aligns or deviates from industry averages. However, it is important to note that measures at the industry and sector level do not always meaningfully translate at the organisational level. Duty holders should consult the Commission</w:t>
      </w:r>
      <w:r w:rsidR="002F55AB">
        <w:t>’</w:t>
      </w:r>
      <w:r w:rsidRPr="00C27278">
        <w:t>s progress reporting guidance when seeking to assess organisational progress.</w:t>
      </w:r>
    </w:p>
    <w:p w14:paraId="24A3EE00" w14:textId="77777777" w:rsidR="008C2A7D" w:rsidRDefault="008C2A7D" w:rsidP="000575B3">
      <w:pPr>
        <w:pStyle w:val="Heading3"/>
        <w:rPr>
          <w:lang w:eastAsia="en-AU"/>
        </w:rPr>
      </w:pPr>
      <w:bookmarkStart w:id="69" w:name="_Gender_gaps"/>
      <w:bookmarkEnd w:id="69"/>
      <w:r>
        <w:rPr>
          <w:lang w:eastAsia="en-AU"/>
        </w:rPr>
        <w:t>Gender gaps</w:t>
      </w:r>
    </w:p>
    <w:p w14:paraId="3FEE48CC" w14:textId="1B123C54" w:rsidR="008C2A7D" w:rsidRDefault="008C2A7D" w:rsidP="0078531C">
      <w:pPr>
        <w:pStyle w:val="BodyText"/>
        <w:rPr>
          <w:lang w:eastAsia="en-AU"/>
        </w:rPr>
      </w:pPr>
      <w:r>
        <w:rPr>
          <w:lang w:eastAsia="en-AU"/>
        </w:rPr>
        <w:t>T</w:t>
      </w:r>
      <w:r w:rsidRPr="00C27278">
        <w:rPr>
          <w:lang w:eastAsia="en-AU"/>
        </w:rPr>
        <w:t xml:space="preserve">his report presents several </w:t>
      </w:r>
      <w:r>
        <w:rPr>
          <w:lang w:eastAsia="en-AU"/>
        </w:rPr>
        <w:t>‘</w:t>
      </w:r>
      <w:r w:rsidRPr="00C27278">
        <w:rPr>
          <w:lang w:eastAsia="en-AU"/>
        </w:rPr>
        <w:t>gender gap</w:t>
      </w:r>
      <w:r>
        <w:rPr>
          <w:lang w:eastAsia="en-AU"/>
        </w:rPr>
        <w:t>’</w:t>
      </w:r>
      <w:r w:rsidRPr="00C27278">
        <w:rPr>
          <w:lang w:eastAsia="en-AU"/>
        </w:rPr>
        <w:t xml:space="preserve"> measures to reveal structural inequalities. The most familiar of these will be the gender pay gap measure. </w:t>
      </w:r>
      <w:r w:rsidRPr="003E7D1C">
        <w:rPr>
          <w:lang w:eastAsia="en-AU"/>
        </w:rPr>
        <w:t>These measures are calculated differently depending on the type of data being reported.</w:t>
      </w:r>
      <w:r>
        <w:rPr>
          <w:lang w:eastAsia="en-AU"/>
        </w:rPr>
        <w:t xml:space="preserve"> For measures where women</w:t>
      </w:r>
      <w:r w:rsidR="002F55AB">
        <w:rPr>
          <w:lang w:eastAsia="en-AU"/>
        </w:rPr>
        <w:t>’</w:t>
      </w:r>
      <w:r>
        <w:rPr>
          <w:lang w:eastAsia="en-AU"/>
        </w:rPr>
        <w:t>s or men</w:t>
      </w:r>
      <w:r w:rsidR="002F55AB">
        <w:rPr>
          <w:lang w:eastAsia="en-AU"/>
        </w:rPr>
        <w:t>’</w:t>
      </w:r>
      <w:r>
        <w:rPr>
          <w:lang w:eastAsia="en-AU"/>
        </w:rPr>
        <w:t>s experience sits along a spectrum (</w:t>
      </w:r>
      <w:r w:rsidR="001F3494">
        <w:rPr>
          <w:lang w:eastAsia="en-AU"/>
        </w:rPr>
        <w:t>for example</w:t>
      </w:r>
      <w:r w:rsidR="00EC74A8">
        <w:rPr>
          <w:lang w:eastAsia="en-AU"/>
        </w:rPr>
        <w:t>,</w:t>
      </w:r>
      <w:r>
        <w:rPr>
          <w:lang w:eastAsia="en-AU"/>
        </w:rPr>
        <w:t xml:space="preserve"> pay, or weeks of parental leave taken)</w:t>
      </w:r>
      <w:r w:rsidRPr="00C27278">
        <w:rPr>
          <w:lang w:eastAsia="en-AU"/>
        </w:rPr>
        <w:t xml:space="preserve">, the Commission calculated the difference between </w:t>
      </w:r>
      <w:r>
        <w:rPr>
          <w:lang w:eastAsia="en-AU"/>
        </w:rPr>
        <w:t xml:space="preserve">the average for </w:t>
      </w:r>
      <w:r w:rsidRPr="00C27278">
        <w:rPr>
          <w:lang w:eastAsia="en-AU"/>
        </w:rPr>
        <w:t>men and women</w:t>
      </w:r>
      <w:r>
        <w:rPr>
          <w:lang w:eastAsia="en-AU"/>
        </w:rPr>
        <w:t xml:space="preserve"> (</w:t>
      </w:r>
      <w:r w:rsidR="007B0730">
        <w:rPr>
          <w:lang w:eastAsia="en-AU"/>
        </w:rPr>
        <w:t>for example,</w:t>
      </w:r>
      <w:r>
        <w:rPr>
          <w:lang w:eastAsia="en-AU"/>
        </w:rPr>
        <w:t xml:space="preserve"> average earnings or average weeks of parental leave).</w:t>
      </w:r>
      <w:r w:rsidRPr="00C27278">
        <w:rPr>
          <w:lang w:eastAsia="en-AU"/>
        </w:rPr>
        <w:t xml:space="preserve"> </w:t>
      </w:r>
      <w:r>
        <w:rPr>
          <w:lang w:eastAsia="en-AU"/>
        </w:rPr>
        <w:t xml:space="preserve">This outcome was then </w:t>
      </w:r>
      <w:r w:rsidRPr="00C27278">
        <w:rPr>
          <w:lang w:eastAsia="en-AU"/>
        </w:rPr>
        <w:t>divided by men</w:t>
      </w:r>
      <w:r w:rsidR="002F55AB">
        <w:rPr>
          <w:lang w:eastAsia="en-AU"/>
        </w:rPr>
        <w:t>’</w:t>
      </w:r>
      <w:r w:rsidRPr="00C27278">
        <w:rPr>
          <w:lang w:eastAsia="en-AU"/>
        </w:rPr>
        <w:t xml:space="preserve">s average </w:t>
      </w:r>
      <w:r>
        <w:rPr>
          <w:lang w:eastAsia="en-AU"/>
        </w:rPr>
        <w:t>(</w:t>
      </w:r>
      <w:r w:rsidRPr="00C27278">
        <w:rPr>
          <w:lang w:eastAsia="en-AU"/>
        </w:rPr>
        <w:t>earnings</w:t>
      </w:r>
      <w:r>
        <w:rPr>
          <w:lang w:eastAsia="en-AU"/>
        </w:rPr>
        <w:t xml:space="preserve"> or parental leave</w:t>
      </w:r>
      <w:r w:rsidR="00285253">
        <w:rPr>
          <w:lang w:eastAsia="en-AU"/>
        </w:rPr>
        <w:t>)</w:t>
      </w:r>
      <w:r>
        <w:rPr>
          <w:lang w:eastAsia="en-AU"/>
        </w:rPr>
        <w:t xml:space="preserve"> and</w:t>
      </w:r>
      <w:r w:rsidRPr="00C27278">
        <w:rPr>
          <w:lang w:eastAsia="en-AU"/>
        </w:rPr>
        <w:t xml:space="preserve"> expressed as a percentage. </w:t>
      </w:r>
    </w:p>
    <w:p w14:paraId="3495A878" w14:textId="77777777" w:rsidR="00B91881" w:rsidRPr="00B91881" w:rsidRDefault="00B91881" w:rsidP="00B91881">
      <w:pPr>
        <w:pStyle w:val="BodyText"/>
        <w:rPr>
          <w:lang w:eastAsia="en-AU"/>
        </w:rPr>
      </w:pPr>
      <w:r w:rsidRPr="00B91881">
        <w:rPr>
          <w:lang w:eastAsia="en-AU"/>
        </w:rPr>
        <w:t>A different approach is used for measures based on proportions. These measures compare the proportion of women with the proportion of men who experience, access or participate in a particular workplace arrangement or opportunity. Examples include:</w:t>
      </w:r>
    </w:p>
    <w:p w14:paraId="6C6CC7DA" w14:textId="77777777" w:rsidR="00B91881" w:rsidRPr="00B91881" w:rsidRDefault="00B91881" w:rsidP="00876356">
      <w:pPr>
        <w:pStyle w:val="Bullet1"/>
        <w:rPr>
          <w:lang w:eastAsia="en-AU"/>
        </w:rPr>
      </w:pPr>
      <w:r w:rsidRPr="00B91881">
        <w:rPr>
          <w:lang w:eastAsia="en-AU"/>
        </w:rPr>
        <w:t xml:space="preserve">the uptake of part-time work </w:t>
      </w:r>
    </w:p>
    <w:p w14:paraId="243BE23E" w14:textId="77777777" w:rsidR="00B91881" w:rsidRPr="00B91881" w:rsidRDefault="00B91881" w:rsidP="00876356">
      <w:pPr>
        <w:pStyle w:val="Bullet1"/>
        <w:rPr>
          <w:lang w:eastAsia="en-AU"/>
        </w:rPr>
      </w:pPr>
      <w:r w:rsidRPr="00B91881">
        <w:rPr>
          <w:lang w:eastAsia="en-AU"/>
        </w:rPr>
        <w:t xml:space="preserve">promotion rates </w:t>
      </w:r>
    </w:p>
    <w:p w14:paraId="28633BAB" w14:textId="77777777" w:rsidR="00B91881" w:rsidRPr="00B91881" w:rsidRDefault="00B91881" w:rsidP="00876356">
      <w:pPr>
        <w:pStyle w:val="Bullet1"/>
        <w:rPr>
          <w:lang w:eastAsia="en-AU"/>
        </w:rPr>
      </w:pPr>
      <w:r w:rsidRPr="00B91881">
        <w:rPr>
          <w:lang w:eastAsia="en-AU"/>
        </w:rPr>
        <w:t xml:space="preserve">access to development opportunities </w:t>
      </w:r>
    </w:p>
    <w:p w14:paraId="01F4CC1E" w14:textId="77777777" w:rsidR="00B91881" w:rsidRPr="00B91881" w:rsidRDefault="00B91881" w:rsidP="00876356">
      <w:pPr>
        <w:pStyle w:val="Bullet1"/>
        <w:rPr>
          <w:lang w:eastAsia="en-AU"/>
        </w:rPr>
      </w:pPr>
      <w:r w:rsidRPr="00B91881">
        <w:rPr>
          <w:lang w:eastAsia="en-AU"/>
        </w:rPr>
        <w:t xml:space="preserve">the uptake of flexible work. </w:t>
      </w:r>
    </w:p>
    <w:p w14:paraId="274748D5" w14:textId="6938D9D8" w:rsidR="00B91881" w:rsidRPr="00B91881" w:rsidRDefault="00B91881" w:rsidP="00876356">
      <w:pPr>
        <w:pStyle w:val="Bodyafterbullets"/>
        <w:rPr>
          <w:lang w:eastAsia="en-AU"/>
        </w:rPr>
      </w:pPr>
      <w:r w:rsidRPr="00B91881">
        <w:rPr>
          <w:lang w:eastAsia="en-AU"/>
        </w:rPr>
        <w:t xml:space="preserve">For these measures, the gender gap is expressed as the percentage point difference between men and </w:t>
      </w:r>
      <w:r>
        <w:rPr>
          <w:lang w:eastAsia="en-AU"/>
        </w:rPr>
        <w:t>wo</w:t>
      </w:r>
      <w:r w:rsidRPr="00B91881">
        <w:rPr>
          <w:lang w:eastAsia="en-AU"/>
        </w:rPr>
        <w:t>men.</w:t>
      </w:r>
    </w:p>
    <w:p w14:paraId="5C24FE29" w14:textId="7261E0DC" w:rsidR="008C2A7D" w:rsidRPr="00D5276A" w:rsidRDefault="008C2A7D" w:rsidP="0078531C">
      <w:pPr>
        <w:pStyle w:val="BodyText"/>
        <w:rPr>
          <w:lang w:eastAsia="en-AU"/>
        </w:rPr>
      </w:pPr>
      <w:r>
        <w:rPr>
          <w:lang w:eastAsia="en-AU"/>
        </w:rPr>
        <w:t>V</w:t>
      </w:r>
      <w:r w:rsidRPr="001E06CC">
        <w:rPr>
          <w:lang w:eastAsia="en-AU"/>
        </w:rPr>
        <w:t>alues</w:t>
      </w:r>
      <w:r>
        <w:rPr>
          <w:lang w:eastAsia="en-AU"/>
        </w:rPr>
        <w:t xml:space="preserve"> greater than zero</w:t>
      </w:r>
      <w:r w:rsidRPr="001E06CC">
        <w:rPr>
          <w:lang w:eastAsia="en-AU"/>
        </w:rPr>
        <w:t xml:space="preserve"> indicate that men have the more favourable outcome for the measure being reported</w:t>
      </w:r>
      <w:r>
        <w:rPr>
          <w:lang w:eastAsia="en-AU"/>
        </w:rPr>
        <w:t xml:space="preserve"> (</w:t>
      </w:r>
      <w:r w:rsidR="0057736E">
        <w:rPr>
          <w:lang w:eastAsia="en-AU"/>
        </w:rPr>
        <w:t>that is,</w:t>
      </w:r>
      <w:r>
        <w:rPr>
          <w:lang w:eastAsia="en-AU"/>
        </w:rPr>
        <w:t xml:space="preserve"> they are promoted at a greater rate, or are paid more)</w:t>
      </w:r>
      <w:r w:rsidRPr="001E06CC">
        <w:rPr>
          <w:lang w:eastAsia="en-AU"/>
        </w:rPr>
        <w:t xml:space="preserve">, while values </w:t>
      </w:r>
      <w:r>
        <w:rPr>
          <w:lang w:eastAsia="en-AU"/>
        </w:rPr>
        <w:t xml:space="preserve">less than zero </w:t>
      </w:r>
      <w:r w:rsidRPr="001E06CC">
        <w:rPr>
          <w:lang w:eastAsia="en-AU"/>
        </w:rPr>
        <w:t xml:space="preserve">indicate that women have the more favourable outcome. </w:t>
      </w:r>
    </w:p>
    <w:p w14:paraId="32D72C97" w14:textId="6916A2FD" w:rsidR="00EF55D9" w:rsidRPr="00C27278" w:rsidRDefault="00026A6A" w:rsidP="005F688D">
      <w:pPr>
        <w:pStyle w:val="Heading3"/>
        <w:rPr>
          <w:lang w:eastAsia="en-AU"/>
        </w:rPr>
      </w:pPr>
      <w:r w:rsidRPr="00C27278">
        <w:rPr>
          <w:lang w:eastAsia="en-AU"/>
        </w:rPr>
        <w:t xml:space="preserve">Matrix </w:t>
      </w:r>
      <w:r w:rsidR="00C53F9B" w:rsidRPr="00C27278">
        <w:rPr>
          <w:lang w:eastAsia="en-AU"/>
        </w:rPr>
        <w:t>ratings</w:t>
      </w:r>
    </w:p>
    <w:p w14:paraId="4025E9AF" w14:textId="72D476B4" w:rsidR="00EA51B6" w:rsidRPr="00C27278" w:rsidRDefault="00E8458A" w:rsidP="00876356">
      <w:pPr>
        <w:pStyle w:val="BodyText"/>
        <w:rPr>
          <w:lang w:eastAsia="en-AU"/>
        </w:rPr>
      </w:pPr>
      <w:r>
        <w:rPr>
          <w:lang w:eastAsia="en-AU"/>
        </w:rPr>
        <w:t>T</w:t>
      </w:r>
      <w:r w:rsidR="00CE18D7">
        <w:rPr>
          <w:lang w:eastAsia="en-AU"/>
        </w:rPr>
        <w:t xml:space="preserve">he Commission </w:t>
      </w:r>
      <w:r w:rsidR="00CE18D7" w:rsidRPr="00C27278">
        <w:rPr>
          <w:lang w:eastAsia="en-AU"/>
        </w:rPr>
        <w:t xml:space="preserve">developed </w:t>
      </w:r>
      <w:r w:rsidR="00EA51B6" w:rsidRPr="00C27278">
        <w:rPr>
          <w:lang w:eastAsia="en-AU"/>
        </w:rPr>
        <w:t>matrices to</w:t>
      </w:r>
      <w:r w:rsidRPr="00C27278">
        <w:rPr>
          <w:lang w:eastAsia="en-AU"/>
        </w:rPr>
        <w:t xml:space="preserve"> assign</w:t>
      </w:r>
      <w:r w:rsidR="00CE18D7" w:rsidRPr="00C27278">
        <w:rPr>
          <w:lang w:eastAsia="en-AU"/>
        </w:rPr>
        <w:t xml:space="preserve"> progress </w:t>
      </w:r>
      <w:r w:rsidR="001F2C85" w:rsidRPr="00C27278">
        <w:rPr>
          <w:lang w:eastAsia="en-AU"/>
        </w:rPr>
        <w:t>ratings</w:t>
      </w:r>
      <w:r w:rsidR="00CE18D7" w:rsidRPr="00C27278">
        <w:rPr>
          <w:lang w:eastAsia="en-AU"/>
        </w:rPr>
        <w:t xml:space="preserve"> for most measures. </w:t>
      </w:r>
      <w:r w:rsidR="00546CC9" w:rsidRPr="00C27278">
        <w:rPr>
          <w:lang w:eastAsia="en-AU"/>
        </w:rPr>
        <w:t xml:space="preserve">Three types of </w:t>
      </w:r>
      <w:r w:rsidR="00DE583B" w:rsidRPr="00C27278">
        <w:rPr>
          <w:lang w:eastAsia="en-AU"/>
        </w:rPr>
        <w:t>matrixes</w:t>
      </w:r>
      <w:r w:rsidR="00546CC9" w:rsidRPr="00C27278">
        <w:rPr>
          <w:lang w:eastAsia="en-AU"/>
        </w:rPr>
        <w:t xml:space="preserve"> are used in this report</w:t>
      </w:r>
      <w:r w:rsidR="00A32214" w:rsidRPr="00C27278">
        <w:rPr>
          <w:lang w:eastAsia="en-AU"/>
        </w:rPr>
        <w:t xml:space="preserve"> to assess progress on three different types of </w:t>
      </w:r>
      <w:r w:rsidR="00605DF3" w:rsidRPr="00C27278">
        <w:rPr>
          <w:lang w:eastAsia="en-AU"/>
        </w:rPr>
        <w:t xml:space="preserve">data </w:t>
      </w:r>
      <w:r w:rsidR="00A32214" w:rsidRPr="00C27278">
        <w:rPr>
          <w:lang w:eastAsia="en-AU"/>
        </w:rPr>
        <w:t>measure</w:t>
      </w:r>
      <w:r w:rsidR="00EB12A6" w:rsidRPr="00C27278">
        <w:rPr>
          <w:lang w:eastAsia="en-AU"/>
        </w:rPr>
        <w:t>:</w:t>
      </w:r>
    </w:p>
    <w:p w14:paraId="0982C3BB" w14:textId="1CA898A4" w:rsidR="00EA51B6" w:rsidRPr="00EB12A6" w:rsidRDefault="00A642CF" w:rsidP="00EA51B6">
      <w:pPr>
        <w:pStyle w:val="Bullet1"/>
      </w:pPr>
      <w:r w:rsidRPr="00C27278">
        <w:rPr>
          <w:b/>
        </w:rPr>
        <w:t>Matrix</w:t>
      </w:r>
      <w:r w:rsidR="00EA51B6" w:rsidRPr="00253F80">
        <w:rPr>
          <w:b/>
          <w:bCs/>
        </w:rPr>
        <w:t xml:space="preserve"> 1: </w:t>
      </w:r>
      <w:r w:rsidR="00E506A3">
        <w:rPr>
          <w:b/>
          <w:bCs/>
        </w:rPr>
        <w:t>Gender composition</w:t>
      </w:r>
      <w:r w:rsidR="00EA51B6" w:rsidRPr="00253F80">
        <w:rPr>
          <w:b/>
          <w:bCs/>
        </w:rPr>
        <w:t xml:space="preserve"> </w:t>
      </w:r>
      <w:r w:rsidR="00F57259" w:rsidRPr="00C27278">
        <w:rPr>
          <w:b/>
        </w:rPr>
        <w:t>ratings</w:t>
      </w:r>
      <w:r w:rsidR="00E8458A" w:rsidRPr="00C27278">
        <w:t>.</w:t>
      </w:r>
      <w:r w:rsidR="00EA51B6">
        <w:t xml:space="preserve"> Used to assess </w:t>
      </w:r>
      <w:r w:rsidR="009336EE" w:rsidRPr="00C27278">
        <w:t xml:space="preserve">progress </w:t>
      </w:r>
      <w:r w:rsidR="00102DB8" w:rsidRPr="00C27278">
        <w:t xml:space="preserve">on </w:t>
      </w:r>
      <w:r w:rsidR="00FE3A52" w:rsidRPr="00C27278">
        <w:t xml:space="preserve">measures </w:t>
      </w:r>
      <w:r w:rsidR="004A2BE5" w:rsidRPr="00C27278">
        <w:t>that look at the</w:t>
      </w:r>
      <w:r w:rsidR="00D85585" w:rsidRPr="00C27278">
        <w:t xml:space="preserve"> gender split </w:t>
      </w:r>
      <w:r w:rsidR="002A340B" w:rsidRPr="00C27278">
        <w:t xml:space="preserve">of a population. This includes, for example, </w:t>
      </w:r>
      <w:r w:rsidR="00EA51B6">
        <w:t xml:space="preserve">changes in overall gender composition at sector and industry levels. </w:t>
      </w:r>
    </w:p>
    <w:p w14:paraId="789B98A6" w14:textId="7C3336DF" w:rsidR="00EA51B6" w:rsidRPr="00253F80" w:rsidRDefault="00A642CF" w:rsidP="00EA51B6">
      <w:pPr>
        <w:pStyle w:val="Bullet1"/>
        <w:rPr>
          <w:b/>
          <w:bCs/>
        </w:rPr>
      </w:pPr>
      <w:r w:rsidRPr="00C27278">
        <w:rPr>
          <w:b/>
        </w:rPr>
        <w:t>Matrix</w:t>
      </w:r>
      <w:r w:rsidR="00EA51B6" w:rsidRPr="00253F80">
        <w:rPr>
          <w:b/>
          <w:bCs/>
        </w:rPr>
        <w:t xml:space="preserve"> 2: Directional change </w:t>
      </w:r>
      <w:r w:rsidR="00F57259" w:rsidRPr="00C27278">
        <w:rPr>
          <w:b/>
        </w:rPr>
        <w:t>ratings</w:t>
      </w:r>
      <w:r w:rsidR="00CB7525" w:rsidRPr="00C27278">
        <w:rPr>
          <w:b/>
          <w:bCs/>
        </w:rPr>
        <w:t>.</w:t>
      </w:r>
      <w:r w:rsidR="00EA51B6">
        <w:rPr>
          <w:b/>
          <w:bCs/>
        </w:rPr>
        <w:t xml:space="preserve"> </w:t>
      </w:r>
      <w:r w:rsidR="00EA51B6">
        <w:t xml:space="preserve">Used to assess directional change against measures such as the sexual harassment occurrence and reporting rates, perceptions of fairness in recruitment, </w:t>
      </w:r>
      <w:r w:rsidR="00FF43DC">
        <w:t xml:space="preserve">and </w:t>
      </w:r>
      <w:r w:rsidR="00EA51B6">
        <w:t>promotion rates</w:t>
      </w:r>
      <w:r w:rsidR="00FF43DC">
        <w:t>.</w:t>
      </w:r>
      <w:r w:rsidR="00EA51B6">
        <w:t xml:space="preserve"> </w:t>
      </w:r>
    </w:p>
    <w:p w14:paraId="043C0F98" w14:textId="7D0F3462" w:rsidR="00EA51B6" w:rsidRPr="00253F80" w:rsidRDefault="00A642CF" w:rsidP="00EA51B6">
      <w:pPr>
        <w:pStyle w:val="Bullet1"/>
        <w:rPr>
          <w:b/>
          <w:bCs/>
        </w:rPr>
      </w:pPr>
      <w:r w:rsidRPr="00C27278">
        <w:rPr>
          <w:b/>
        </w:rPr>
        <w:t>Matrix</w:t>
      </w:r>
      <w:r w:rsidR="00EA51B6" w:rsidRPr="00253F80">
        <w:rPr>
          <w:b/>
          <w:bCs/>
        </w:rPr>
        <w:t xml:space="preserve"> 3: Gender gap </w:t>
      </w:r>
      <w:r w:rsidR="00F57259" w:rsidRPr="00C27278">
        <w:rPr>
          <w:b/>
        </w:rPr>
        <w:t>ratings</w:t>
      </w:r>
      <w:r w:rsidR="00312FED" w:rsidRPr="00C27278">
        <w:rPr>
          <w:b/>
          <w:bCs/>
        </w:rPr>
        <w:t>.</w:t>
      </w:r>
      <w:r w:rsidR="00EA51B6">
        <w:rPr>
          <w:b/>
          <w:bCs/>
        </w:rPr>
        <w:t xml:space="preserve"> </w:t>
      </w:r>
      <w:r w:rsidR="00EA51B6" w:rsidRPr="004F7B4F">
        <w:t>Used to assess whether gender gaps are narrowing or widening.</w:t>
      </w:r>
      <w:r w:rsidR="00EA51B6">
        <w:rPr>
          <w:b/>
          <w:bCs/>
        </w:rPr>
        <w:t xml:space="preserve"> </w:t>
      </w:r>
    </w:p>
    <w:p w14:paraId="5C75EA2A" w14:textId="4F1FD72C" w:rsidR="00EB12A6" w:rsidRPr="00253F80" w:rsidRDefault="00E8458A" w:rsidP="00351CAF">
      <w:pPr>
        <w:pStyle w:val="Bodyafterbullets"/>
        <w:rPr>
          <w:b/>
          <w:bCs/>
        </w:rPr>
      </w:pPr>
      <w:r w:rsidRPr="00C27278">
        <w:rPr>
          <w:lang w:eastAsia="en-AU"/>
        </w:rPr>
        <w:t>Each</w:t>
      </w:r>
      <w:r w:rsidR="00CE18D7" w:rsidRPr="00C27278">
        <w:rPr>
          <w:lang w:eastAsia="en-AU"/>
        </w:rPr>
        <w:t xml:space="preserve"> </w:t>
      </w:r>
      <w:r w:rsidR="00EA51B6" w:rsidRPr="00C27278">
        <w:rPr>
          <w:lang w:eastAsia="en-AU"/>
        </w:rPr>
        <w:t xml:space="preserve">type of </w:t>
      </w:r>
      <w:r w:rsidR="00CE18D7" w:rsidRPr="00C27278">
        <w:rPr>
          <w:lang w:eastAsia="en-AU"/>
        </w:rPr>
        <w:t>matrix</w:t>
      </w:r>
      <w:r w:rsidRPr="00C27278">
        <w:rPr>
          <w:lang w:eastAsia="en-AU"/>
        </w:rPr>
        <w:t xml:space="preserve"> was designed</w:t>
      </w:r>
      <w:r w:rsidR="00CE18D7" w:rsidRPr="00C27278">
        <w:rPr>
          <w:lang w:eastAsia="en-AU"/>
        </w:rPr>
        <w:t xml:space="preserve"> to rate both the </w:t>
      </w:r>
      <w:r w:rsidR="00C73090" w:rsidRPr="00C27278">
        <w:rPr>
          <w:lang w:eastAsia="en-AU"/>
        </w:rPr>
        <w:t>movement (the degree</w:t>
      </w:r>
      <w:r w:rsidR="00CE18D7" w:rsidRPr="00C27278">
        <w:rPr>
          <w:lang w:eastAsia="en-AU"/>
        </w:rPr>
        <w:t xml:space="preserve"> of change over time</w:t>
      </w:r>
      <w:r w:rsidR="00C73090" w:rsidRPr="00C27278">
        <w:rPr>
          <w:lang w:eastAsia="en-AU"/>
        </w:rPr>
        <w:t xml:space="preserve">, </w:t>
      </w:r>
      <w:r w:rsidR="005E0736">
        <w:rPr>
          <w:lang w:eastAsia="en-AU"/>
        </w:rPr>
        <w:t>or</w:t>
      </w:r>
      <w:r w:rsidR="00CE18D7">
        <w:rPr>
          <w:lang w:eastAsia="en-AU"/>
        </w:rPr>
        <w:t xml:space="preserve"> how far an industry or the sector has moved </w:t>
      </w:r>
      <w:r w:rsidR="001E2799">
        <w:rPr>
          <w:lang w:eastAsia="en-AU"/>
        </w:rPr>
        <w:t>towards or away from gender equality</w:t>
      </w:r>
      <w:r w:rsidR="00CE18D7">
        <w:rPr>
          <w:lang w:eastAsia="en-AU"/>
        </w:rPr>
        <w:t xml:space="preserve">) </w:t>
      </w:r>
      <w:r w:rsidR="00CE18D7" w:rsidRPr="00C27278">
        <w:rPr>
          <w:lang w:eastAsia="en-AU"/>
        </w:rPr>
        <w:t xml:space="preserve">and the </w:t>
      </w:r>
      <w:r w:rsidR="00C73090" w:rsidRPr="00C27278">
        <w:rPr>
          <w:lang w:eastAsia="en-AU"/>
        </w:rPr>
        <w:t xml:space="preserve">overall performance (the </w:t>
      </w:r>
      <w:r w:rsidR="00CE18D7" w:rsidRPr="00C27278">
        <w:rPr>
          <w:lang w:eastAsia="en-AU"/>
        </w:rPr>
        <w:t>final landing position</w:t>
      </w:r>
      <w:r w:rsidR="004129FD" w:rsidRPr="00C27278">
        <w:rPr>
          <w:lang w:eastAsia="en-AU"/>
        </w:rPr>
        <w:t xml:space="preserve"> in 2025</w:t>
      </w:r>
      <w:r w:rsidR="00C73090" w:rsidRPr="00C27278">
        <w:rPr>
          <w:lang w:eastAsia="en-AU"/>
        </w:rPr>
        <w:t>)</w:t>
      </w:r>
      <w:r w:rsidR="00CE18D7" w:rsidRPr="00C27278">
        <w:rPr>
          <w:lang w:eastAsia="en-AU"/>
        </w:rPr>
        <w:t xml:space="preserve">. </w:t>
      </w:r>
    </w:p>
    <w:p w14:paraId="67D9B83D" w14:textId="781C42D6" w:rsidR="00253F80" w:rsidRDefault="007A6EF4" w:rsidP="00876356">
      <w:pPr>
        <w:pStyle w:val="BodyText"/>
      </w:pPr>
      <w:r>
        <w:t xml:space="preserve">The matrices calculate the degree of change over </w:t>
      </w:r>
      <w:r w:rsidR="00CF509E">
        <w:t>each</w:t>
      </w:r>
      <w:r>
        <w:t xml:space="preserve"> 2-year reporting period. </w:t>
      </w:r>
      <w:r w:rsidR="001D67C6">
        <w:t xml:space="preserve">This means that the </w:t>
      </w:r>
      <w:r w:rsidR="00202A75">
        <w:t xml:space="preserve">4-year </w:t>
      </w:r>
      <w:r w:rsidR="005660C2">
        <w:t xml:space="preserve">percentage point change presented in </w:t>
      </w:r>
      <w:r w:rsidR="00202A75">
        <w:t>the Tables</w:t>
      </w:r>
      <w:r w:rsidR="005660C2">
        <w:t xml:space="preserve"> </w:t>
      </w:r>
      <w:r w:rsidR="00822FE4">
        <w:t xml:space="preserve">in the report </w:t>
      </w:r>
      <w:r w:rsidR="005660C2">
        <w:t>is divided by 2</w:t>
      </w:r>
      <w:r w:rsidR="00D071B0">
        <w:t xml:space="preserve"> before being entered into the matrix. </w:t>
      </w:r>
    </w:p>
    <w:p w14:paraId="7085FBBB" w14:textId="72FFCF47" w:rsidR="00CF509E" w:rsidRDefault="00BC71F5" w:rsidP="00876356">
      <w:pPr>
        <w:pStyle w:val="BodyText"/>
      </w:pPr>
      <w:r>
        <w:t>Below, each</w:t>
      </w:r>
      <w:r w:rsidR="00675CE0">
        <w:t xml:space="preserve"> matrix </w:t>
      </w:r>
      <w:r w:rsidR="00AA2FC0">
        <w:t xml:space="preserve">cell </w:t>
      </w:r>
      <w:r w:rsidR="008E130A">
        <w:t>provide</w:t>
      </w:r>
      <w:r>
        <w:t>s</w:t>
      </w:r>
      <w:r w:rsidR="003A0398">
        <w:t xml:space="preserve"> further</w:t>
      </w:r>
      <w:r w:rsidR="008E130A">
        <w:t xml:space="preserve"> information </w:t>
      </w:r>
      <w:r w:rsidR="003139EC">
        <w:t>about how to interpret progress</w:t>
      </w:r>
      <w:r>
        <w:t xml:space="preserve"> scores. Each cell includes:</w:t>
      </w:r>
    </w:p>
    <w:p w14:paraId="44DD83D4" w14:textId="3A47BEC9" w:rsidR="008E130A" w:rsidRDefault="008E130A" w:rsidP="008E130A">
      <w:pPr>
        <w:pStyle w:val="Bullet1"/>
      </w:pPr>
      <w:r w:rsidRPr="00B14BBA">
        <w:t>The overall assessment</w:t>
      </w:r>
      <w:r>
        <w:t xml:space="preserve"> (Excellent </w:t>
      </w:r>
      <w:r w:rsidR="005C6EA9">
        <w:t>–</w:t>
      </w:r>
      <w:r>
        <w:t xml:space="preserve"> Moderate</w:t>
      </w:r>
      <w:r w:rsidR="005C6EA9">
        <w:t xml:space="preserve"> – Poor – Very </w:t>
      </w:r>
      <w:r w:rsidR="00FA4570">
        <w:t>p</w:t>
      </w:r>
      <w:r w:rsidR="005C6EA9">
        <w:t xml:space="preserve">oor) </w:t>
      </w:r>
    </w:p>
    <w:p w14:paraId="34E06CB8" w14:textId="0DDE0071" w:rsidR="005C6EA9" w:rsidRDefault="005C6EA9" w:rsidP="008E130A">
      <w:pPr>
        <w:pStyle w:val="Bullet1"/>
      </w:pPr>
      <w:r w:rsidRPr="00B14BBA">
        <w:t xml:space="preserve">The </w:t>
      </w:r>
      <w:r w:rsidR="003A0398" w:rsidRPr="00B14BBA">
        <w:t>movement assessment</w:t>
      </w:r>
      <w:r w:rsidR="00FA4570">
        <w:t xml:space="preserve"> (Substantial progress –</w:t>
      </w:r>
      <w:r w:rsidR="00F57259" w:rsidRPr="00C27278">
        <w:t xml:space="preserve"> </w:t>
      </w:r>
      <w:r w:rsidR="00FA4570">
        <w:t>Good progress –</w:t>
      </w:r>
      <w:r w:rsidR="00ED3B94">
        <w:t xml:space="preserve"> Stable – </w:t>
      </w:r>
      <w:r w:rsidR="00C575E5">
        <w:t>Stagnant – Slight decline – Worsening)</w:t>
      </w:r>
    </w:p>
    <w:p w14:paraId="17AA781B" w14:textId="5ABFD412" w:rsidR="00FA4570" w:rsidRDefault="00FA4570" w:rsidP="008E130A">
      <w:pPr>
        <w:pStyle w:val="Bullet1"/>
      </w:pPr>
      <w:r w:rsidRPr="00B14BBA">
        <w:t>The performance</w:t>
      </w:r>
      <w:r w:rsidR="003A0398" w:rsidRPr="00B14BBA">
        <w:t xml:space="preserve"> </w:t>
      </w:r>
      <w:r w:rsidR="00BC41F4" w:rsidRPr="00B14BBA">
        <w:t>assessment</w:t>
      </w:r>
      <w:r>
        <w:t xml:space="preserve"> (</w:t>
      </w:r>
      <w:r w:rsidR="00C575E5">
        <w:t xml:space="preserve">Equality achieved – </w:t>
      </w:r>
      <w:r w:rsidR="004900E4">
        <w:t xml:space="preserve">Equality maintained – On track – </w:t>
      </w:r>
      <w:r w:rsidR="003A0398">
        <w:t>Not on track)</w:t>
      </w:r>
    </w:p>
    <w:p w14:paraId="32C08A14" w14:textId="08ED938B" w:rsidR="00675CE0" w:rsidRPr="00FA4570" w:rsidRDefault="008E130A" w:rsidP="00253F80">
      <w:pPr>
        <w:pStyle w:val="Bullet1"/>
      </w:pPr>
      <w:r w:rsidRPr="00B14BBA">
        <w:t xml:space="preserve">The numerical </w:t>
      </w:r>
      <w:r w:rsidR="003415F0" w:rsidRPr="00B14BBA">
        <w:t>assessment</w:t>
      </w:r>
      <w:r>
        <w:t xml:space="preserve"> (1</w:t>
      </w:r>
      <w:r w:rsidR="00BC71F5">
        <w:t xml:space="preserve"> – </w:t>
      </w:r>
      <w:r>
        <w:t>20</w:t>
      </w:r>
      <w:r w:rsidRPr="00C27278">
        <w:t>)</w:t>
      </w:r>
      <w:r w:rsidR="00D36253">
        <w:t>.</w:t>
      </w:r>
    </w:p>
    <w:p w14:paraId="17CBDBC1" w14:textId="5F9A8331" w:rsidR="00351CAF" w:rsidRPr="00FA4570" w:rsidRDefault="00E60CD5" w:rsidP="00CE342F">
      <w:pPr>
        <w:pStyle w:val="Figurecaption"/>
      </w:pPr>
      <w:r>
        <w:t xml:space="preserve">Matrix 1 – </w:t>
      </w:r>
      <w:r w:rsidR="00E506A3">
        <w:t>Gender composition</w:t>
      </w:r>
      <w:r>
        <w:t xml:space="preserve"> ratings</w:t>
      </w:r>
    </w:p>
    <w:tbl>
      <w:tblPr>
        <w:tblW w:w="9062" w:type="dxa"/>
        <w:tblLook w:val="04A0" w:firstRow="1" w:lastRow="0" w:firstColumn="1" w:lastColumn="0" w:noHBand="0" w:noVBand="1"/>
      </w:tblPr>
      <w:tblGrid>
        <w:gridCol w:w="693"/>
        <w:gridCol w:w="1480"/>
        <w:gridCol w:w="1722"/>
        <w:gridCol w:w="1722"/>
        <w:gridCol w:w="1722"/>
        <w:gridCol w:w="1723"/>
      </w:tblGrid>
      <w:tr w:rsidR="002467B2" w:rsidRPr="00FE4C30" w14:paraId="64AC19AC" w14:textId="77777777" w:rsidTr="003816C0">
        <w:trPr>
          <w:trHeight w:val="392"/>
        </w:trPr>
        <w:tc>
          <w:tcPr>
            <w:tcW w:w="2173" w:type="dxa"/>
            <w:gridSpan w:val="2"/>
            <w:vMerge w:val="restart"/>
            <w:tcBorders>
              <w:top w:val="single" w:sz="8" w:space="0" w:color="auto"/>
              <w:left w:val="single" w:sz="8" w:space="0" w:color="auto"/>
              <w:bottom w:val="nil"/>
              <w:right w:val="nil"/>
            </w:tcBorders>
            <w:shd w:val="clear" w:color="auto" w:fill="E5DFEC" w:themeFill="accent4" w:themeFillTint="33"/>
            <w:vAlign w:val="center"/>
            <w:hideMark/>
          </w:tcPr>
          <w:p w14:paraId="0B0F2C3D" w14:textId="3E4C058E" w:rsidR="002467B2" w:rsidRPr="00AC3BBC" w:rsidRDefault="00F57259" w:rsidP="00EC3A6E">
            <w:pPr>
              <w:pStyle w:val="Tablecolhead"/>
              <w:jc w:val="center"/>
              <w:rPr>
                <w:szCs w:val="21"/>
                <w:lang w:eastAsia="en-AU"/>
              </w:rPr>
            </w:pPr>
            <w:r w:rsidRPr="00AC3BBC">
              <w:rPr>
                <w:szCs w:val="21"/>
                <w:lang w:eastAsia="en-AU"/>
              </w:rPr>
              <w:t>Matrix</w:t>
            </w:r>
            <w:r w:rsidR="002467B2" w:rsidRPr="00AC3BBC">
              <w:rPr>
                <w:szCs w:val="21"/>
                <w:lang w:eastAsia="en-AU"/>
              </w:rPr>
              <w:t xml:space="preserve"> 1</w:t>
            </w:r>
            <w:r w:rsidR="00CB7525" w:rsidRPr="00AC3BBC">
              <w:rPr>
                <w:szCs w:val="21"/>
                <w:lang w:eastAsia="en-AU"/>
              </w:rPr>
              <w:t xml:space="preserve">: </w:t>
            </w:r>
            <w:r w:rsidR="00E506A3">
              <w:rPr>
                <w:szCs w:val="21"/>
                <w:lang w:eastAsia="en-AU"/>
              </w:rPr>
              <w:t>Gender composition</w:t>
            </w:r>
            <w:r w:rsidR="00CB7525" w:rsidRPr="00AC3BBC">
              <w:rPr>
                <w:szCs w:val="21"/>
                <w:lang w:eastAsia="en-AU"/>
              </w:rPr>
              <w:t xml:space="preserve"> </w:t>
            </w:r>
            <w:r w:rsidRPr="00AC3BBC">
              <w:rPr>
                <w:szCs w:val="21"/>
                <w:lang w:eastAsia="en-AU"/>
              </w:rPr>
              <w:t>ratings</w:t>
            </w:r>
          </w:p>
        </w:tc>
        <w:tc>
          <w:tcPr>
            <w:tcW w:w="6889" w:type="dxa"/>
            <w:gridSpan w:val="4"/>
            <w:tcBorders>
              <w:top w:val="single" w:sz="8" w:space="0" w:color="auto"/>
              <w:left w:val="single" w:sz="8" w:space="0" w:color="auto"/>
              <w:bottom w:val="nil"/>
              <w:right w:val="single" w:sz="8" w:space="0" w:color="000000"/>
            </w:tcBorders>
            <w:noWrap/>
            <w:hideMark/>
          </w:tcPr>
          <w:p w14:paraId="6020C82C" w14:textId="3F7BA1CE" w:rsidR="002467B2" w:rsidRPr="00AC3BBC" w:rsidRDefault="002467B2" w:rsidP="00EC3A6E">
            <w:pPr>
              <w:pStyle w:val="Tablecolhead"/>
              <w:jc w:val="center"/>
              <w:rPr>
                <w:sz w:val="28"/>
                <w:szCs w:val="28"/>
                <w:lang w:eastAsia="en-AU"/>
              </w:rPr>
            </w:pPr>
            <w:r w:rsidRPr="00AC3BBC">
              <w:rPr>
                <w:sz w:val="28"/>
                <w:szCs w:val="28"/>
                <w:lang w:eastAsia="en-AU"/>
              </w:rPr>
              <w:t xml:space="preserve">Performance </w:t>
            </w:r>
            <w:r w:rsidR="003816C0">
              <w:rPr>
                <w:sz w:val="28"/>
                <w:szCs w:val="28"/>
                <w:lang w:eastAsia="en-AU"/>
              </w:rPr>
              <w:t>s</w:t>
            </w:r>
            <w:r w:rsidRPr="00AC3BBC">
              <w:rPr>
                <w:sz w:val="28"/>
                <w:szCs w:val="28"/>
                <w:lang w:eastAsia="en-AU"/>
              </w:rPr>
              <w:t>cale</w:t>
            </w:r>
          </w:p>
        </w:tc>
      </w:tr>
      <w:tr w:rsidR="002467B2" w:rsidRPr="00FE4C30" w14:paraId="4A9F5179" w14:textId="77777777" w:rsidTr="00203922">
        <w:trPr>
          <w:trHeight w:val="896"/>
        </w:trPr>
        <w:tc>
          <w:tcPr>
            <w:tcW w:w="2173" w:type="dxa"/>
            <w:gridSpan w:val="2"/>
            <w:vMerge/>
            <w:tcBorders>
              <w:top w:val="single" w:sz="8" w:space="0" w:color="auto"/>
              <w:left w:val="single" w:sz="8" w:space="0" w:color="auto"/>
              <w:bottom w:val="nil"/>
              <w:right w:val="nil"/>
            </w:tcBorders>
            <w:shd w:val="clear" w:color="auto" w:fill="E5DFEC" w:themeFill="accent4" w:themeFillTint="33"/>
            <w:vAlign w:val="center"/>
            <w:hideMark/>
          </w:tcPr>
          <w:p w14:paraId="3961C595" w14:textId="77777777" w:rsidR="002467B2" w:rsidRPr="00AC3BBC" w:rsidRDefault="002467B2" w:rsidP="00AC3BBC">
            <w:pPr>
              <w:pStyle w:val="Tabletext"/>
              <w:rPr>
                <w:szCs w:val="21"/>
                <w:lang w:eastAsia="en-AU"/>
              </w:rPr>
            </w:pPr>
          </w:p>
        </w:tc>
        <w:tc>
          <w:tcPr>
            <w:tcW w:w="1722" w:type="dxa"/>
            <w:tcBorders>
              <w:top w:val="single" w:sz="8" w:space="0" w:color="auto"/>
              <w:left w:val="single" w:sz="8" w:space="0" w:color="auto"/>
              <w:bottom w:val="single" w:sz="8" w:space="0" w:color="auto"/>
              <w:right w:val="single" w:sz="4" w:space="0" w:color="auto"/>
            </w:tcBorders>
            <w:shd w:val="clear" w:color="000000" w:fill="D0D0D0"/>
            <w:vAlign w:val="center"/>
            <w:hideMark/>
          </w:tcPr>
          <w:p w14:paraId="76E5C6C2" w14:textId="77777777" w:rsidR="002467B2" w:rsidRPr="00AC3BBC" w:rsidRDefault="002467B2" w:rsidP="00203922">
            <w:pPr>
              <w:pStyle w:val="Tabletext"/>
              <w:jc w:val="center"/>
              <w:rPr>
                <w:b/>
                <w:szCs w:val="21"/>
                <w:lang w:eastAsia="en-AU"/>
              </w:rPr>
            </w:pPr>
            <w:r w:rsidRPr="00AC3BBC">
              <w:rPr>
                <w:b/>
                <w:szCs w:val="21"/>
                <w:lang w:eastAsia="en-AU"/>
              </w:rPr>
              <w:t>Within gender-balanced range</w:t>
            </w:r>
            <w:r w:rsidRPr="00AC3BBC">
              <w:rPr>
                <w:b/>
                <w:szCs w:val="21"/>
                <w:lang w:eastAsia="en-AU"/>
              </w:rPr>
              <w:br/>
              <w:t>(Specific to measure)</w:t>
            </w:r>
          </w:p>
        </w:tc>
        <w:tc>
          <w:tcPr>
            <w:tcW w:w="1722" w:type="dxa"/>
            <w:tcBorders>
              <w:top w:val="single" w:sz="8" w:space="0" w:color="auto"/>
              <w:left w:val="nil"/>
              <w:bottom w:val="single" w:sz="8" w:space="0" w:color="auto"/>
              <w:right w:val="single" w:sz="4" w:space="0" w:color="auto"/>
            </w:tcBorders>
            <w:shd w:val="clear" w:color="000000" w:fill="D0D0D0"/>
            <w:vAlign w:val="center"/>
            <w:hideMark/>
          </w:tcPr>
          <w:p w14:paraId="6806F450" w14:textId="77777777" w:rsidR="002467B2" w:rsidRPr="00AC3BBC" w:rsidRDefault="002467B2" w:rsidP="00203922">
            <w:pPr>
              <w:pStyle w:val="Tabletext"/>
              <w:jc w:val="center"/>
              <w:rPr>
                <w:b/>
                <w:szCs w:val="21"/>
                <w:lang w:eastAsia="en-AU"/>
              </w:rPr>
            </w:pPr>
            <w:r w:rsidRPr="00AC3BBC">
              <w:rPr>
                <w:b/>
                <w:szCs w:val="21"/>
                <w:lang w:eastAsia="en-AU"/>
              </w:rPr>
              <w:t>Some distance from gender-balanced range</w:t>
            </w:r>
            <w:r w:rsidRPr="00AC3BBC">
              <w:rPr>
                <w:b/>
                <w:szCs w:val="21"/>
                <w:lang w:eastAsia="en-AU"/>
              </w:rPr>
              <w:br/>
              <w:t>(Specific to measure)</w:t>
            </w:r>
          </w:p>
        </w:tc>
        <w:tc>
          <w:tcPr>
            <w:tcW w:w="1722" w:type="dxa"/>
            <w:tcBorders>
              <w:top w:val="single" w:sz="8" w:space="0" w:color="auto"/>
              <w:left w:val="nil"/>
              <w:bottom w:val="single" w:sz="8" w:space="0" w:color="auto"/>
              <w:right w:val="single" w:sz="4" w:space="0" w:color="auto"/>
            </w:tcBorders>
            <w:shd w:val="clear" w:color="000000" w:fill="D0D0D0"/>
            <w:vAlign w:val="center"/>
            <w:hideMark/>
          </w:tcPr>
          <w:p w14:paraId="6DD79A5E" w14:textId="77777777" w:rsidR="002467B2" w:rsidRPr="00AC3BBC" w:rsidRDefault="002467B2" w:rsidP="00203922">
            <w:pPr>
              <w:pStyle w:val="Tabletext"/>
              <w:jc w:val="center"/>
              <w:rPr>
                <w:b/>
                <w:szCs w:val="21"/>
                <w:lang w:eastAsia="en-AU"/>
              </w:rPr>
            </w:pPr>
            <w:r w:rsidRPr="00AC3BBC">
              <w:rPr>
                <w:b/>
                <w:szCs w:val="21"/>
                <w:lang w:eastAsia="en-AU"/>
              </w:rPr>
              <w:t>Moderate distance from gender-balanced range</w:t>
            </w:r>
            <w:r w:rsidRPr="00AC3BBC">
              <w:rPr>
                <w:b/>
                <w:szCs w:val="21"/>
                <w:lang w:eastAsia="en-AU"/>
              </w:rPr>
              <w:br/>
              <w:t>(Specific to measure)</w:t>
            </w:r>
          </w:p>
        </w:tc>
        <w:tc>
          <w:tcPr>
            <w:tcW w:w="1723" w:type="dxa"/>
            <w:tcBorders>
              <w:top w:val="single" w:sz="8" w:space="0" w:color="auto"/>
              <w:left w:val="nil"/>
              <w:bottom w:val="single" w:sz="8" w:space="0" w:color="auto"/>
              <w:right w:val="single" w:sz="8" w:space="0" w:color="auto"/>
            </w:tcBorders>
            <w:shd w:val="clear" w:color="000000" w:fill="D0D0D0"/>
            <w:vAlign w:val="center"/>
            <w:hideMark/>
          </w:tcPr>
          <w:p w14:paraId="034A0B47" w14:textId="77777777" w:rsidR="002467B2" w:rsidRPr="00AC3BBC" w:rsidRDefault="002467B2" w:rsidP="00203922">
            <w:pPr>
              <w:pStyle w:val="Tabletext"/>
              <w:jc w:val="center"/>
              <w:rPr>
                <w:b/>
                <w:szCs w:val="21"/>
                <w:lang w:eastAsia="en-AU"/>
              </w:rPr>
            </w:pPr>
            <w:r w:rsidRPr="00AC3BBC">
              <w:rPr>
                <w:b/>
                <w:szCs w:val="21"/>
                <w:lang w:eastAsia="en-AU"/>
              </w:rPr>
              <w:t>Large distance from gender-balanced range</w:t>
            </w:r>
            <w:r w:rsidRPr="00AC3BBC">
              <w:rPr>
                <w:b/>
                <w:szCs w:val="21"/>
                <w:lang w:eastAsia="en-AU"/>
              </w:rPr>
              <w:br/>
              <w:t>(Specific to measure)</w:t>
            </w:r>
          </w:p>
        </w:tc>
      </w:tr>
      <w:tr w:rsidR="002467B2" w:rsidRPr="00FE4C30" w14:paraId="62D88D43" w14:textId="77777777" w:rsidTr="00203922">
        <w:trPr>
          <w:trHeight w:val="711"/>
        </w:trPr>
        <w:tc>
          <w:tcPr>
            <w:tcW w:w="693" w:type="dxa"/>
            <w:vMerge w:val="restart"/>
            <w:tcBorders>
              <w:top w:val="single" w:sz="8" w:space="0" w:color="auto"/>
              <w:left w:val="single" w:sz="8" w:space="0" w:color="auto"/>
              <w:bottom w:val="single" w:sz="8" w:space="0" w:color="000000"/>
              <w:right w:val="nil"/>
            </w:tcBorders>
            <w:textDirection w:val="btLr"/>
            <w:vAlign w:val="center"/>
            <w:hideMark/>
          </w:tcPr>
          <w:p w14:paraId="5D056F04" w14:textId="34AB9AFE" w:rsidR="002467B2" w:rsidRPr="00AC3BBC" w:rsidRDefault="00480873" w:rsidP="00AC3BBC">
            <w:pPr>
              <w:pStyle w:val="Tablecolhead"/>
              <w:jc w:val="center"/>
              <w:rPr>
                <w:sz w:val="28"/>
                <w:szCs w:val="28"/>
              </w:rPr>
            </w:pPr>
            <w:r w:rsidRPr="00AC3BBC">
              <w:rPr>
                <w:sz w:val="28"/>
                <w:szCs w:val="28"/>
              </w:rPr>
              <w:t xml:space="preserve">Movement </w:t>
            </w:r>
            <w:r w:rsidR="003816C0">
              <w:rPr>
                <w:sz w:val="28"/>
                <w:szCs w:val="28"/>
              </w:rPr>
              <w:t>s</w:t>
            </w:r>
            <w:r w:rsidR="002467B2" w:rsidRPr="00AC3BBC">
              <w:rPr>
                <w:sz w:val="28"/>
                <w:szCs w:val="28"/>
              </w:rPr>
              <w:t>cale</w:t>
            </w:r>
          </w:p>
        </w:tc>
        <w:tc>
          <w:tcPr>
            <w:tcW w:w="1480" w:type="dxa"/>
            <w:tcBorders>
              <w:top w:val="single" w:sz="8" w:space="0" w:color="auto"/>
              <w:left w:val="single" w:sz="8" w:space="0" w:color="auto"/>
              <w:bottom w:val="single" w:sz="4" w:space="0" w:color="auto"/>
              <w:right w:val="single" w:sz="8" w:space="0" w:color="auto"/>
            </w:tcBorders>
            <w:shd w:val="clear" w:color="000000" w:fill="D0D0D0"/>
            <w:vAlign w:val="center"/>
            <w:hideMark/>
          </w:tcPr>
          <w:p w14:paraId="3480D80D" w14:textId="7E9FCDB4" w:rsidR="002467B2" w:rsidRPr="00AC3BBC" w:rsidRDefault="002467B2" w:rsidP="00203922">
            <w:pPr>
              <w:pStyle w:val="Tabletext"/>
              <w:jc w:val="center"/>
              <w:rPr>
                <w:b/>
                <w:szCs w:val="21"/>
                <w:lang w:eastAsia="en-AU"/>
              </w:rPr>
            </w:pPr>
            <w:r w:rsidRPr="00AC3BBC">
              <w:rPr>
                <w:b/>
                <w:szCs w:val="21"/>
                <w:lang w:eastAsia="en-AU"/>
              </w:rPr>
              <w:t>5</w:t>
            </w:r>
            <w:r w:rsidR="00E8399B">
              <w:rPr>
                <w:b/>
                <w:szCs w:val="21"/>
                <w:lang w:eastAsia="en-AU"/>
              </w:rPr>
              <w:t xml:space="preserve"> percentage</w:t>
            </w:r>
            <w:r w:rsidRPr="00AC3BBC">
              <w:rPr>
                <w:b/>
                <w:szCs w:val="21"/>
                <w:lang w:eastAsia="en-AU"/>
              </w:rPr>
              <w:t xml:space="preserve"> points or more in direction of optimal outcome</w:t>
            </w:r>
          </w:p>
        </w:tc>
        <w:tc>
          <w:tcPr>
            <w:tcW w:w="1722" w:type="dxa"/>
            <w:tcBorders>
              <w:top w:val="nil"/>
              <w:left w:val="nil"/>
              <w:bottom w:val="single" w:sz="4" w:space="0" w:color="auto"/>
              <w:right w:val="single" w:sz="4" w:space="0" w:color="auto"/>
            </w:tcBorders>
            <w:vAlign w:val="center"/>
            <w:hideMark/>
          </w:tcPr>
          <w:p w14:paraId="4DED3E44" w14:textId="77777777" w:rsidR="002467B2" w:rsidRPr="00AC3BBC" w:rsidRDefault="002467B2" w:rsidP="003816C0">
            <w:pPr>
              <w:pStyle w:val="Tabletext"/>
              <w:jc w:val="center"/>
              <w:rPr>
                <w:szCs w:val="21"/>
                <w:lang w:eastAsia="en-AU"/>
              </w:rPr>
            </w:pPr>
            <w:r w:rsidRPr="00AC3BBC">
              <w:rPr>
                <w:b/>
                <w:szCs w:val="21"/>
                <w:lang w:eastAsia="en-AU"/>
              </w:rPr>
              <w:t>Excellent</w:t>
            </w:r>
            <w:r w:rsidRPr="00AC3BBC">
              <w:rPr>
                <w:szCs w:val="21"/>
                <w:lang w:eastAsia="en-AU"/>
              </w:rPr>
              <w:br/>
              <w:t>Substantial progress – Equality achieved (20)</w:t>
            </w:r>
          </w:p>
        </w:tc>
        <w:tc>
          <w:tcPr>
            <w:tcW w:w="1722" w:type="dxa"/>
            <w:tcBorders>
              <w:top w:val="nil"/>
              <w:left w:val="nil"/>
              <w:bottom w:val="single" w:sz="4" w:space="0" w:color="auto"/>
              <w:right w:val="single" w:sz="4" w:space="0" w:color="auto"/>
            </w:tcBorders>
            <w:vAlign w:val="center"/>
            <w:hideMark/>
          </w:tcPr>
          <w:p w14:paraId="217AA4DA" w14:textId="77777777"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Substantial progress – On track (15)</w:t>
            </w:r>
          </w:p>
        </w:tc>
        <w:tc>
          <w:tcPr>
            <w:tcW w:w="1722" w:type="dxa"/>
            <w:tcBorders>
              <w:top w:val="nil"/>
              <w:left w:val="nil"/>
              <w:bottom w:val="single" w:sz="4" w:space="0" w:color="auto"/>
              <w:right w:val="single" w:sz="4" w:space="0" w:color="auto"/>
            </w:tcBorders>
            <w:vAlign w:val="center"/>
            <w:hideMark/>
          </w:tcPr>
          <w:p w14:paraId="7912F31E" w14:textId="77777777"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Substantial progress – On track (14)</w:t>
            </w:r>
          </w:p>
        </w:tc>
        <w:tc>
          <w:tcPr>
            <w:tcW w:w="1723" w:type="dxa"/>
            <w:tcBorders>
              <w:top w:val="nil"/>
              <w:left w:val="nil"/>
              <w:bottom w:val="single" w:sz="4" w:space="0" w:color="auto"/>
              <w:right w:val="single" w:sz="4" w:space="0" w:color="auto"/>
            </w:tcBorders>
            <w:vAlign w:val="center"/>
            <w:hideMark/>
          </w:tcPr>
          <w:p w14:paraId="6705C161" w14:textId="77777777"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 xml:space="preserve">Substantial progress – On </w:t>
            </w:r>
            <w:r w:rsidRPr="00AC3BBC">
              <w:rPr>
                <w:szCs w:val="21"/>
              </w:rPr>
              <w:t>track</w:t>
            </w:r>
            <w:r w:rsidRPr="00AC3BBC">
              <w:rPr>
                <w:szCs w:val="21"/>
                <w:lang w:eastAsia="en-AU"/>
              </w:rPr>
              <w:t xml:space="preserve"> (13)</w:t>
            </w:r>
          </w:p>
        </w:tc>
      </w:tr>
      <w:tr w:rsidR="002467B2" w:rsidRPr="00FE4C30" w14:paraId="1DFFBD84" w14:textId="77777777" w:rsidTr="00203922">
        <w:trPr>
          <w:trHeight w:val="711"/>
        </w:trPr>
        <w:tc>
          <w:tcPr>
            <w:tcW w:w="693" w:type="dxa"/>
            <w:vMerge/>
            <w:tcBorders>
              <w:top w:val="single" w:sz="8" w:space="0" w:color="auto"/>
              <w:left w:val="single" w:sz="8" w:space="0" w:color="auto"/>
              <w:bottom w:val="single" w:sz="8" w:space="0" w:color="000000"/>
              <w:right w:val="nil"/>
            </w:tcBorders>
            <w:vAlign w:val="center"/>
            <w:hideMark/>
          </w:tcPr>
          <w:p w14:paraId="28B03A2E" w14:textId="77777777" w:rsidR="002467B2" w:rsidRPr="00AC3BBC" w:rsidRDefault="002467B2" w:rsidP="00AC3BBC">
            <w:pPr>
              <w:pStyle w:val="Tabletext"/>
              <w:rPr>
                <w:szCs w:val="21"/>
                <w:lang w:eastAsia="en-AU"/>
              </w:rPr>
            </w:pPr>
          </w:p>
        </w:tc>
        <w:tc>
          <w:tcPr>
            <w:tcW w:w="1480" w:type="dxa"/>
            <w:tcBorders>
              <w:top w:val="nil"/>
              <w:left w:val="single" w:sz="8" w:space="0" w:color="auto"/>
              <w:bottom w:val="single" w:sz="4" w:space="0" w:color="auto"/>
              <w:right w:val="single" w:sz="8" w:space="0" w:color="auto"/>
            </w:tcBorders>
            <w:shd w:val="clear" w:color="000000" w:fill="D0D0D0"/>
            <w:vAlign w:val="center"/>
            <w:hideMark/>
          </w:tcPr>
          <w:p w14:paraId="0BB4AD56" w14:textId="5673E2E9" w:rsidR="002467B2" w:rsidRPr="00AC3BBC" w:rsidRDefault="002467B2" w:rsidP="00203922">
            <w:pPr>
              <w:pStyle w:val="Tabletext"/>
              <w:jc w:val="center"/>
              <w:rPr>
                <w:b/>
                <w:szCs w:val="21"/>
                <w:lang w:eastAsia="en-AU"/>
              </w:rPr>
            </w:pPr>
            <w:r w:rsidRPr="00AC3BBC">
              <w:rPr>
                <w:b/>
                <w:szCs w:val="21"/>
                <w:lang w:eastAsia="en-AU"/>
              </w:rPr>
              <w:t xml:space="preserve">Between 2 </w:t>
            </w:r>
            <w:r w:rsidR="009C0417">
              <w:rPr>
                <w:b/>
                <w:szCs w:val="21"/>
                <w:lang w:eastAsia="en-AU"/>
              </w:rPr>
              <w:t>and</w:t>
            </w:r>
            <w:r w:rsidRPr="00AC3BBC">
              <w:rPr>
                <w:b/>
                <w:szCs w:val="21"/>
                <w:lang w:eastAsia="en-AU"/>
              </w:rPr>
              <w:t xml:space="preserve"> 5 </w:t>
            </w:r>
            <w:r w:rsidR="00E8399B">
              <w:rPr>
                <w:b/>
                <w:szCs w:val="21"/>
                <w:lang w:eastAsia="en-AU"/>
              </w:rPr>
              <w:t>percentage</w:t>
            </w:r>
            <w:r w:rsidRPr="00AC3BBC">
              <w:rPr>
                <w:b/>
                <w:szCs w:val="21"/>
                <w:lang w:eastAsia="en-AU"/>
              </w:rPr>
              <w:t xml:space="preserve"> points in direction of optimal outcome</w:t>
            </w:r>
          </w:p>
        </w:tc>
        <w:tc>
          <w:tcPr>
            <w:tcW w:w="1722" w:type="dxa"/>
            <w:tcBorders>
              <w:top w:val="nil"/>
              <w:left w:val="nil"/>
              <w:bottom w:val="single" w:sz="4" w:space="0" w:color="auto"/>
              <w:right w:val="single" w:sz="4" w:space="0" w:color="auto"/>
            </w:tcBorders>
            <w:vAlign w:val="center"/>
            <w:hideMark/>
          </w:tcPr>
          <w:p w14:paraId="2D6A7FAE" w14:textId="77777777" w:rsidR="002467B2" w:rsidRPr="00AC3BBC" w:rsidRDefault="002467B2" w:rsidP="003816C0">
            <w:pPr>
              <w:pStyle w:val="Tabletext"/>
              <w:jc w:val="center"/>
              <w:rPr>
                <w:szCs w:val="21"/>
                <w:lang w:eastAsia="en-AU"/>
              </w:rPr>
            </w:pPr>
            <w:r w:rsidRPr="00AC3BBC">
              <w:rPr>
                <w:b/>
                <w:szCs w:val="21"/>
                <w:lang w:eastAsia="en-AU"/>
              </w:rPr>
              <w:t>Excellent</w:t>
            </w:r>
            <w:r w:rsidRPr="00AC3BBC">
              <w:rPr>
                <w:szCs w:val="21"/>
                <w:lang w:eastAsia="en-AU"/>
              </w:rPr>
              <w:br/>
              <w:t>Good progress – Equality achieved (19)</w:t>
            </w:r>
          </w:p>
        </w:tc>
        <w:tc>
          <w:tcPr>
            <w:tcW w:w="1722" w:type="dxa"/>
            <w:tcBorders>
              <w:top w:val="nil"/>
              <w:left w:val="nil"/>
              <w:bottom w:val="single" w:sz="4" w:space="0" w:color="auto"/>
              <w:right w:val="single" w:sz="4" w:space="0" w:color="auto"/>
            </w:tcBorders>
            <w:vAlign w:val="center"/>
            <w:hideMark/>
          </w:tcPr>
          <w:p w14:paraId="69B0FBF8" w14:textId="77777777"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Good progress – On track (12)</w:t>
            </w:r>
          </w:p>
        </w:tc>
        <w:tc>
          <w:tcPr>
            <w:tcW w:w="1722" w:type="dxa"/>
            <w:tcBorders>
              <w:top w:val="nil"/>
              <w:left w:val="nil"/>
              <w:bottom w:val="single" w:sz="4" w:space="0" w:color="auto"/>
              <w:right w:val="single" w:sz="4" w:space="0" w:color="auto"/>
            </w:tcBorders>
            <w:vAlign w:val="center"/>
            <w:hideMark/>
          </w:tcPr>
          <w:p w14:paraId="45BF370E" w14:textId="77777777"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Good progress – On track (11)</w:t>
            </w:r>
          </w:p>
        </w:tc>
        <w:tc>
          <w:tcPr>
            <w:tcW w:w="1723" w:type="dxa"/>
            <w:tcBorders>
              <w:top w:val="nil"/>
              <w:left w:val="nil"/>
              <w:bottom w:val="single" w:sz="4" w:space="0" w:color="auto"/>
              <w:right w:val="single" w:sz="4" w:space="0" w:color="auto"/>
            </w:tcBorders>
            <w:vAlign w:val="center"/>
            <w:hideMark/>
          </w:tcPr>
          <w:p w14:paraId="53AFE562" w14:textId="77777777"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Good progress – On track (10)</w:t>
            </w:r>
          </w:p>
        </w:tc>
      </w:tr>
      <w:tr w:rsidR="002467B2" w:rsidRPr="00FE4C30" w14:paraId="1EB7B843" w14:textId="77777777" w:rsidTr="00203922">
        <w:trPr>
          <w:trHeight w:val="711"/>
        </w:trPr>
        <w:tc>
          <w:tcPr>
            <w:tcW w:w="693" w:type="dxa"/>
            <w:vMerge/>
            <w:tcBorders>
              <w:top w:val="single" w:sz="8" w:space="0" w:color="auto"/>
              <w:left w:val="single" w:sz="8" w:space="0" w:color="auto"/>
              <w:bottom w:val="single" w:sz="8" w:space="0" w:color="000000"/>
              <w:right w:val="nil"/>
            </w:tcBorders>
            <w:vAlign w:val="center"/>
            <w:hideMark/>
          </w:tcPr>
          <w:p w14:paraId="77162D6B" w14:textId="77777777" w:rsidR="002467B2" w:rsidRPr="00AC3BBC" w:rsidRDefault="002467B2" w:rsidP="00AC3BBC">
            <w:pPr>
              <w:pStyle w:val="Tabletext"/>
              <w:rPr>
                <w:szCs w:val="21"/>
                <w:lang w:eastAsia="en-AU"/>
              </w:rPr>
            </w:pPr>
          </w:p>
        </w:tc>
        <w:tc>
          <w:tcPr>
            <w:tcW w:w="1480" w:type="dxa"/>
            <w:tcBorders>
              <w:top w:val="nil"/>
              <w:left w:val="single" w:sz="8" w:space="0" w:color="auto"/>
              <w:bottom w:val="single" w:sz="4" w:space="0" w:color="auto"/>
              <w:right w:val="single" w:sz="8" w:space="0" w:color="auto"/>
            </w:tcBorders>
            <w:shd w:val="clear" w:color="000000" w:fill="D0D0D0"/>
            <w:vAlign w:val="center"/>
            <w:hideMark/>
          </w:tcPr>
          <w:p w14:paraId="28D9521E" w14:textId="5446FB61" w:rsidR="002467B2" w:rsidRPr="00AC3BBC" w:rsidRDefault="002467B2" w:rsidP="00203922">
            <w:pPr>
              <w:pStyle w:val="Tabletext"/>
              <w:jc w:val="center"/>
              <w:rPr>
                <w:b/>
                <w:szCs w:val="21"/>
                <w:lang w:eastAsia="en-AU"/>
              </w:rPr>
            </w:pPr>
            <w:r w:rsidRPr="00AC3BBC">
              <w:rPr>
                <w:b/>
                <w:szCs w:val="21"/>
                <w:lang w:eastAsia="en-AU"/>
              </w:rPr>
              <w:t xml:space="preserve">Less than 2 </w:t>
            </w:r>
            <w:r w:rsidR="009A58AE">
              <w:rPr>
                <w:b/>
                <w:szCs w:val="21"/>
                <w:lang w:eastAsia="en-AU"/>
              </w:rPr>
              <w:t>percentage</w:t>
            </w:r>
            <w:r w:rsidRPr="00AC3BBC">
              <w:rPr>
                <w:b/>
                <w:szCs w:val="21"/>
                <w:lang w:eastAsia="en-AU"/>
              </w:rPr>
              <w:t xml:space="preserve"> points in either direction of optimal outcome</w:t>
            </w:r>
          </w:p>
        </w:tc>
        <w:tc>
          <w:tcPr>
            <w:tcW w:w="1722" w:type="dxa"/>
            <w:tcBorders>
              <w:top w:val="nil"/>
              <w:left w:val="nil"/>
              <w:bottom w:val="single" w:sz="4" w:space="0" w:color="auto"/>
              <w:right w:val="single" w:sz="4" w:space="0" w:color="auto"/>
            </w:tcBorders>
            <w:vAlign w:val="center"/>
            <w:hideMark/>
          </w:tcPr>
          <w:p w14:paraId="34300046" w14:textId="37EE5710" w:rsidR="002467B2" w:rsidRPr="00AC3BBC" w:rsidRDefault="002467B2" w:rsidP="003816C0">
            <w:pPr>
              <w:pStyle w:val="Tabletext"/>
              <w:jc w:val="center"/>
              <w:rPr>
                <w:szCs w:val="21"/>
                <w:lang w:eastAsia="en-AU"/>
              </w:rPr>
            </w:pPr>
            <w:r w:rsidRPr="00AC3BBC">
              <w:rPr>
                <w:b/>
                <w:szCs w:val="21"/>
                <w:lang w:eastAsia="en-AU"/>
              </w:rPr>
              <w:t>Excellent</w:t>
            </w:r>
            <w:r w:rsidRPr="00AC3BBC">
              <w:rPr>
                <w:szCs w:val="21"/>
                <w:lang w:eastAsia="en-AU"/>
              </w:rPr>
              <w:br/>
              <w:t>Stable - Equality maintained (18)</w:t>
            </w:r>
          </w:p>
        </w:tc>
        <w:tc>
          <w:tcPr>
            <w:tcW w:w="1722" w:type="dxa"/>
            <w:tcBorders>
              <w:top w:val="nil"/>
              <w:left w:val="nil"/>
              <w:bottom w:val="single" w:sz="4" w:space="0" w:color="auto"/>
              <w:right w:val="single" w:sz="4" w:space="0" w:color="auto"/>
            </w:tcBorders>
            <w:vAlign w:val="center"/>
            <w:hideMark/>
          </w:tcPr>
          <w:p w14:paraId="308739D3" w14:textId="050F1A4A" w:rsidR="002467B2" w:rsidRPr="00AC3BBC" w:rsidRDefault="002467B2" w:rsidP="003816C0">
            <w:pPr>
              <w:pStyle w:val="Tabletext"/>
              <w:jc w:val="center"/>
              <w:rPr>
                <w:szCs w:val="21"/>
                <w:lang w:eastAsia="en-AU"/>
              </w:rPr>
            </w:pPr>
            <w:r w:rsidRPr="00AC3BBC">
              <w:rPr>
                <w:b/>
                <w:szCs w:val="21"/>
                <w:lang w:eastAsia="en-AU"/>
              </w:rPr>
              <w:t>Moderate</w:t>
            </w:r>
            <w:r w:rsidRPr="00AC3BBC">
              <w:rPr>
                <w:szCs w:val="21"/>
                <w:lang w:eastAsia="en-AU"/>
              </w:rPr>
              <w:br/>
              <w:t>Stable (9)</w:t>
            </w:r>
          </w:p>
        </w:tc>
        <w:tc>
          <w:tcPr>
            <w:tcW w:w="1722" w:type="dxa"/>
            <w:tcBorders>
              <w:top w:val="nil"/>
              <w:left w:val="nil"/>
              <w:bottom w:val="single" w:sz="4" w:space="0" w:color="auto"/>
              <w:right w:val="single" w:sz="4" w:space="0" w:color="auto"/>
            </w:tcBorders>
            <w:vAlign w:val="center"/>
            <w:hideMark/>
          </w:tcPr>
          <w:p w14:paraId="4EC21690" w14:textId="4D8EC766" w:rsidR="002467B2" w:rsidRPr="00AC3BBC" w:rsidRDefault="002467B2" w:rsidP="003816C0">
            <w:pPr>
              <w:pStyle w:val="Tabletext"/>
              <w:jc w:val="center"/>
              <w:rPr>
                <w:szCs w:val="21"/>
                <w:lang w:eastAsia="en-AU"/>
              </w:rPr>
            </w:pPr>
            <w:r w:rsidRPr="00AC3BBC">
              <w:rPr>
                <w:b/>
                <w:szCs w:val="21"/>
                <w:lang w:eastAsia="en-AU"/>
              </w:rPr>
              <w:t>Poor</w:t>
            </w:r>
            <w:r w:rsidRPr="00AC3BBC">
              <w:rPr>
                <w:szCs w:val="21"/>
                <w:lang w:eastAsia="en-AU"/>
              </w:rPr>
              <w:br/>
              <w:t>Stagnant – Not on track (8)</w:t>
            </w:r>
          </w:p>
        </w:tc>
        <w:tc>
          <w:tcPr>
            <w:tcW w:w="1723" w:type="dxa"/>
            <w:tcBorders>
              <w:top w:val="nil"/>
              <w:left w:val="nil"/>
              <w:bottom w:val="single" w:sz="4" w:space="0" w:color="auto"/>
              <w:right w:val="single" w:sz="4" w:space="0" w:color="auto"/>
            </w:tcBorders>
            <w:vAlign w:val="center"/>
            <w:hideMark/>
          </w:tcPr>
          <w:p w14:paraId="06E87406" w14:textId="79846294" w:rsidR="002467B2" w:rsidRPr="00AC3BBC" w:rsidRDefault="002467B2" w:rsidP="003816C0">
            <w:pPr>
              <w:pStyle w:val="Tabletext"/>
              <w:jc w:val="center"/>
              <w:rPr>
                <w:szCs w:val="21"/>
                <w:lang w:eastAsia="en-AU"/>
              </w:rPr>
            </w:pPr>
            <w:r w:rsidRPr="00AC3BBC">
              <w:rPr>
                <w:b/>
                <w:szCs w:val="21"/>
                <w:lang w:eastAsia="en-AU"/>
              </w:rPr>
              <w:t>Poor</w:t>
            </w:r>
            <w:r w:rsidRPr="00AC3BBC">
              <w:rPr>
                <w:szCs w:val="21"/>
                <w:lang w:eastAsia="en-AU"/>
              </w:rPr>
              <w:t xml:space="preserve"> </w:t>
            </w:r>
            <w:r w:rsidRPr="00AC3BBC">
              <w:rPr>
                <w:szCs w:val="21"/>
                <w:lang w:eastAsia="en-AU"/>
              </w:rPr>
              <w:br/>
              <w:t xml:space="preserve"> Stagnant – Not on track (7)</w:t>
            </w:r>
          </w:p>
        </w:tc>
      </w:tr>
      <w:tr w:rsidR="002467B2" w:rsidRPr="00FE4C30" w14:paraId="6B1E975E" w14:textId="77777777" w:rsidTr="00203922">
        <w:trPr>
          <w:trHeight w:val="711"/>
        </w:trPr>
        <w:tc>
          <w:tcPr>
            <w:tcW w:w="693" w:type="dxa"/>
            <w:vMerge/>
            <w:tcBorders>
              <w:top w:val="single" w:sz="8" w:space="0" w:color="auto"/>
              <w:left w:val="single" w:sz="8" w:space="0" w:color="auto"/>
              <w:bottom w:val="single" w:sz="8" w:space="0" w:color="000000"/>
              <w:right w:val="nil"/>
            </w:tcBorders>
            <w:vAlign w:val="center"/>
            <w:hideMark/>
          </w:tcPr>
          <w:p w14:paraId="0924B105" w14:textId="77777777" w:rsidR="002467B2" w:rsidRPr="00AC3BBC" w:rsidRDefault="002467B2" w:rsidP="00AC3BBC">
            <w:pPr>
              <w:pStyle w:val="Tabletext"/>
              <w:rPr>
                <w:szCs w:val="21"/>
                <w:lang w:eastAsia="en-AU"/>
              </w:rPr>
            </w:pPr>
          </w:p>
        </w:tc>
        <w:tc>
          <w:tcPr>
            <w:tcW w:w="1480" w:type="dxa"/>
            <w:tcBorders>
              <w:top w:val="nil"/>
              <w:left w:val="single" w:sz="8" w:space="0" w:color="auto"/>
              <w:bottom w:val="single" w:sz="4" w:space="0" w:color="auto"/>
              <w:right w:val="single" w:sz="8" w:space="0" w:color="auto"/>
            </w:tcBorders>
            <w:shd w:val="clear" w:color="000000" w:fill="D0D0D0"/>
            <w:vAlign w:val="center"/>
            <w:hideMark/>
          </w:tcPr>
          <w:p w14:paraId="5FA7B5A7" w14:textId="4838FB9C" w:rsidR="002467B2" w:rsidRPr="00AC3BBC" w:rsidRDefault="002467B2" w:rsidP="00203922">
            <w:pPr>
              <w:pStyle w:val="Tabletext"/>
              <w:jc w:val="center"/>
              <w:rPr>
                <w:b/>
                <w:szCs w:val="21"/>
                <w:lang w:eastAsia="en-AU"/>
              </w:rPr>
            </w:pPr>
            <w:r w:rsidRPr="00AC3BBC">
              <w:rPr>
                <w:b/>
                <w:szCs w:val="21"/>
                <w:lang w:eastAsia="en-AU"/>
              </w:rPr>
              <w:t xml:space="preserve">Between 2 </w:t>
            </w:r>
            <w:r w:rsidR="009C0417">
              <w:rPr>
                <w:b/>
                <w:szCs w:val="21"/>
                <w:lang w:eastAsia="en-AU"/>
              </w:rPr>
              <w:t>and</w:t>
            </w:r>
            <w:r w:rsidRPr="00AC3BBC">
              <w:rPr>
                <w:b/>
                <w:szCs w:val="21"/>
                <w:lang w:eastAsia="en-AU"/>
              </w:rPr>
              <w:t xml:space="preserve"> 5 </w:t>
            </w:r>
            <w:r w:rsidR="009A58AE">
              <w:rPr>
                <w:b/>
                <w:szCs w:val="21"/>
                <w:lang w:eastAsia="en-AU"/>
              </w:rPr>
              <w:t>percentage</w:t>
            </w:r>
            <w:r w:rsidRPr="00AC3BBC">
              <w:rPr>
                <w:b/>
                <w:szCs w:val="21"/>
                <w:lang w:eastAsia="en-AU"/>
              </w:rPr>
              <w:t xml:space="preserve"> points away from optimal outcome</w:t>
            </w:r>
          </w:p>
        </w:tc>
        <w:tc>
          <w:tcPr>
            <w:tcW w:w="1722" w:type="dxa"/>
            <w:tcBorders>
              <w:top w:val="nil"/>
              <w:left w:val="nil"/>
              <w:bottom w:val="single" w:sz="4" w:space="0" w:color="auto"/>
              <w:right w:val="single" w:sz="4" w:space="0" w:color="auto"/>
            </w:tcBorders>
            <w:vAlign w:val="center"/>
            <w:hideMark/>
          </w:tcPr>
          <w:p w14:paraId="702B1845" w14:textId="230D4CA4" w:rsidR="002467B2" w:rsidRPr="00AC3BBC" w:rsidRDefault="002467B2" w:rsidP="003816C0">
            <w:pPr>
              <w:pStyle w:val="Tabletext"/>
              <w:jc w:val="center"/>
              <w:rPr>
                <w:szCs w:val="21"/>
                <w:lang w:eastAsia="en-AU"/>
              </w:rPr>
            </w:pPr>
            <w:r w:rsidRPr="00AC3BBC">
              <w:rPr>
                <w:b/>
                <w:szCs w:val="21"/>
                <w:lang w:eastAsia="en-AU"/>
              </w:rPr>
              <w:t>Excellent</w:t>
            </w:r>
            <w:r w:rsidRPr="00AC3BBC">
              <w:rPr>
                <w:szCs w:val="21"/>
                <w:lang w:eastAsia="en-AU"/>
              </w:rPr>
              <w:br/>
              <w:t>Slight decline - Equality maintained (17)</w:t>
            </w:r>
          </w:p>
        </w:tc>
        <w:tc>
          <w:tcPr>
            <w:tcW w:w="1722" w:type="dxa"/>
            <w:tcBorders>
              <w:top w:val="nil"/>
              <w:left w:val="nil"/>
              <w:bottom w:val="single" w:sz="4" w:space="0" w:color="auto"/>
              <w:right w:val="single" w:sz="4" w:space="0" w:color="auto"/>
            </w:tcBorders>
            <w:vAlign w:val="center"/>
            <w:hideMark/>
          </w:tcPr>
          <w:p w14:paraId="404F0288" w14:textId="50420419" w:rsidR="002467B2" w:rsidRPr="00AC3BBC" w:rsidRDefault="002467B2" w:rsidP="003816C0">
            <w:pPr>
              <w:pStyle w:val="Tabletext"/>
              <w:jc w:val="center"/>
              <w:rPr>
                <w:szCs w:val="21"/>
                <w:lang w:eastAsia="en-AU"/>
              </w:rPr>
            </w:pPr>
            <w:r w:rsidRPr="00AC3BBC">
              <w:rPr>
                <w:b/>
                <w:szCs w:val="21"/>
                <w:lang w:eastAsia="en-AU"/>
              </w:rPr>
              <w:t>Poor</w:t>
            </w:r>
            <w:r w:rsidRPr="00AC3BBC">
              <w:rPr>
                <w:szCs w:val="21"/>
                <w:lang w:eastAsia="en-AU"/>
              </w:rPr>
              <w:br/>
              <w:t>Slight Decline - Not on track (6)</w:t>
            </w:r>
          </w:p>
        </w:tc>
        <w:tc>
          <w:tcPr>
            <w:tcW w:w="1722" w:type="dxa"/>
            <w:tcBorders>
              <w:top w:val="nil"/>
              <w:left w:val="nil"/>
              <w:bottom w:val="single" w:sz="4" w:space="0" w:color="auto"/>
              <w:right w:val="single" w:sz="4" w:space="0" w:color="auto"/>
            </w:tcBorders>
            <w:vAlign w:val="center"/>
            <w:hideMark/>
          </w:tcPr>
          <w:p w14:paraId="3220F1CD" w14:textId="095CDA54" w:rsidR="002467B2" w:rsidRPr="00AC3BBC" w:rsidRDefault="002467B2" w:rsidP="003816C0">
            <w:pPr>
              <w:pStyle w:val="Tabletext"/>
              <w:jc w:val="center"/>
              <w:rPr>
                <w:szCs w:val="21"/>
                <w:lang w:eastAsia="en-AU"/>
              </w:rPr>
            </w:pPr>
            <w:r w:rsidRPr="00AC3BBC">
              <w:rPr>
                <w:b/>
                <w:szCs w:val="21"/>
                <w:lang w:eastAsia="en-AU"/>
              </w:rPr>
              <w:t>Poor</w:t>
            </w:r>
            <w:r w:rsidRPr="00AC3BBC">
              <w:rPr>
                <w:szCs w:val="21"/>
                <w:lang w:eastAsia="en-AU"/>
              </w:rPr>
              <w:br/>
              <w:t>Slight Decline- Not on track (5)</w:t>
            </w:r>
          </w:p>
        </w:tc>
        <w:tc>
          <w:tcPr>
            <w:tcW w:w="1723" w:type="dxa"/>
            <w:tcBorders>
              <w:top w:val="nil"/>
              <w:left w:val="nil"/>
              <w:bottom w:val="single" w:sz="4" w:space="0" w:color="auto"/>
              <w:right w:val="single" w:sz="4" w:space="0" w:color="auto"/>
            </w:tcBorders>
            <w:vAlign w:val="center"/>
            <w:hideMark/>
          </w:tcPr>
          <w:p w14:paraId="34E90982" w14:textId="4A308AFA" w:rsidR="002467B2" w:rsidRPr="00AC3BBC" w:rsidRDefault="002467B2" w:rsidP="003816C0">
            <w:pPr>
              <w:pStyle w:val="Tabletext"/>
              <w:jc w:val="center"/>
              <w:rPr>
                <w:szCs w:val="21"/>
                <w:lang w:eastAsia="en-AU"/>
              </w:rPr>
            </w:pPr>
            <w:r w:rsidRPr="00AC3BBC">
              <w:rPr>
                <w:b/>
                <w:szCs w:val="21"/>
                <w:lang w:eastAsia="en-AU"/>
              </w:rPr>
              <w:t>Very poor</w:t>
            </w:r>
            <w:r w:rsidRPr="00AC3BBC">
              <w:rPr>
                <w:szCs w:val="21"/>
                <w:lang w:eastAsia="en-AU"/>
              </w:rPr>
              <w:t xml:space="preserve"> </w:t>
            </w:r>
            <w:r w:rsidRPr="00AC3BBC">
              <w:rPr>
                <w:szCs w:val="21"/>
                <w:lang w:eastAsia="en-AU"/>
              </w:rPr>
              <w:br/>
              <w:t>Slight Decline – Not on track (4)</w:t>
            </w:r>
          </w:p>
        </w:tc>
      </w:tr>
      <w:tr w:rsidR="002467B2" w:rsidRPr="00FE4C30" w14:paraId="59164461" w14:textId="77777777" w:rsidTr="00203922">
        <w:trPr>
          <w:trHeight w:val="711"/>
        </w:trPr>
        <w:tc>
          <w:tcPr>
            <w:tcW w:w="693" w:type="dxa"/>
            <w:vMerge/>
            <w:tcBorders>
              <w:top w:val="single" w:sz="8" w:space="0" w:color="auto"/>
              <w:left w:val="single" w:sz="8" w:space="0" w:color="auto"/>
              <w:bottom w:val="single" w:sz="8" w:space="0" w:color="000000"/>
              <w:right w:val="nil"/>
            </w:tcBorders>
            <w:vAlign w:val="center"/>
            <w:hideMark/>
          </w:tcPr>
          <w:p w14:paraId="0FA1D482" w14:textId="77777777" w:rsidR="002467B2" w:rsidRPr="00AC3BBC" w:rsidRDefault="002467B2" w:rsidP="00AC3BBC">
            <w:pPr>
              <w:pStyle w:val="Tabletext"/>
              <w:rPr>
                <w:szCs w:val="21"/>
                <w:lang w:eastAsia="en-AU"/>
              </w:rPr>
            </w:pPr>
          </w:p>
        </w:tc>
        <w:tc>
          <w:tcPr>
            <w:tcW w:w="1480" w:type="dxa"/>
            <w:tcBorders>
              <w:top w:val="nil"/>
              <w:left w:val="single" w:sz="8" w:space="0" w:color="auto"/>
              <w:bottom w:val="single" w:sz="8" w:space="0" w:color="auto"/>
              <w:right w:val="single" w:sz="8" w:space="0" w:color="auto"/>
            </w:tcBorders>
            <w:shd w:val="clear" w:color="000000" w:fill="D0D0D0"/>
            <w:vAlign w:val="center"/>
            <w:hideMark/>
          </w:tcPr>
          <w:p w14:paraId="4E622D4F" w14:textId="75062F49" w:rsidR="002467B2" w:rsidRPr="00AC3BBC" w:rsidRDefault="002467B2" w:rsidP="00203922">
            <w:pPr>
              <w:pStyle w:val="Tabletext"/>
              <w:jc w:val="center"/>
              <w:rPr>
                <w:b/>
                <w:szCs w:val="21"/>
                <w:lang w:eastAsia="en-AU"/>
              </w:rPr>
            </w:pPr>
            <w:r w:rsidRPr="00AC3BBC">
              <w:rPr>
                <w:b/>
                <w:szCs w:val="21"/>
                <w:lang w:eastAsia="en-AU"/>
              </w:rPr>
              <w:t>5</w:t>
            </w:r>
            <w:r w:rsidR="009A58AE">
              <w:rPr>
                <w:b/>
                <w:szCs w:val="21"/>
                <w:lang w:eastAsia="en-AU"/>
              </w:rPr>
              <w:t xml:space="preserve"> percentage</w:t>
            </w:r>
            <w:r w:rsidRPr="00AC3BBC">
              <w:rPr>
                <w:b/>
                <w:szCs w:val="21"/>
                <w:lang w:eastAsia="en-AU"/>
              </w:rPr>
              <w:t xml:space="preserve"> points or more away from optimal outcome</w:t>
            </w:r>
          </w:p>
        </w:tc>
        <w:tc>
          <w:tcPr>
            <w:tcW w:w="1722" w:type="dxa"/>
            <w:tcBorders>
              <w:top w:val="nil"/>
              <w:left w:val="nil"/>
              <w:bottom w:val="single" w:sz="4" w:space="0" w:color="auto"/>
              <w:right w:val="single" w:sz="4" w:space="0" w:color="auto"/>
            </w:tcBorders>
            <w:vAlign w:val="center"/>
            <w:hideMark/>
          </w:tcPr>
          <w:p w14:paraId="2770FE60" w14:textId="0FA408BA" w:rsidR="002467B2" w:rsidRPr="00AC3BBC" w:rsidRDefault="002467B2" w:rsidP="003816C0">
            <w:pPr>
              <w:pStyle w:val="Tabletext"/>
              <w:jc w:val="center"/>
              <w:rPr>
                <w:szCs w:val="21"/>
                <w:lang w:eastAsia="en-AU"/>
              </w:rPr>
            </w:pPr>
            <w:r w:rsidRPr="00AC3BBC">
              <w:rPr>
                <w:b/>
                <w:szCs w:val="21"/>
                <w:lang w:eastAsia="en-AU"/>
              </w:rPr>
              <w:t>Excellent</w:t>
            </w:r>
            <w:r w:rsidRPr="00AC3BBC">
              <w:rPr>
                <w:szCs w:val="21"/>
                <w:lang w:eastAsia="en-AU"/>
              </w:rPr>
              <w:br/>
              <w:t>Worsening - Equality maintained (16)</w:t>
            </w:r>
          </w:p>
        </w:tc>
        <w:tc>
          <w:tcPr>
            <w:tcW w:w="1722" w:type="dxa"/>
            <w:tcBorders>
              <w:top w:val="nil"/>
              <w:left w:val="nil"/>
              <w:bottom w:val="single" w:sz="4" w:space="0" w:color="auto"/>
              <w:right w:val="single" w:sz="4" w:space="0" w:color="auto"/>
            </w:tcBorders>
            <w:vAlign w:val="center"/>
            <w:hideMark/>
          </w:tcPr>
          <w:p w14:paraId="34DB7813" w14:textId="00F52771" w:rsidR="002467B2" w:rsidRPr="00AC3BBC" w:rsidRDefault="002467B2" w:rsidP="003816C0">
            <w:pPr>
              <w:pStyle w:val="Tabletext"/>
              <w:jc w:val="center"/>
              <w:rPr>
                <w:szCs w:val="21"/>
                <w:lang w:eastAsia="en-AU"/>
              </w:rPr>
            </w:pPr>
            <w:r w:rsidRPr="00AC3BBC">
              <w:rPr>
                <w:b/>
                <w:szCs w:val="21"/>
                <w:lang w:eastAsia="en-AU"/>
              </w:rPr>
              <w:t>Very poor</w:t>
            </w:r>
            <w:r w:rsidRPr="00AC3BBC">
              <w:rPr>
                <w:szCs w:val="21"/>
                <w:lang w:eastAsia="en-AU"/>
              </w:rPr>
              <w:br/>
              <w:t>Worsening – Not on track (3)</w:t>
            </w:r>
          </w:p>
        </w:tc>
        <w:tc>
          <w:tcPr>
            <w:tcW w:w="1722" w:type="dxa"/>
            <w:tcBorders>
              <w:top w:val="nil"/>
              <w:left w:val="nil"/>
              <w:bottom w:val="single" w:sz="4" w:space="0" w:color="auto"/>
              <w:right w:val="single" w:sz="4" w:space="0" w:color="auto"/>
            </w:tcBorders>
            <w:vAlign w:val="center"/>
            <w:hideMark/>
          </w:tcPr>
          <w:p w14:paraId="629A4A84" w14:textId="57F6C01D" w:rsidR="002467B2" w:rsidRPr="00AC3BBC" w:rsidRDefault="002467B2" w:rsidP="003816C0">
            <w:pPr>
              <w:pStyle w:val="Tabletext"/>
              <w:jc w:val="center"/>
              <w:rPr>
                <w:szCs w:val="21"/>
                <w:lang w:eastAsia="en-AU"/>
              </w:rPr>
            </w:pPr>
            <w:r w:rsidRPr="00AC3BBC">
              <w:rPr>
                <w:b/>
                <w:szCs w:val="21"/>
                <w:lang w:eastAsia="en-AU"/>
              </w:rPr>
              <w:t>Very poor</w:t>
            </w:r>
            <w:r w:rsidRPr="00AC3BBC">
              <w:rPr>
                <w:szCs w:val="21"/>
                <w:lang w:eastAsia="en-AU"/>
              </w:rPr>
              <w:br/>
              <w:t>Worsening – Not on track (2)</w:t>
            </w:r>
          </w:p>
        </w:tc>
        <w:tc>
          <w:tcPr>
            <w:tcW w:w="1723" w:type="dxa"/>
            <w:tcBorders>
              <w:top w:val="nil"/>
              <w:left w:val="nil"/>
              <w:bottom w:val="single" w:sz="4" w:space="0" w:color="auto"/>
              <w:right w:val="single" w:sz="4" w:space="0" w:color="auto"/>
            </w:tcBorders>
            <w:vAlign w:val="center"/>
            <w:hideMark/>
          </w:tcPr>
          <w:p w14:paraId="54298D15" w14:textId="3034FCDE" w:rsidR="002467B2" w:rsidRPr="00AC3BBC" w:rsidRDefault="002467B2" w:rsidP="003816C0">
            <w:pPr>
              <w:pStyle w:val="Tabletext"/>
              <w:jc w:val="center"/>
              <w:rPr>
                <w:szCs w:val="21"/>
                <w:lang w:eastAsia="en-AU"/>
              </w:rPr>
            </w:pPr>
            <w:r w:rsidRPr="00AC3BBC">
              <w:rPr>
                <w:b/>
                <w:szCs w:val="21"/>
                <w:lang w:eastAsia="en-AU"/>
              </w:rPr>
              <w:t>Very poor</w:t>
            </w:r>
            <w:r w:rsidRPr="00AC3BBC">
              <w:rPr>
                <w:szCs w:val="21"/>
                <w:lang w:eastAsia="en-AU"/>
              </w:rPr>
              <w:br/>
              <w:t xml:space="preserve"> Worsening - Not on track (1)</w:t>
            </w:r>
          </w:p>
        </w:tc>
      </w:tr>
    </w:tbl>
    <w:p w14:paraId="17659D3D" w14:textId="77777777" w:rsidR="007B1399" w:rsidRDefault="007B1399">
      <w:pPr>
        <w:spacing w:after="0" w:line="240" w:lineRule="auto"/>
        <w:rPr>
          <w:rFonts w:eastAsia="Times" w:cs="Arial"/>
          <w:lang w:eastAsia="en-AU"/>
        </w:rPr>
      </w:pPr>
      <w:r>
        <w:rPr>
          <w:rFonts w:cs="Arial"/>
          <w:lang w:eastAsia="en-AU"/>
        </w:rPr>
        <w:br w:type="page"/>
      </w:r>
    </w:p>
    <w:p w14:paraId="427D24D6" w14:textId="0580F10F" w:rsidR="002467B2" w:rsidRPr="00C27278" w:rsidRDefault="00E60CD5" w:rsidP="007B1399">
      <w:pPr>
        <w:pStyle w:val="Figurecaption"/>
        <w:rPr>
          <w:lang w:eastAsia="en-AU"/>
        </w:rPr>
      </w:pPr>
      <w:r>
        <w:t>Matrix 2 – Directional change ratings</w:t>
      </w:r>
    </w:p>
    <w:tbl>
      <w:tblPr>
        <w:tblW w:w="0" w:type="auto"/>
        <w:tblLook w:val="04A0" w:firstRow="1" w:lastRow="0" w:firstColumn="1" w:lastColumn="0" w:noHBand="0" w:noVBand="1"/>
      </w:tblPr>
      <w:tblGrid>
        <w:gridCol w:w="693"/>
        <w:gridCol w:w="2129"/>
        <w:gridCol w:w="1698"/>
        <w:gridCol w:w="1580"/>
        <w:gridCol w:w="1598"/>
        <w:gridCol w:w="1580"/>
      </w:tblGrid>
      <w:tr w:rsidR="00164A8B" w:rsidRPr="00FE4C30" w14:paraId="30B8CFDD" w14:textId="77777777" w:rsidTr="00086B03">
        <w:trPr>
          <w:trHeight w:val="585"/>
        </w:trPr>
        <w:tc>
          <w:tcPr>
            <w:tcW w:w="0" w:type="auto"/>
            <w:gridSpan w:val="2"/>
            <w:vMerge w:val="restart"/>
            <w:tcBorders>
              <w:top w:val="single" w:sz="8" w:space="0" w:color="auto"/>
              <w:left w:val="single" w:sz="8" w:space="0" w:color="auto"/>
              <w:bottom w:val="nil"/>
              <w:right w:val="nil"/>
            </w:tcBorders>
            <w:shd w:val="clear" w:color="auto" w:fill="A6E0E4"/>
            <w:vAlign w:val="center"/>
            <w:hideMark/>
          </w:tcPr>
          <w:p w14:paraId="18BAA9CB" w14:textId="7B6F505C" w:rsidR="00164A8B" w:rsidRPr="00FE4C30" w:rsidRDefault="00F57259" w:rsidP="00867580">
            <w:pPr>
              <w:pStyle w:val="Tablecolhead"/>
              <w:jc w:val="center"/>
              <w:rPr>
                <w:rFonts w:cs="Arial"/>
                <w:color w:val="000000"/>
                <w:sz w:val="24"/>
                <w:szCs w:val="24"/>
                <w:lang w:eastAsia="en-AU"/>
              </w:rPr>
            </w:pPr>
            <w:r w:rsidRPr="00867580">
              <w:rPr>
                <w:szCs w:val="21"/>
                <w:lang w:eastAsia="en-AU"/>
              </w:rPr>
              <w:t>Matrix</w:t>
            </w:r>
            <w:r w:rsidR="00164A8B" w:rsidRPr="00867580">
              <w:rPr>
                <w:szCs w:val="21"/>
                <w:lang w:eastAsia="en-AU"/>
              </w:rPr>
              <w:t xml:space="preserve"> 2</w:t>
            </w:r>
            <w:r w:rsidR="00C05924" w:rsidRPr="00867580">
              <w:rPr>
                <w:szCs w:val="21"/>
                <w:lang w:eastAsia="en-AU"/>
              </w:rPr>
              <w:t xml:space="preserve">: Directional change </w:t>
            </w:r>
            <w:r w:rsidRPr="00867580">
              <w:rPr>
                <w:szCs w:val="21"/>
                <w:lang w:eastAsia="en-AU"/>
              </w:rPr>
              <w:t>ratings</w:t>
            </w:r>
            <w:r w:rsidR="00C05924">
              <w:rPr>
                <w:rFonts w:cs="Arial"/>
                <w:b w:val="0"/>
                <w:color w:val="000000"/>
                <w:sz w:val="24"/>
                <w:szCs w:val="24"/>
                <w:lang w:eastAsia="en-AU"/>
              </w:rPr>
              <w:t xml:space="preserve"> </w:t>
            </w:r>
          </w:p>
        </w:tc>
        <w:tc>
          <w:tcPr>
            <w:tcW w:w="0" w:type="auto"/>
            <w:gridSpan w:val="4"/>
            <w:tcBorders>
              <w:top w:val="single" w:sz="8" w:space="0" w:color="auto"/>
              <w:left w:val="single" w:sz="8" w:space="0" w:color="auto"/>
              <w:bottom w:val="nil"/>
              <w:right w:val="single" w:sz="8" w:space="0" w:color="000000"/>
            </w:tcBorders>
            <w:noWrap/>
            <w:vAlign w:val="center"/>
            <w:hideMark/>
          </w:tcPr>
          <w:p w14:paraId="4C108485" w14:textId="77777777" w:rsidR="00164A8B" w:rsidRPr="00867580" w:rsidRDefault="00164A8B" w:rsidP="00867580">
            <w:pPr>
              <w:pStyle w:val="Tablecolhead"/>
              <w:jc w:val="center"/>
              <w:rPr>
                <w:sz w:val="28"/>
                <w:szCs w:val="28"/>
                <w:lang w:eastAsia="en-AU"/>
              </w:rPr>
            </w:pPr>
            <w:r w:rsidRPr="00867580">
              <w:rPr>
                <w:sz w:val="28"/>
                <w:szCs w:val="28"/>
                <w:lang w:eastAsia="en-AU"/>
              </w:rPr>
              <w:t>Performance Scale</w:t>
            </w:r>
          </w:p>
        </w:tc>
      </w:tr>
      <w:tr w:rsidR="00164A8B" w:rsidRPr="00FE4C30" w14:paraId="08209A8A" w14:textId="77777777" w:rsidTr="00086B03">
        <w:trPr>
          <w:trHeight w:val="1279"/>
        </w:trPr>
        <w:tc>
          <w:tcPr>
            <w:tcW w:w="0" w:type="auto"/>
            <w:gridSpan w:val="2"/>
            <w:vMerge/>
            <w:tcBorders>
              <w:top w:val="single" w:sz="8" w:space="0" w:color="auto"/>
              <w:left w:val="single" w:sz="8" w:space="0" w:color="auto"/>
              <w:bottom w:val="nil"/>
              <w:right w:val="nil"/>
            </w:tcBorders>
            <w:shd w:val="clear" w:color="auto" w:fill="A6E0E4"/>
            <w:vAlign w:val="center"/>
            <w:hideMark/>
          </w:tcPr>
          <w:p w14:paraId="3D0B1A31" w14:textId="77777777" w:rsidR="00164A8B" w:rsidRPr="00FE4C30" w:rsidRDefault="00164A8B" w:rsidP="00164A8B">
            <w:pPr>
              <w:spacing w:after="0" w:line="240" w:lineRule="auto"/>
              <w:rPr>
                <w:rFonts w:cs="Arial"/>
                <w:color w:val="000000"/>
                <w:sz w:val="24"/>
                <w:szCs w:val="24"/>
                <w:lang w:eastAsia="en-AU"/>
              </w:rPr>
            </w:pPr>
          </w:p>
        </w:tc>
        <w:tc>
          <w:tcPr>
            <w:tcW w:w="0" w:type="auto"/>
            <w:tcBorders>
              <w:top w:val="single" w:sz="8" w:space="0" w:color="auto"/>
              <w:left w:val="single" w:sz="8" w:space="0" w:color="auto"/>
              <w:bottom w:val="single" w:sz="8" w:space="0" w:color="auto"/>
              <w:right w:val="single" w:sz="4" w:space="0" w:color="auto"/>
            </w:tcBorders>
            <w:shd w:val="clear" w:color="000000" w:fill="D0D0D0"/>
            <w:vAlign w:val="center"/>
            <w:hideMark/>
          </w:tcPr>
          <w:p w14:paraId="6DF89986" w14:textId="14789F7C" w:rsidR="00164A8B" w:rsidRPr="00553C15" w:rsidRDefault="00164A8B" w:rsidP="00164A8B">
            <w:pPr>
              <w:spacing w:after="0" w:line="240" w:lineRule="auto"/>
              <w:jc w:val="center"/>
              <w:rPr>
                <w:b/>
                <w:szCs w:val="21"/>
                <w:lang w:eastAsia="en-AU"/>
              </w:rPr>
            </w:pPr>
            <w:r w:rsidRPr="00553C15">
              <w:rPr>
                <w:b/>
                <w:szCs w:val="21"/>
                <w:lang w:eastAsia="en-AU"/>
              </w:rPr>
              <w:t xml:space="preserve">Within </w:t>
            </w:r>
            <w:r w:rsidR="00D42166" w:rsidRPr="00553C15">
              <w:rPr>
                <w:b/>
                <w:szCs w:val="21"/>
                <w:lang w:eastAsia="en-AU"/>
              </w:rPr>
              <w:t>small</w:t>
            </w:r>
            <w:r w:rsidRPr="00553C15">
              <w:rPr>
                <w:b/>
                <w:szCs w:val="21"/>
                <w:lang w:eastAsia="en-AU"/>
              </w:rPr>
              <w:t xml:space="preserve"> range of ideal value</w:t>
            </w:r>
            <w:r w:rsidRPr="00553C15">
              <w:rPr>
                <w:b/>
                <w:szCs w:val="21"/>
                <w:lang w:eastAsia="en-AU"/>
              </w:rPr>
              <w:br/>
              <w:t>(+/- 3%)</w:t>
            </w:r>
          </w:p>
        </w:tc>
        <w:tc>
          <w:tcPr>
            <w:tcW w:w="0" w:type="auto"/>
            <w:tcBorders>
              <w:top w:val="single" w:sz="8" w:space="0" w:color="auto"/>
              <w:left w:val="nil"/>
              <w:bottom w:val="single" w:sz="8" w:space="0" w:color="auto"/>
              <w:right w:val="single" w:sz="4" w:space="0" w:color="auto"/>
            </w:tcBorders>
            <w:shd w:val="clear" w:color="000000" w:fill="D0D0D0"/>
            <w:vAlign w:val="center"/>
            <w:hideMark/>
          </w:tcPr>
          <w:p w14:paraId="75268DB5" w14:textId="5BDAD259" w:rsidR="00164A8B" w:rsidRPr="00553C15" w:rsidRDefault="00164A8B" w:rsidP="00164A8B">
            <w:pPr>
              <w:spacing w:after="0" w:line="240" w:lineRule="auto"/>
              <w:jc w:val="center"/>
              <w:rPr>
                <w:b/>
                <w:szCs w:val="21"/>
                <w:lang w:eastAsia="en-AU"/>
              </w:rPr>
            </w:pPr>
            <w:r w:rsidRPr="00553C15">
              <w:rPr>
                <w:b/>
                <w:szCs w:val="21"/>
                <w:lang w:eastAsia="en-AU"/>
              </w:rPr>
              <w:t>Some distance from ideal value</w:t>
            </w:r>
            <w:r w:rsidRPr="00553C15">
              <w:rPr>
                <w:b/>
                <w:szCs w:val="21"/>
                <w:lang w:eastAsia="en-AU"/>
              </w:rPr>
              <w:br/>
              <w:t xml:space="preserve">+/- </w:t>
            </w:r>
            <w:r w:rsidR="00E724CA" w:rsidRPr="00553C15">
              <w:rPr>
                <w:b/>
                <w:szCs w:val="21"/>
                <w:lang w:eastAsia="en-AU"/>
              </w:rPr>
              <w:t>(&gt;</w:t>
            </w:r>
            <w:r w:rsidRPr="00553C15">
              <w:rPr>
                <w:b/>
                <w:szCs w:val="21"/>
                <w:lang w:eastAsia="en-AU"/>
              </w:rPr>
              <w:t>3% to 10%)</w:t>
            </w:r>
          </w:p>
        </w:tc>
        <w:tc>
          <w:tcPr>
            <w:tcW w:w="0" w:type="auto"/>
            <w:tcBorders>
              <w:top w:val="single" w:sz="8" w:space="0" w:color="auto"/>
              <w:left w:val="nil"/>
              <w:bottom w:val="single" w:sz="8" w:space="0" w:color="auto"/>
              <w:right w:val="single" w:sz="4" w:space="0" w:color="auto"/>
            </w:tcBorders>
            <w:shd w:val="clear" w:color="000000" w:fill="D0D0D0"/>
            <w:vAlign w:val="center"/>
            <w:hideMark/>
          </w:tcPr>
          <w:p w14:paraId="63174579" w14:textId="74C47D04" w:rsidR="00164A8B" w:rsidRPr="00553C15" w:rsidRDefault="00164A8B" w:rsidP="00164A8B">
            <w:pPr>
              <w:spacing w:after="0" w:line="240" w:lineRule="auto"/>
              <w:jc w:val="center"/>
              <w:rPr>
                <w:b/>
                <w:szCs w:val="21"/>
                <w:lang w:eastAsia="en-AU"/>
              </w:rPr>
            </w:pPr>
            <w:r w:rsidRPr="00553C15">
              <w:rPr>
                <w:b/>
                <w:szCs w:val="21"/>
                <w:lang w:eastAsia="en-AU"/>
              </w:rPr>
              <w:t>Moderate distance from ideal value</w:t>
            </w:r>
            <w:r w:rsidRPr="00553C15">
              <w:rPr>
                <w:b/>
                <w:szCs w:val="21"/>
                <w:lang w:eastAsia="en-AU"/>
              </w:rPr>
              <w:br/>
              <w:t xml:space="preserve">+/- </w:t>
            </w:r>
            <w:r w:rsidR="00E724CA" w:rsidRPr="00553C15">
              <w:rPr>
                <w:b/>
                <w:szCs w:val="21"/>
                <w:lang w:eastAsia="en-AU"/>
              </w:rPr>
              <w:t>(&gt;</w:t>
            </w:r>
            <w:r w:rsidRPr="00553C15">
              <w:rPr>
                <w:b/>
                <w:szCs w:val="21"/>
                <w:lang w:eastAsia="en-AU"/>
              </w:rPr>
              <w:t>10% to 20%)</w:t>
            </w:r>
          </w:p>
        </w:tc>
        <w:tc>
          <w:tcPr>
            <w:tcW w:w="0" w:type="auto"/>
            <w:tcBorders>
              <w:top w:val="single" w:sz="8" w:space="0" w:color="auto"/>
              <w:left w:val="nil"/>
              <w:bottom w:val="single" w:sz="8" w:space="0" w:color="auto"/>
              <w:right w:val="single" w:sz="8" w:space="0" w:color="auto"/>
            </w:tcBorders>
            <w:shd w:val="clear" w:color="000000" w:fill="D0D0D0"/>
            <w:vAlign w:val="center"/>
            <w:hideMark/>
          </w:tcPr>
          <w:p w14:paraId="0ED12261" w14:textId="30FCF6BE" w:rsidR="00164A8B" w:rsidRPr="00553C15" w:rsidRDefault="00164A8B" w:rsidP="00164A8B">
            <w:pPr>
              <w:spacing w:after="0" w:line="240" w:lineRule="auto"/>
              <w:jc w:val="center"/>
              <w:rPr>
                <w:b/>
                <w:szCs w:val="21"/>
                <w:lang w:eastAsia="en-AU"/>
              </w:rPr>
            </w:pPr>
            <w:r w:rsidRPr="00553C15">
              <w:rPr>
                <w:b/>
                <w:szCs w:val="21"/>
                <w:lang w:eastAsia="en-AU"/>
              </w:rPr>
              <w:t>Large distance from ideal value</w:t>
            </w:r>
            <w:r w:rsidRPr="00553C15">
              <w:rPr>
                <w:b/>
                <w:szCs w:val="21"/>
                <w:lang w:eastAsia="en-AU"/>
              </w:rPr>
              <w:br/>
              <w:t xml:space="preserve">+/- </w:t>
            </w:r>
            <w:r w:rsidR="00E724CA" w:rsidRPr="00553C15">
              <w:rPr>
                <w:b/>
                <w:szCs w:val="21"/>
                <w:lang w:eastAsia="en-AU"/>
              </w:rPr>
              <w:t>(&gt;</w:t>
            </w:r>
            <w:r w:rsidRPr="00553C15">
              <w:rPr>
                <w:b/>
                <w:szCs w:val="21"/>
                <w:lang w:eastAsia="en-AU"/>
              </w:rPr>
              <w:t>20%)</w:t>
            </w:r>
          </w:p>
        </w:tc>
      </w:tr>
      <w:tr w:rsidR="00EC2E54" w:rsidRPr="00FE4C30" w14:paraId="31BE767F" w14:textId="77777777" w:rsidTr="00B2081E">
        <w:trPr>
          <w:trHeight w:val="970"/>
        </w:trPr>
        <w:tc>
          <w:tcPr>
            <w:tcW w:w="0" w:type="auto"/>
            <w:vMerge w:val="restart"/>
            <w:tcBorders>
              <w:top w:val="single" w:sz="8" w:space="0" w:color="auto"/>
              <w:left w:val="single" w:sz="8" w:space="0" w:color="auto"/>
              <w:bottom w:val="single" w:sz="8" w:space="0" w:color="000000"/>
              <w:right w:val="nil"/>
            </w:tcBorders>
            <w:textDirection w:val="btLr"/>
            <w:vAlign w:val="center"/>
            <w:hideMark/>
          </w:tcPr>
          <w:p w14:paraId="65D5558E" w14:textId="77777777" w:rsidR="00EC2E54" w:rsidRPr="00FE4C30" w:rsidRDefault="00EC2E54" w:rsidP="00553C15">
            <w:pPr>
              <w:pStyle w:val="Tablecolhead"/>
              <w:jc w:val="center"/>
              <w:rPr>
                <w:rFonts w:cs="Arial"/>
                <w:color w:val="000000"/>
                <w:sz w:val="44"/>
                <w:szCs w:val="44"/>
                <w:lang w:eastAsia="en-AU"/>
              </w:rPr>
            </w:pPr>
            <w:r w:rsidRPr="00553C15">
              <w:rPr>
                <w:sz w:val="28"/>
                <w:szCs w:val="28"/>
                <w:lang w:eastAsia="en-AU"/>
              </w:rPr>
              <w:t>Movement Scale</w:t>
            </w:r>
          </w:p>
        </w:tc>
        <w:tc>
          <w:tcPr>
            <w:tcW w:w="0" w:type="auto"/>
            <w:tcBorders>
              <w:top w:val="single" w:sz="8" w:space="0" w:color="auto"/>
              <w:left w:val="single" w:sz="8" w:space="0" w:color="auto"/>
              <w:bottom w:val="single" w:sz="4" w:space="0" w:color="auto"/>
              <w:right w:val="single" w:sz="8" w:space="0" w:color="auto"/>
            </w:tcBorders>
            <w:shd w:val="clear" w:color="000000" w:fill="D0D0D0"/>
            <w:vAlign w:val="center"/>
            <w:hideMark/>
          </w:tcPr>
          <w:p w14:paraId="444015FB" w14:textId="77596901" w:rsidR="00EC2E54" w:rsidRPr="00553C15" w:rsidRDefault="00EC2E54" w:rsidP="00EC2E54">
            <w:pPr>
              <w:spacing w:after="0" w:line="240" w:lineRule="auto"/>
              <w:jc w:val="center"/>
              <w:rPr>
                <w:b/>
                <w:szCs w:val="21"/>
                <w:lang w:eastAsia="en-AU"/>
              </w:rPr>
            </w:pPr>
            <w:r w:rsidRPr="00553C15">
              <w:rPr>
                <w:b/>
                <w:szCs w:val="21"/>
                <w:lang w:eastAsia="en-AU"/>
              </w:rPr>
              <w:t>5</w:t>
            </w:r>
            <w:r w:rsidR="00F87D78">
              <w:rPr>
                <w:b/>
                <w:szCs w:val="21"/>
                <w:lang w:eastAsia="en-AU"/>
              </w:rPr>
              <w:t xml:space="preserve"> percentage</w:t>
            </w:r>
            <w:r w:rsidRPr="00553C15">
              <w:rPr>
                <w:b/>
                <w:szCs w:val="21"/>
                <w:lang w:eastAsia="en-AU"/>
              </w:rPr>
              <w:t xml:space="preserve"> points or more in direction of optimal outcome</w:t>
            </w:r>
          </w:p>
        </w:tc>
        <w:tc>
          <w:tcPr>
            <w:tcW w:w="0" w:type="auto"/>
            <w:tcBorders>
              <w:top w:val="nil"/>
              <w:left w:val="nil"/>
              <w:bottom w:val="single" w:sz="4" w:space="0" w:color="auto"/>
              <w:right w:val="single" w:sz="4" w:space="0" w:color="auto"/>
            </w:tcBorders>
            <w:vAlign w:val="center"/>
            <w:hideMark/>
          </w:tcPr>
          <w:p w14:paraId="69981F83" w14:textId="231EBF9C"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Substantial progress – Equality achieved (20)</w:t>
            </w:r>
          </w:p>
        </w:tc>
        <w:tc>
          <w:tcPr>
            <w:tcW w:w="0" w:type="auto"/>
            <w:tcBorders>
              <w:top w:val="nil"/>
              <w:left w:val="nil"/>
              <w:bottom w:val="single" w:sz="4" w:space="0" w:color="auto"/>
              <w:right w:val="single" w:sz="4" w:space="0" w:color="auto"/>
            </w:tcBorders>
            <w:vAlign w:val="center"/>
            <w:hideMark/>
          </w:tcPr>
          <w:p w14:paraId="0BFDE2EC" w14:textId="703160D6"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Substantial progress – On track (15)</w:t>
            </w:r>
          </w:p>
        </w:tc>
        <w:tc>
          <w:tcPr>
            <w:tcW w:w="0" w:type="auto"/>
            <w:tcBorders>
              <w:top w:val="nil"/>
              <w:left w:val="nil"/>
              <w:bottom w:val="single" w:sz="4" w:space="0" w:color="auto"/>
              <w:right w:val="single" w:sz="4" w:space="0" w:color="auto"/>
            </w:tcBorders>
            <w:vAlign w:val="center"/>
            <w:hideMark/>
          </w:tcPr>
          <w:p w14:paraId="25F734A7" w14:textId="54B50E5B"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Substantial progress – On track (14)</w:t>
            </w:r>
          </w:p>
        </w:tc>
        <w:tc>
          <w:tcPr>
            <w:tcW w:w="0" w:type="auto"/>
            <w:tcBorders>
              <w:top w:val="nil"/>
              <w:left w:val="nil"/>
              <w:bottom w:val="single" w:sz="4" w:space="0" w:color="auto"/>
              <w:right w:val="single" w:sz="4" w:space="0" w:color="auto"/>
            </w:tcBorders>
            <w:vAlign w:val="center"/>
            <w:hideMark/>
          </w:tcPr>
          <w:p w14:paraId="17ABB7FF" w14:textId="005882E1"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Substantial progress – On track (13)</w:t>
            </w:r>
          </w:p>
        </w:tc>
      </w:tr>
      <w:tr w:rsidR="00EC2E54" w:rsidRPr="00FE4C30" w14:paraId="7017F950" w14:textId="77777777" w:rsidTr="00B2081E">
        <w:trPr>
          <w:trHeight w:val="1301"/>
        </w:trPr>
        <w:tc>
          <w:tcPr>
            <w:tcW w:w="0" w:type="auto"/>
            <w:vMerge/>
            <w:tcBorders>
              <w:top w:val="single" w:sz="8" w:space="0" w:color="auto"/>
              <w:left w:val="single" w:sz="8" w:space="0" w:color="auto"/>
              <w:bottom w:val="single" w:sz="8" w:space="0" w:color="000000"/>
              <w:right w:val="nil"/>
            </w:tcBorders>
            <w:vAlign w:val="center"/>
            <w:hideMark/>
          </w:tcPr>
          <w:p w14:paraId="72D4BD33"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4" w:space="0" w:color="auto"/>
              <w:right w:val="single" w:sz="8" w:space="0" w:color="auto"/>
            </w:tcBorders>
            <w:shd w:val="clear" w:color="000000" w:fill="D0D0D0"/>
            <w:vAlign w:val="center"/>
            <w:hideMark/>
          </w:tcPr>
          <w:p w14:paraId="666B5046" w14:textId="0E86BC4A" w:rsidR="00EC2E54" w:rsidRPr="00553C15" w:rsidRDefault="00EC2E54" w:rsidP="00EC2E54">
            <w:pPr>
              <w:spacing w:after="0" w:line="240" w:lineRule="auto"/>
              <w:jc w:val="center"/>
              <w:rPr>
                <w:b/>
                <w:szCs w:val="21"/>
                <w:lang w:eastAsia="en-AU"/>
              </w:rPr>
            </w:pPr>
            <w:r w:rsidRPr="00553C15">
              <w:rPr>
                <w:b/>
                <w:szCs w:val="21"/>
                <w:lang w:eastAsia="en-AU"/>
              </w:rPr>
              <w:t xml:space="preserve">Between 2 </w:t>
            </w:r>
            <w:r w:rsidR="009C0417">
              <w:rPr>
                <w:b/>
                <w:szCs w:val="21"/>
                <w:lang w:eastAsia="en-AU"/>
              </w:rPr>
              <w:t>and</w:t>
            </w:r>
            <w:r w:rsidR="009C0417" w:rsidRPr="00553C15">
              <w:rPr>
                <w:b/>
                <w:szCs w:val="21"/>
                <w:lang w:eastAsia="en-AU"/>
              </w:rPr>
              <w:t xml:space="preserve"> </w:t>
            </w:r>
            <w:r w:rsidRPr="00553C15">
              <w:rPr>
                <w:b/>
                <w:szCs w:val="21"/>
                <w:lang w:eastAsia="en-AU"/>
              </w:rPr>
              <w:t>5</w:t>
            </w:r>
            <w:r w:rsidR="00F87D78">
              <w:rPr>
                <w:b/>
                <w:szCs w:val="21"/>
                <w:lang w:eastAsia="en-AU"/>
              </w:rPr>
              <w:t xml:space="preserve"> percentage</w:t>
            </w:r>
            <w:r w:rsidRPr="00553C15">
              <w:rPr>
                <w:b/>
                <w:szCs w:val="21"/>
                <w:lang w:eastAsia="en-AU"/>
              </w:rPr>
              <w:t xml:space="preserve"> points in direction of optimal outcome</w:t>
            </w:r>
          </w:p>
        </w:tc>
        <w:tc>
          <w:tcPr>
            <w:tcW w:w="0" w:type="auto"/>
            <w:tcBorders>
              <w:top w:val="nil"/>
              <w:left w:val="nil"/>
              <w:bottom w:val="single" w:sz="4" w:space="0" w:color="auto"/>
              <w:right w:val="single" w:sz="4" w:space="0" w:color="auto"/>
            </w:tcBorders>
            <w:vAlign w:val="center"/>
            <w:hideMark/>
          </w:tcPr>
          <w:p w14:paraId="3DF38C49" w14:textId="485E3C9D"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Good progress – Equality achieved (19)</w:t>
            </w:r>
          </w:p>
        </w:tc>
        <w:tc>
          <w:tcPr>
            <w:tcW w:w="0" w:type="auto"/>
            <w:tcBorders>
              <w:top w:val="nil"/>
              <w:left w:val="nil"/>
              <w:bottom w:val="single" w:sz="4" w:space="0" w:color="auto"/>
              <w:right w:val="single" w:sz="4" w:space="0" w:color="auto"/>
            </w:tcBorders>
            <w:vAlign w:val="center"/>
            <w:hideMark/>
          </w:tcPr>
          <w:p w14:paraId="435993DA" w14:textId="06391BB0"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Good progress – On track (12)</w:t>
            </w:r>
          </w:p>
        </w:tc>
        <w:tc>
          <w:tcPr>
            <w:tcW w:w="0" w:type="auto"/>
            <w:tcBorders>
              <w:top w:val="nil"/>
              <w:left w:val="nil"/>
              <w:bottom w:val="single" w:sz="4" w:space="0" w:color="auto"/>
              <w:right w:val="single" w:sz="4" w:space="0" w:color="auto"/>
            </w:tcBorders>
            <w:vAlign w:val="center"/>
            <w:hideMark/>
          </w:tcPr>
          <w:p w14:paraId="5E89E909" w14:textId="7705413E"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Good progress – On track (11)</w:t>
            </w:r>
          </w:p>
        </w:tc>
        <w:tc>
          <w:tcPr>
            <w:tcW w:w="0" w:type="auto"/>
            <w:tcBorders>
              <w:top w:val="nil"/>
              <w:left w:val="nil"/>
              <w:bottom w:val="single" w:sz="4" w:space="0" w:color="auto"/>
              <w:right w:val="single" w:sz="4" w:space="0" w:color="auto"/>
            </w:tcBorders>
            <w:vAlign w:val="center"/>
            <w:hideMark/>
          </w:tcPr>
          <w:p w14:paraId="6BBDEC1D" w14:textId="15C4CC06"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Good progress – On track (10)</w:t>
            </w:r>
          </w:p>
        </w:tc>
      </w:tr>
      <w:tr w:rsidR="00EC2E54" w:rsidRPr="00FE4C30" w14:paraId="1457555C" w14:textId="77777777" w:rsidTr="00B2081E">
        <w:trPr>
          <w:trHeight w:val="1263"/>
        </w:trPr>
        <w:tc>
          <w:tcPr>
            <w:tcW w:w="0" w:type="auto"/>
            <w:vMerge/>
            <w:tcBorders>
              <w:top w:val="single" w:sz="8" w:space="0" w:color="auto"/>
              <w:left w:val="single" w:sz="8" w:space="0" w:color="auto"/>
              <w:bottom w:val="single" w:sz="8" w:space="0" w:color="000000"/>
              <w:right w:val="nil"/>
            </w:tcBorders>
            <w:vAlign w:val="center"/>
            <w:hideMark/>
          </w:tcPr>
          <w:p w14:paraId="62C457BD"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4" w:space="0" w:color="auto"/>
              <w:right w:val="single" w:sz="8" w:space="0" w:color="auto"/>
            </w:tcBorders>
            <w:shd w:val="clear" w:color="000000" w:fill="D0D0D0"/>
            <w:vAlign w:val="center"/>
            <w:hideMark/>
          </w:tcPr>
          <w:p w14:paraId="2166DA3C" w14:textId="5CE5A28C" w:rsidR="00EC2E54" w:rsidRPr="00553C15" w:rsidRDefault="00EC2E54" w:rsidP="00EC2E54">
            <w:pPr>
              <w:spacing w:after="0" w:line="240" w:lineRule="auto"/>
              <w:jc w:val="center"/>
              <w:rPr>
                <w:b/>
                <w:szCs w:val="21"/>
                <w:lang w:eastAsia="en-AU"/>
              </w:rPr>
            </w:pPr>
            <w:r w:rsidRPr="00553C15">
              <w:rPr>
                <w:b/>
                <w:szCs w:val="21"/>
                <w:lang w:eastAsia="en-AU"/>
              </w:rPr>
              <w:t xml:space="preserve">Less than 2 </w:t>
            </w:r>
            <w:r w:rsidR="00F87D78">
              <w:rPr>
                <w:b/>
                <w:szCs w:val="21"/>
                <w:lang w:eastAsia="en-AU"/>
              </w:rPr>
              <w:t>percentage</w:t>
            </w:r>
            <w:r w:rsidRPr="00553C15">
              <w:rPr>
                <w:b/>
                <w:szCs w:val="21"/>
                <w:lang w:eastAsia="en-AU"/>
              </w:rPr>
              <w:t xml:space="preserve"> points in either direction of optimal outcome</w:t>
            </w:r>
          </w:p>
        </w:tc>
        <w:tc>
          <w:tcPr>
            <w:tcW w:w="0" w:type="auto"/>
            <w:tcBorders>
              <w:top w:val="nil"/>
              <w:left w:val="nil"/>
              <w:bottom w:val="single" w:sz="4" w:space="0" w:color="auto"/>
              <w:right w:val="single" w:sz="4" w:space="0" w:color="auto"/>
            </w:tcBorders>
            <w:vAlign w:val="center"/>
            <w:hideMark/>
          </w:tcPr>
          <w:p w14:paraId="01CEEAD8" w14:textId="4C316F28"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Stable - Equality maintained (18)</w:t>
            </w:r>
          </w:p>
        </w:tc>
        <w:tc>
          <w:tcPr>
            <w:tcW w:w="0" w:type="auto"/>
            <w:tcBorders>
              <w:top w:val="nil"/>
              <w:left w:val="nil"/>
              <w:bottom w:val="single" w:sz="4" w:space="0" w:color="auto"/>
              <w:right w:val="single" w:sz="4" w:space="0" w:color="auto"/>
            </w:tcBorders>
            <w:vAlign w:val="center"/>
            <w:hideMark/>
          </w:tcPr>
          <w:p w14:paraId="7A141909" w14:textId="5AF3C3B4"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Stable (9)</w:t>
            </w:r>
          </w:p>
        </w:tc>
        <w:tc>
          <w:tcPr>
            <w:tcW w:w="0" w:type="auto"/>
            <w:tcBorders>
              <w:top w:val="nil"/>
              <w:left w:val="nil"/>
              <w:bottom w:val="single" w:sz="4" w:space="0" w:color="auto"/>
              <w:right w:val="single" w:sz="4" w:space="0" w:color="auto"/>
            </w:tcBorders>
            <w:vAlign w:val="center"/>
            <w:hideMark/>
          </w:tcPr>
          <w:p w14:paraId="701173CB" w14:textId="1F821D49"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br/>
              <w:t>Stagnant – Not on track (8)</w:t>
            </w:r>
          </w:p>
        </w:tc>
        <w:tc>
          <w:tcPr>
            <w:tcW w:w="0" w:type="auto"/>
            <w:tcBorders>
              <w:top w:val="nil"/>
              <w:left w:val="nil"/>
              <w:bottom w:val="single" w:sz="4" w:space="0" w:color="auto"/>
              <w:right w:val="single" w:sz="4" w:space="0" w:color="auto"/>
            </w:tcBorders>
            <w:vAlign w:val="center"/>
            <w:hideMark/>
          </w:tcPr>
          <w:p w14:paraId="68941786" w14:textId="5DAA457F"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t xml:space="preserve"> </w:t>
            </w:r>
            <w:r w:rsidRPr="00553C15">
              <w:rPr>
                <w:szCs w:val="21"/>
                <w:lang w:eastAsia="en-AU"/>
              </w:rPr>
              <w:br/>
              <w:t xml:space="preserve"> Stagnant – Not on track (7)</w:t>
            </w:r>
          </w:p>
        </w:tc>
      </w:tr>
      <w:tr w:rsidR="00EC2E54" w:rsidRPr="00FE4C30" w14:paraId="5E96D189" w14:textId="77777777" w:rsidTr="00903F68">
        <w:trPr>
          <w:trHeight w:val="1381"/>
        </w:trPr>
        <w:tc>
          <w:tcPr>
            <w:tcW w:w="0" w:type="auto"/>
            <w:vMerge/>
            <w:tcBorders>
              <w:top w:val="single" w:sz="8" w:space="0" w:color="auto"/>
              <w:left w:val="single" w:sz="8" w:space="0" w:color="auto"/>
              <w:bottom w:val="single" w:sz="8" w:space="0" w:color="000000"/>
              <w:right w:val="nil"/>
            </w:tcBorders>
            <w:vAlign w:val="center"/>
            <w:hideMark/>
          </w:tcPr>
          <w:p w14:paraId="7572708D"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4" w:space="0" w:color="auto"/>
              <w:right w:val="single" w:sz="8" w:space="0" w:color="auto"/>
            </w:tcBorders>
            <w:shd w:val="clear" w:color="000000" w:fill="D0D0D0"/>
            <w:vAlign w:val="center"/>
            <w:hideMark/>
          </w:tcPr>
          <w:p w14:paraId="4254D206" w14:textId="23512D37" w:rsidR="00EC2E54" w:rsidRPr="00553C15" w:rsidRDefault="00EC2E54" w:rsidP="00EC2E54">
            <w:pPr>
              <w:spacing w:after="0" w:line="240" w:lineRule="auto"/>
              <w:jc w:val="center"/>
              <w:rPr>
                <w:b/>
                <w:szCs w:val="21"/>
                <w:lang w:eastAsia="en-AU"/>
              </w:rPr>
            </w:pPr>
            <w:r w:rsidRPr="00553C15">
              <w:rPr>
                <w:b/>
                <w:szCs w:val="21"/>
                <w:lang w:eastAsia="en-AU"/>
              </w:rPr>
              <w:t xml:space="preserve">Between 2 </w:t>
            </w:r>
            <w:r w:rsidR="009C0417">
              <w:rPr>
                <w:b/>
                <w:szCs w:val="21"/>
                <w:lang w:eastAsia="en-AU"/>
              </w:rPr>
              <w:t>and</w:t>
            </w:r>
            <w:r w:rsidR="009C0417" w:rsidRPr="00553C15">
              <w:rPr>
                <w:b/>
                <w:szCs w:val="21"/>
                <w:lang w:eastAsia="en-AU"/>
              </w:rPr>
              <w:t xml:space="preserve"> </w:t>
            </w:r>
            <w:r w:rsidRPr="00553C15">
              <w:rPr>
                <w:b/>
                <w:szCs w:val="21"/>
                <w:lang w:eastAsia="en-AU"/>
              </w:rPr>
              <w:t>5</w:t>
            </w:r>
            <w:r w:rsidR="00B94114">
              <w:rPr>
                <w:b/>
                <w:szCs w:val="21"/>
                <w:lang w:eastAsia="en-AU"/>
              </w:rPr>
              <w:t xml:space="preserve"> percentage</w:t>
            </w:r>
            <w:r w:rsidRPr="00553C15">
              <w:rPr>
                <w:b/>
                <w:szCs w:val="21"/>
                <w:lang w:eastAsia="en-AU"/>
              </w:rPr>
              <w:t xml:space="preserve"> points away from optimal outcome</w:t>
            </w:r>
          </w:p>
        </w:tc>
        <w:tc>
          <w:tcPr>
            <w:tcW w:w="0" w:type="auto"/>
            <w:tcBorders>
              <w:top w:val="nil"/>
              <w:left w:val="nil"/>
              <w:bottom w:val="single" w:sz="4" w:space="0" w:color="auto"/>
              <w:right w:val="single" w:sz="4" w:space="0" w:color="auto"/>
            </w:tcBorders>
            <w:vAlign w:val="center"/>
            <w:hideMark/>
          </w:tcPr>
          <w:p w14:paraId="4B0A134F" w14:textId="28135739"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Slight decline - Equality maintained (17)</w:t>
            </w:r>
          </w:p>
        </w:tc>
        <w:tc>
          <w:tcPr>
            <w:tcW w:w="0" w:type="auto"/>
            <w:tcBorders>
              <w:top w:val="nil"/>
              <w:left w:val="nil"/>
              <w:bottom w:val="single" w:sz="4" w:space="0" w:color="auto"/>
              <w:right w:val="single" w:sz="4" w:space="0" w:color="auto"/>
            </w:tcBorders>
            <w:vAlign w:val="center"/>
            <w:hideMark/>
          </w:tcPr>
          <w:p w14:paraId="5C93A373" w14:textId="0905F489"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br/>
              <w:t>Slight Decline - Not on track (6)</w:t>
            </w:r>
          </w:p>
        </w:tc>
        <w:tc>
          <w:tcPr>
            <w:tcW w:w="0" w:type="auto"/>
            <w:tcBorders>
              <w:top w:val="nil"/>
              <w:left w:val="nil"/>
              <w:bottom w:val="single" w:sz="4" w:space="0" w:color="auto"/>
              <w:right w:val="single" w:sz="4" w:space="0" w:color="auto"/>
            </w:tcBorders>
            <w:vAlign w:val="center"/>
            <w:hideMark/>
          </w:tcPr>
          <w:p w14:paraId="26F2663E" w14:textId="5E4EC6E2"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br/>
              <w:t>Slight Decline- Not on track (5)</w:t>
            </w:r>
          </w:p>
        </w:tc>
        <w:tc>
          <w:tcPr>
            <w:tcW w:w="0" w:type="auto"/>
            <w:tcBorders>
              <w:top w:val="nil"/>
              <w:left w:val="nil"/>
              <w:bottom w:val="single" w:sz="4" w:space="0" w:color="auto"/>
              <w:right w:val="single" w:sz="4" w:space="0" w:color="auto"/>
            </w:tcBorders>
            <w:vAlign w:val="center"/>
            <w:hideMark/>
          </w:tcPr>
          <w:p w14:paraId="3C492ED7" w14:textId="0F30BD9F"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t xml:space="preserve"> </w:t>
            </w:r>
            <w:r w:rsidRPr="00553C15">
              <w:rPr>
                <w:szCs w:val="21"/>
                <w:lang w:eastAsia="en-AU"/>
              </w:rPr>
              <w:br/>
              <w:t>Slight Decline – Not on track (4)</w:t>
            </w:r>
          </w:p>
        </w:tc>
      </w:tr>
      <w:tr w:rsidR="00EC2E54" w:rsidRPr="00FE4C30" w14:paraId="66DE7827" w14:textId="77777777" w:rsidTr="00903F68">
        <w:trPr>
          <w:trHeight w:val="1273"/>
        </w:trPr>
        <w:tc>
          <w:tcPr>
            <w:tcW w:w="0" w:type="auto"/>
            <w:vMerge/>
            <w:tcBorders>
              <w:top w:val="single" w:sz="8" w:space="0" w:color="auto"/>
              <w:left w:val="single" w:sz="8" w:space="0" w:color="auto"/>
              <w:bottom w:val="single" w:sz="8" w:space="0" w:color="000000"/>
              <w:right w:val="nil"/>
            </w:tcBorders>
            <w:vAlign w:val="center"/>
            <w:hideMark/>
          </w:tcPr>
          <w:p w14:paraId="5AF15008"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8" w:space="0" w:color="auto"/>
              <w:right w:val="single" w:sz="8" w:space="0" w:color="auto"/>
            </w:tcBorders>
            <w:shd w:val="clear" w:color="000000" w:fill="D0D0D0"/>
            <w:vAlign w:val="center"/>
            <w:hideMark/>
          </w:tcPr>
          <w:p w14:paraId="769825E2" w14:textId="6EFE7692" w:rsidR="00EC2E54" w:rsidRPr="00553C15" w:rsidRDefault="00EC2E54" w:rsidP="00EC2E54">
            <w:pPr>
              <w:spacing w:after="0" w:line="240" w:lineRule="auto"/>
              <w:jc w:val="center"/>
              <w:rPr>
                <w:b/>
                <w:szCs w:val="21"/>
                <w:lang w:eastAsia="en-AU"/>
              </w:rPr>
            </w:pPr>
            <w:r w:rsidRPr="00553C15">
              <w:rPr>
                <w:b/>
                <w:szCs w:val="21"/>
                <w:lang w:eastAsia="en-AU"/>
              </w:rPr>
              <w:t>5</w:t>
            </w:r>
            <w:r w:rsidR="00B94114">
              <w:rPr>
                <w:b/>
                <w:szCs w:val="21"/>
                <w:lang w:eastAsia="en-AU"/>
              </w:rPr>
              <w:t xml:space="preserve"> percentage</w:t>
            </w:r>
            <w:r w:rsidRPr="00553C15">
              <w:rPr>
                <w:b/>
                <w:szCs w:val="21"/>
                <w:lang w:eastAsia="en-AU"/>
              </w:rPr>
              <w:t xml:space="preserve"> points or more away from optimal outcome</w:t>
            </w:r>
          </w:p>
        </w:tc>
        <w:tc>
          <w:tcPr>
            <w:tcW w:w="0" w:type="auto"/>
            <w:tcBorders>
              <w:top w:val="nil"/>
              <w:left w:val="nil"/>
              <w:bottom w:val="single" w:sz="4" w:space="0" w:color="auto"/>
              <w:right w:val="single" w:sz="4" w:space="0" w:color="auto"/>
            </w:tcBorders>
            <w:vAlign w:val="center"/>
            <w:hideMark/>
          </w:tcPr>
          <w:p w14:paraId="45F24D48" w14:textId="4482E28B"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Worsening - Equality maintained (16)</w:t>
            </w:r>
          </w:p>
        </w:tc>
        <w:tc>
          <w:tcPr>
            <w:tcW w:w="0" w:type="auto"/>
            <w:tcBorders>
              <w:top w:val="nil"/>
              <w:left w:val="nil"/>
              <w:bottom w:val="single" w:sz="4" w:space="0" w:color="auto"/>
              <w:right w:val="single" w:sz="4" w:space="0" w:color="auto"/>
            </w:tcBorders>
            <w:vAlign w:val="center"/>
            <w:hideMark/>
          </w:tcPr>
          <w:p w14:paraId="7B8B987F" w14:textId="5043798C"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br/>
              <w:t>Worsening – Not on track (3)</w:t>
            </w:r>
          </w:p>
        </w:tc>
        <w:tc>
          <w:tcPr>
            <w:tcW w:w="0" w:type="auto"/>
            <w:tcBorders>
              <w:top w:val="nil"/>
              <w:left w:val="nil"/>
              <w:bottom w:val="single" w:sz="4" w:space="0" w:color="auto"/>
              <w:right w:val="single" w:sz="4" w:space="0" w:color="auto"/>
            </w:tcBorders>
            <w:vAlign w:val="center"/>
            <w:hideMark/>
          </w:tcPr>
          <w:p w14:paraId="35663C12" w14:textId="479AC162"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br/>
              <w:t>Worsening – Not on track (2)</w:t>
            </w:r>
          </w:p>
        </w:tc>
        <w:tc>
          <w:tcPr>
            <w:tcW w:w="0" w:type="auto"/>
            <w:tcBorders>
              <w:top w:val="nil"/>
              <w:left w:val="nil"/>
              <w:bottom w:val="single" w:sz="4" w:space="0" w:color="auto"/>
              <w:right w:val="single" w:sz="4" w:space="0" w:color="auto"/>
            </w:tcBorders>
            <w:vAlign w:val="center"/>
            <w:hideMark/>
          </w:tcPr>
          <w:p w14:paraId="2E1B42CD" w14:textId="16F9980F"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br/>
              <w:t xml:space="preserve"> Worsening - Not on track (1)</w:t>
            </w:r>
          </w:p>
        </w:tc>
      </w:tr>
    </w:tbl>
    <w:p w14:paraId="176B73F1" w14:textId="77777777" w:rsidR="00A96B58" w:rsidRPr="00C27278" w:rsidRDefault="00A96B58" w:rsidP="00051DAD">
      <w:pPr>
        <w:pStyle w:val="Bodyafterbullets"/>
        <w:rPr>
          <w:rFonts w:cs="Arial"/>
          <w:lang w:eastAsia="en-AU"/>
        </w:rPr>
      </w:pPr>
    </w:p>
    <w:p w14:paraId="79775159" w14:textId="77777777" w:rsidR="00553C15" w:rsidRDefault="00553C15">
      <w:pPr>
        <w:spacing w:after="0" w:line="240" w:lineRule="auto"/>
        <w:rPr>
          <w:rFonts w:eastAsia="Times" w:cs="Arial"/>
          <w:lang w:eastAsia="en-AU"/>
        </w:rPr>
      </w:pPr>
      <w:r>
        <w:rPr>
          <w:rFonts w:cs="Arial"/>
          <w:lang w:eastAsia="en-AU"/>
        </w:rPr>
        <w:br w:type="page"/>
      </w:r>
    </w:p>
    <w:p w14:paraId="1F9D1561" w14:textId="3634408F" w:rsidR="00A96B58" w:rsidRPr="00C27278" w:rsidRDefault="00E60CD5" w:rsidP="007B1399">
      <w:pPr>
        <w:pStyle w:val="Figurecaption"/>
        <w:rPr>
          <w:rFonts w:cs="Arial"/>
          <w:lang w:eastAsia="en-AU"/>
        </w:rPr>
      </w:pPr>
      <w:r>
        <w:t>Matrix 3 – Gender gap ratings</w:t>
      </w:r>
    </w:p>
    <w:tbl>
      <w:tblPr>
        <w:tblW w:w="0" w:type="auto"/>
        <w:tblLook w:val="04A0" w:firstRow="1" w:lastRow="0" w:firstColumn="1" w:lastColumn="0" w:noHBand="0" w:noVBand="1"/>
      </w:tblPr>
      <w:tblGrid>
        <w:gridCol w:w="694"/>
        <w:gridCol w:w="2137"/>
        <w:gridCol w:w="1701"/>
        <w:gridCol w:w="1582"/>
        <w:gridCol w:w="1582"/>
        <w:gridCol w:w="1582"/>
      </w:tblGrid>
      <w:tr w:rsidR="00A953C6" w:rsidRPr="00FE4C30" w14:paraId="70EFF0DB" w14:textId="77777777" w:rsidTr="00086B03">
        <w:trPr>
          <w:trHeight w:val="604"/>
        </w:trPr>
        <w:tc>
          <w:tcPr>
            <w:tcW w:w="0" w:type="auto"/>
            <w:gridSpan w:val="2"/>
            <w:vMerge w:val="restart"/>
            <w:tcBorders>
              <w:top w:val="single" w:sz="8" w:space="0" w:color="auto"/>
              <w:left w:val="single" w:sz="8" w:space="0" w:color="auto"/>
              <w:bottom w:val="nil"/>
              <w:right w:val="nil"/>
            </w:tcBorders>
            <w:shd w:val="clear" w:color="auto" w:fill="B9E2F1"/>
            <w:vAlign w:val="center"/>
            <w:hideMark/>
          </w:tcPr>
          <w:p w14:paraId="047D3F8B" w14:textId="197B4190" w:rsidR="00A953C6" w:rsidRPr="00867580" w:rsidRDefault="00F57259" w:rsidP="00867580">
            <w:pPr>
              <w:pStyle w:val="Tablecolhead"/>
              <w:jc w:val="center"/>
              <w:rPr>
                <w:szCs w:val="21"/>
                <w:lang w:eastAsia="en-AU"/>
              </w:rPr>
            </w:pPr>
            <w:r w:rsidRPr="00867580">
              <w:rPr>
                <w:szCs w:val="21"/>
                <w:lang w:eastAsia="en-AU"/>
              </w:rPr>
              <w:t>Matrix</w:t>
            </w:r>
            <w:r w:rsidR="00A953C6" w:rsidRPr="00867580">
              <w:rPr>
                <w:szCs w:val="21"/>
                <w:lang w:eastAsia="en-AU"/>
              </w:rPr>
              <w:t xml:space="preserve"> 3</w:t>
            </w:r>
            <w:r w:rsidR="00312FED" w:rsidRPr="00867580">
              <w:rPr>
                <w:szCs w:val="21"/>
                <w:lang w:eastAsia="en-AU"/>
              </w:rPr>
              <w:t xml:space="preserve">: Gender gap </w:t>
            </w:r>
            <w:r w:rsidRPr="00867580">
              <w:rPr>
                <w:szCs w:val="21"/>
                <w:lang w:eastAsia="en-AU"/>
              </w:rPr>
              <w:t>ratings</w:t>
            </w:r>
            <w:r w:rsidR="00A953C6" w:rsidRPr="00867580">
              <w:rPr>
                <w:szCs w:val="21"/>
                <w:lang w:eastAsia="en-AU"/>
              </w:rPr>
              <w:t xml:space="preserve"> </w:t>
            </w:r>
          </w:p>
        </w:tc>
        <w:tc>
          <w:tcPr>
            <w:tcW w:w="0" w:type="auto"/>
            <w:gridSpan w:val="4"/>
            <w:tcBorders>
              <w:top w:val="single" w:sz="8" w:space="0" w:color="auto"/>
              <w:left w:val="single" w:sz="8" w:space="0" w:color="auto"/>
              <w:bottom w:val="nil"/>
              <w:right w:val="single" w:sz="8" w:space="0" w:color="000000"/>
            </w:tcBorders>
            <w:noWrap/>
            <w:vAlign w:val="center"/>
            <w:hideMark/>
          </w:tcPr>
          <w:p w14:paraId="53FB7623" w14:textId="3AB579A1" w:rsidR="00A953C6" w:rsidRPr="00867580" w:rsidRDefault="00A953C6" w:rsidP="00867580">
            <w:pPr>
              <w:pStyle w:val="Tablecolhead"/>
              <w:jc w:val="center"/>
              <w:rPr>
                <w:sz w:val="28"/>
                <w:szCs w:val="28"/>
                <w:lang w:eastAsia="en-AU"/>
              </w:rPr>
            </w:pPr>
            <w:r w:rsidRPr="00867580">
              <w:rPr>
                <w:sz w:val="28"/>
                <w:szCs w:val="28"/>
                <w:lang w:eastAsia="en-AU"/>
              </w:rPr>
              <w:t>Performance Scale</w:t>
            </w:r>
          </w:p>
        </w:tc>
      </w:tr>
      <w:tr w:rsidR="00A953C6" w:rsidRPr="00FE4C30" w14:paraId="6E741F1C" w14:textId="77777777" w:rsidTr="00086B03">
        <w:trPr>
          <w:trHeight w:val="834"/>
        </w:trPr>
        <w:tc>
          <w:tcPr>
            <w:tcW w:w="0" w:type="auto"/>
            <w:gridSpan w:val="2"/>
            <w:vMerge/>
            <w:tcBorders>
              <w:top w:val="single" w:sz="8" w:space="0" w:color="auto"/>
              <w:left w:val="single" w:sz="8" w:space="0" w:color="auto"/>
              <w:bottom w:val="nil"/>
              <w:right w:val="nil"/>
            </w:tcBorders>
            <w:shd w:val="clear" w:color="auto" w:fill="B9E2F1"/>
            <w:vAlign w:val="center"/>
            <w:hideMark/>
          </w:tcPr>
          <w:p w14:paraId="3FF80116" w14:textId="77777777" w:rsidR="00A953C6" w:rsidRPr="00FE4C30" w:rsidRDefault="00A953C6" w:rsidP="00A953C6">
            <w:pPr>
              <w:spacing w:after="0" w:line="240" w:lineRule="auto"/>
              <w:rPr>
                <w:rFonts w:cs="Arial"/>
                <w:color w:val="000000"/>
                <w:sz w:val="24"/>
                <w:szCs w:val="24"/>
                <w:lang w:eastAsia="en-AU"/>
              </w:rPr>
            </w:pPr>
          </w:p>
        </w:tc>
        <w:tc>
          <w:tcPr>
            <w:tcW w:w="0" w:type="auto"/>
            <w:tcBorders>
              <w:top w:val="single" w:sz="8" w:space="0" w:color="auto"/>
              <w:left w:val="single" w:sz="8" w:space="0" w:color="auto"/>
              <w:bottom w:val="single" w:sz="8" w:space="0" w:color="auto"/>
              <w:right w:val="single" w:sz="4" w:space="0" w:color="auto"/>
            </w:tcBorders>
            <w:shd w:val="clear" w:color="000000" w:fill="D0D0D0"/>
            <w:vAlign w:val="center"/>
            <w:hideMark/>
          </w:tcPr>
          <w:p w14:paraId="284E88D4" w14:textId="23E101A2" w:rsidR="00A953C6" w:rsidRPr="00553C15" w:rsidRDefault="00A953C6" w:rsidP="00A953C6">
            <w:pPr>
              <w:spacing w:after="0" w:line="240" w:lineRule="auto"/>
              <w:jc w:val="center"/>
              <w:rPr>
                <w:b/>
                <w:szCs w:val="21"/>
                <w:lang w:eastAsia="en-AU"/>
              </w:rPr>
            </w:pPr>
            <w:r w:rsidRPr="00553C15">
              <w:rPr>
                <w:b/>
                <w:szCs w:val="21"/>
                <w:lang w:eastAsia="en-AU"/>
              </w:rPr>
              <w:t xml:space="preserve">Within </w:t>
            </w:r>
            <w:r w:rsidR="00D42166" w:rsidRPr="00553C15">
              <w:rPr>
                <w:b/>
                <w:szCs w:val="21"/>
                <w:lang w:eastAsia="en-AU"/>
              </w:rPr>
              <w:t>small</w:t>
            </w:r>
            <w:r w:rsidRPr="00553C15">
              <w:rPr>
                <w:b/>
                <w:szCs w:val="21"/>
                <w:lang w:eastAsia="en-AU"/>
              </w:rPr>
              <w:t xml:space="preserve"> range</w:t>
            </w:r>
            <w:r w:rsidRPr="00553C15">
              <w:rPr>
                <w:b/>
                <w:szCs w:val="21"/>
                <w:lang w:eastAsia="en-AU"/>
              </w:rPr>
              <w:br/>
              <w:t>(+/- 3%)</w:t>
            </w:r>
          </w:p>
        </w:tc>
        <w:tc>
          <w:tcPr>
            <w:tcW w:w="0" w:type="auto"/>
            <w:tcBorders>
              <w:top w:val="single" w:sz="8" w:space="0" w:color="auto"/>
              <w:left w:val="nil"/>
              <w:bottom w:val="single" w:sz="8" w:space="0" w:color="auto"/>
              <w:right w:val="single" w:sz="4" w:space="0" w:color="auto"/>
            </w:tcBorders>
            <w:shd w:val="clear" w:color="000000" w:fill="D0D0D0"/>
            <w:vAlign w:val="center"/>
            <w:hideMark/>
          </w:tcPr>
          <w:p w14:paraId="67E3ECB4" w14:textId="7392AD43" w:rsidR="00A953C6" w:rsidRPr="00553C15" w:rsidRDefault="00A953C6" w:rsidP="00A953C6">
            <w:pPr>
              <w:spacing w:after="0" w:line="240" w:lineRule="auto"/>
              <w:jc w:val="center"/>
              <w:rPr>
                <w:b/>
                <w:szCs w:val="21"/>
                <w:lang w:eastAsia="en-AU"/>
              </w:rPr>
            </w:pPr>
            <w:r w:rsidRPr="00553C15">
              <w:rPr>
                <w:b/>
                <w:szCs w:val="21"/>
                <w:lang w:eastAsia="en-AU"/>
              </w:rPr>
              <w:t>Some gap</w:t>
            </w:r>
            <w:r w:rsidRPr="00553C15">
              <w:rPr>
                <w:b/>
                <w:szCs w:val="21"/>
                <w:lang w:eastAsia="en-AU"/>
              </w:rPr>
              <w:br/>
              <w:t xml:space="preserve">+/- </w:t>
            </w:r>
            <w:r w:rsidR="00E724CA" w:rsidRPr="00553C15">
              <w:rPr>
                <w:b/>
                <w:szCs w:val="21"/>
                <w:lang w:eastAsia="en-AU"/>
              </w:rPr>
              <w:t>(&gt;</w:t>
            </w:r>
            <w:r w:rsidRPr="00553C15">
              <w:rPr>
                <w:b/>
                <w:szCs w:val="21"/>
                <w:lang w:eastAsia="en-AU"/>
              </w:rPr>
              <w:t>3% to 10%)</w:t>
            </w:r>
          </w:p>
        </w:tc>
        <w:tc>
          <w:tcPr>
            <w:tcW w:w="0" w:type="auto"/>
            <w:tcBorders>
              <w:top w:val="single" w:sz="8" w:space="0" w:color="auto"/>
              <w:left w:val="nil"/>
              <w:bottom w:val="single" w:sz="8" w:space="0" w:color="auto"/>
              <w:right w:val="single" w:sz="4" w:space="0" w:color="auto"/>
            </w:tcBorders>
            <w:shd w:val="clear" w:color="000000" w:fill="D0D0D0"/>
            <w:vAlign w:val="center"/>
            <w:hideMark/>
          </w:tcPr>
          <w:p w14:paraId="2DFC9E5E" w14:textId="5D0DE62A" w:rsidR="00A953C6" w:rsidRPr="00553C15" w:rsidRDefault="00A953C6" w:rsidP="00A953C6">
            <w:pPr>
              <w:spacing w:after="0" w:line="240" w:lineRule="auto"/>
              <w:jc w:val="center"/>
              <w:rPr>
                <w:b/>
                <w:szCs w:val="21"/>
                <w:lang w:eastAsia="en-AU"/>
              </w:rPr>
            </w:pPr>
            <w:r w:rsidRPr="00553C15">
              <w:rPr>
                <w:b/>
                <w:szCs w:val="21"/>
                <w:lang w:eastAsia="en-AU"/>
              </w:rPr>
              <w:t>Moderate gap</w:t>
            </w:r>
            <w:r w:rsidRPr="00553C15">
              <w:rPr>
                <w:b/>
                <w:szCs w:val="21"/>
                <w:lang w:eastAsia="en-AU"/>
              </w:rPr>
              <w:br/>
              <w:t xml:space="preserve">+/- </w:t>
            </w:r>
            <w:r w:rsidR="00E724CA" w:rsidRPr="00553C15">
              <w:rPr>
                <w:b/>
                <w:szCs w:val="21"/>
                <w:lang w:eastAsia="en-AU"/>
              </w:rPr>
              <w:t>(&gt;</w:t>
            </w:r>
            <w:r w:rsidRPr="00553C15">
              <w:rPr>
                <w:b/>
                <w:szCs w:val="21"/>
                <w:lang w:eastAsia="en-AU"/>
              </w:rPr>
              <w:t>10% to 20%)</w:t>
            </w:r>
          </w:p>
        </w:tc>
        <w:tc>
          <w:tcPr>
            <w:tcW w:w="0" w:type="auto"/>
            <w:tcBorders>
              <w:top w:val="single" w:sz="8" w:space="0" w:color="auto"/>
              <w:left w:val="nil"/>
              <w:bottom w:val="single" w:sz="8" w:space="0" w:color="auto"/>
              <w:right w:val="single" w:sz="8" w:space="0" w:color="auto"/>
            </w:tcBorders>
            <w:shd w:val="clear" w:color="000000" w:fill="D0D0D0"/>
            <w:vAlign w:val="center"/>
            <w:hideMark/>
          </w:tcPr>
          <w:p w14:paraId="4F5441FB" w14:textId="7943B8CA" w:rsidR="00A953C6" w:rsidRPr="00553C15" w:rsidRDefault="00A953C6" w:rsidP="00A953C6">
            <w:pPr>
              <w:spacing w:after="0" w:line="240" w:lineRule="auto"/>
              <w:jc w:val="center"/>
              <w:rPr>
                <w:b/>
                <w:szCs w:val="21"/>
                <w:lang w:eastAsia="en-AU"/>
              </w:rPr>
            </w:pPr>
            <w:r w:rsidRPr="00553C15">
              <w:rPr>
                <w:b/>
                <w:szCs w:val="21"/>
                <w:lang w:eastAsia="en-AU"/>
              </w:rPr>
              <w:t>Large gap</w:t>
            </w:r>
            <w:r w:rsidRPr="00553C15">
              <w:rPr>
                <w:b/>
                <w:szCs w:val="21"/>
                <w:lang w:eastAsia="en-AU"/>
              </w:rPr>
              <w:br/>
              <w:t xml:space="preserve">+/- </w:t>
            </w:r>
            <w:r w:rsidR="00E724CA" w:rsidRPr="00553C15">
              <w:rPr>
                <w:b/>
                <w:szCs w:val="21"/>
                <w:lang w:eastAsia="en-AU"/>
              </w:rPr>
              <w:t>(&gt;</w:t>
            </w:r>
            <w:r w:rsidRPr="00553C15">
              <w:rPr>
                <w:b/>
                <w:szCs w:val="21"/>
                <w:lang w:eastAsia="en-AU"/>
              </w:rPr>
              <w:t>20%)</w:t>
            </w:r>
          </w:p>
        </w:tc>
      </w:tr>
      <w:tr w:rsidR="00EC2E54" w:rsidRPr="00FE4C30" w14:paraId="312101B3" w14:textId="77777777" w:rsidTr="00B2081E">
        <w:trPr>
          <w:trHeight w:val="1463"/>
        </w:trPr>
        <w:tc>
          <w:tcPr>
            <w:tcW w:w="0" w:type="auto"/>
            <w:vMerge w:val="restart"/>
            <w:tcBorders>
              <w:top w:val="single" w:sz="8" w:space="0" w:color="auto"/>
              <w:left w:val="single" w:sz="8" w:space="0" w:color="auto"/>
              <w:bottom w:val="single" w:sz="8" w:space="0" w:color="000000"/>
              <w:right w:val="nil"/>
            </w:tcBorders>
            <w:textDirection w:val="btLr"/>
            <w:vAlign w:val="center"/>
            <w:hideMark/>
          </w:tcPr>
          <w:p w14:paraId="77DA68B5" w14:textId="5F07DC38" w:rsidR="00EC2E54" w:rsidRPr="00867580" w:rsidRDefault="00EC2E54" w:rsidP="00867580">
            <w:pPr>
              <w:pStyle w:val="Tablecolhead"/>
              <w:jc w:val="center"/>
              <w:rPr>
                <w:sz w:val="28"/>
                <w:szCs w:val="28"/>
                <w:lang w:eastAsia="en-AU"/>
              </w:rPr>
            </w:pPr>
            <w:r w:rsidRPr="00867580">
              <w:rPr>
                <w:sz w:val="28"/>
                <w:szCs w:val="28"/>
                <w:lang w:eastAsia="en-AU"/>
              </w:rPr>
              <w:t>Movement Scale</w:t>
            </w:r>
          </w:p>
        </w:tc>
        <w:tc>
          <w:tcPr>
            <w:tcW w:w="0" w:type="auto"/>
            <w:tcBorders>
              <w:top w:val="single" w:sz="8" w:space="0" w:color="auto"/>
              <w:left w:val="single" w:sz="8" w:space="0" w:color="auto"/>
              <w:bottom w:val="single" w:sz="4" w:space="0" w:color="auto"/>
              <w:right w:val="single" w:sz="8" w:space="0" w:color="auto"/>
            </w:tcBorders>
            <w:shd w:val="clear" w:color="000000" w:fill="D0D0D0"/>
            <w:vAlign w:val="center"/>
            <w:hideMark/>
          </w:tcPr>
          <w:p w14:paraId="10EFEB8E" w14:textId="729B8E20" w:rsidR="00EC2E54" w:rsidRPr="00553C15" w:rsidRDefault="00EC2E54" w:rsidP="00EC2E54">
            <w:pPr>
              <w:spacing w:after="0" w:line="240" w:lineRule="auto"/>
              <w:jc w:val="center"/>
              <w:rPr>
                <w:b/>
                <w:szCs w:val="21"/>
                <w:lang w:eastAsia="en-AU"/>
              </w:rPr>
            </w:pPr>
            <w:r w:rsidRPr="00553C15">
              <w:rPr>
                <w:b/>
                <w:szCs w:val="21"/>
                <w:lang w:eastAsia="en-AU"/>
              </w:rPr>
              <w:t>5</w:t>
            </w:r>
            <w:r w:rsidR="00B94114">
              <w:rPr>
                <w:b/>
                <w:szCs w:val="21"/>
                <w:lang w:eastAsia="en-AU"/>
              </w:rPr>
              <w:t xml:space="preserve"> percentage</w:t>
            </w:r>
            <w:r w:rsidRPr="00553C15">
              <w:rPr>
                <w:b/>
                <w:szCs w:val="21"/>
                <w:lang w:eastAsia="en-AU"/>
              </w:rPr>
              <w:t xml:space="preserve"> points or more in direction of optimal outcome</w:t>
            </w:r>
          </w:p>
        </w:tc>
        <w:tc>
          <w:tcPr>
            <w:tcW w:w="0" w:type="auto"/>
            <w:tcBorders>
              <w:top w:val="nil"/>
              <w:left w:val="nil"/>
              <w:bottom w:val="single" w:sz="4" w:space="0" w:color="auto"/>
              <w:right w:val="single" w:sz="4" w:space="0" w:color="auto"/>
            </w:tcBorders>
            <w:vAlign w:val="center"/>
            <w:hideMark/>
          </w:tcPr>
          <w:p w14:paraId="5F2C6D8B" w14:textId="272714A0"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Substantial progress – Equality achieved (20)</w:t>
            </w:r>
          </w:p>
        </w:tc>
        <w:tc>
          <w:tcPr>
            <w:tcW w:w="0" w:type="auto"/>
            <w:tcBorders>
              <w:top w:val="nil"/>
              <w:left w:val="nil"/>
              <w:bottom w:val="single" w:sz="4" w:space="0" w:color="auto"/>
              <w:right w:val="single" w:sz="4" w:space="0" w:color="auto"/>
            </w:tcBorders>
            <w:vAlign w:val="center"/>
            <w:hideMark/>
          </w:tcPr>
          <w:p w14:paraId="467347DC" w14:textId="6D15ECED"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Substantial progress – On track (15)</w:t>
            </w:r>
          </w:p>
        </w:tc>
        <w:tc>
          <w:tcPr>
            <w:tcW w:w="0" w:type="auto"/>
            <w:tcBorders>
              <w:top w:val="nil"/>
              <w:left w:val="nil"/>
              <w:bottom w:val="single" w:sz="4" w:space="0" w:color="auto"/>
              <w:right w:val="single" w:sz="4" w:space="0" w:color="auto"/>
            </w:tcBorders>
            <w:vAlign w:val="center"/>
            <w:hideMark/>
          </w:tcPr>
          <w:p w14:paraId="4F989F02" w14:textId="14840C9C"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Substantial progress – On track (14)</w:t>
            </w:r>
          </w:p>
        </w:tc>
        <w:tc>
          <w:tcPr>
            <w:tcW w:w="0" w:type="auto"/>
            <w:tcBorders>
              <w:top w:val="nil"/>
              <w:left w:val="nil"/>
              <w:bottom w:val="single" w:sz="4" w:space="0" w:color="auto"/>
              <w:right w:val="single" w:sz="4" w:space="0" w:color="auto"/>
            </w:tcBorders>
            <w:vAlign w:val="center"/>
            <w:hideMark/>
          </w:tcPr>
          <w:p w14:paraId="2D18F2A2" w14:textId="5D678238"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Substantial progress – On track (13)</w:t>
            </w:r>
          </w:p>
        </w:tc>
      </w:tr>
      <w:tr w:rsidR="00EC2E54" w:rsidRPr="00FE4C30" w14:paraId="16199E28" w14:textId="77777777" w:rsidTr="00B2081E">
        <w:trPr>
          <w:trHeight w:val="1257"/>
        </w:trPr>
        <w:tc>
          <w:tcPr>
            <w:tcW w:w="0" w:type="auto"/>
            <w:vMerge/>
            <w:tcBorders>
              <w:top w:val="single" w:sz="8" w:space="0" w:color="auto"/>
              <w:left w:val="single" w:sz="8" w:space="0" w:color="auto"/>
              <w:bottom w:val="single" w:sz="8" w:space="0" w:color="000000"/>
              <w:right w:val="nil"/>
            </w:tcBorders>
            <w:vAlign w:val="center"/>
            <w:hideMark/>
          </w:tcPr>
          <w:p w14:paraId="5A4B097E"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4" w:space="0" w:color="auto"/>
              <w:right w:val="single" w:sz="8" w:space="0" w:color="auto"/>
            </w:tcBorders>
            <w:shd w:val="clear" w:color="000000" w:fill="D0D0D0"/>
            <w:vAlign w:val="center"/>
            <w:hideMark/>
          </w:tcPr>
          <w:p w14:paraId="0BB7FBF8" w14:textId="1E257EF8" w:rsidR="00EC2E54" w:rsidRPr="00553C15" w:rsidRDefault="00EC2E54" w:rsidP="00EC2E54">
            <w:pPr>
              <w:spacing w:after="0" w:line="240" w:lineRule="auto"/>
              <w:jc w:val="center"/>
              <w:rPr>
                <w:b/>
                <w:szCs w:val="21"/>
                <w:lang w:eastAsia="en-AU"/>
              </w:rPr>
            </w:pPr>
            <w:r w:rsidRPr="00553C15">
              <w:rPr>
                <w:b/>
                <w:szCs w:val="21"/>
                <w:lang w:eastAsia="en-AU"/>
              </w:rPr>
              <w:t xml:space="preserve">Between 2 </w:t>
            </w:r>
            <w:r w:rsidR="009C0417">
              <w:rPr>
                <w:b/>
                <w:szCs w:val="21"/>
                <w:lang w:eastAsia="en-AU"/>
              </w:rPr>
              <w:t>and</w:t>
            </w:r>
            <w:r w:rsidR="009C0417" w:rsidRPr="00553C15">
              <w:rPr>
                <w:b/>
                <w:szCs w:val="21"/>
                <w:lang w:eastAsia="en-AU"/>
              </w:rPr>
              <w:t xml:space="preserve"> </w:t>
            </w:r>
            <w:r w:rsidRPr="00553C15">
              <w:rPr>
                <w:b/>
                <w:szCs w:val="21"/>
                <w:lang w:eastAsia="en-AU"/>
              </w:rPr>
              <w:t>5</w:t>
            </w:r>
            <w:r w:rsidR="00B94114">
              <w:rPr>
                <w:b/>
                <w:szCs w:val="21"/>
                <w:lang w:eastAsia="en-AU"/>
              </w:rPr>
              <w:t xml:space="preserve"> percentage</w:t>
            </w:r>
            <w:r w:rsidRPr="00553C15">
              <w:rPr>
                <w:b/>
                <w:szCs w:val="21"/>
                <w:lang w:eastAsia="en-AU"/>
              </w:rPr>
              <w:t xml:space="preserve"> points in direction of optimal outcome</w:t>
            </w:r>
          </w:p>
        </w:tc>
        <w:tc>
          <w:tcPr>
            <w:tcW w:w="0" w:type="auto"/>
            <w:tcBorders>
              <w:top w:val="nil"/>
              <w:left w:val="nil"/>
              <w:bottom w:val="single" w:sz="4" w:space="0" w:color="auto"/>
              <w:right w:val="single" w:sz="4" w:space="0" w:color="auto"/>
            </w:tcBorders>
            <w:vAlign w:val="center"/>
            <w:hideMark/>
          </w:tcPr>
          <w:p w14:paraId="2C4A20BA" w14:textId="681220B2"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Good progress – Equality achieved (19)</w:t>
            </w:r>
          </w:p>
        </w:tc>
        <w:tc>
          <w:tcPr>
            <w:tcW w:w="0" w:type="auto"/>
            <w:tcBorders>
              <w:top w:val="nil"/>
              <w:left w:val="nil"/>
              <w:bottom w:val="single" w:sz="4" w:space="0" w:color="auto"/>
              <w:right w:val="single" w:sz="4" w:space="0" w:color="auto"/>
            </w:tcBorders>
            <w:vAlign w:val="center"/>
            <w:hideMark/>
          </w:tcPr>
          <w:p w14:paraId="32D64BEC" w14:textId="4EF8AC00"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Good progress – On track (12)</w:t>
            </w:r>
          </w:p>
        </w:tc>
        <w:tc>
          <w:tcPr>
            <w:tcW w:w="0" w:type="auto"/>
            <w:tcBorders>
              <w:top w:val="nil"/>
              <w:left w:val="nil"/>
              <w:bottom w:val="single" w:sz="4" w:space="0" w:color="auto"/>
              <w:right w:val="single" w:sz="4" w:space="0" w:color="auto"/>
            </w:tcBorders>
            <w:vAlign w:val="center"/>
            <w:hideMark/>
          </w:tcPr>
          <w:p w14:paraId="622B7A18" w14:textId="42B37181"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Good progress – On track (11)</w:t>
            </w:r>
          </w:p>
        </w:tc>
        <w:tc>
          <w:tcPr>
            <w:tcW w:w="0" w:type="auto"/>
            <w:tcBorders>
              <w:top w:val="nil"/>
              <w:left w:val="nil"/>
              <w:bottom w:val="single" w:sz="4" w:space="0" w:color="auto"/>
              <w:right w:val="single" w:sz="4" w:space="0" w:color="auto"/>
            </w:tcBorders>
            <w:vAlign w:val="center"/>
            <w:hideMark/>
          </w:tcPr>
          <w:p w14:paraId="38F7D0FF" w14:textId="628A9641"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Good progress – On track (10)</w:t>
            </w:r>
          </w:p>
        </w:tc>
      </w:tr>
      <w:tr w:rsidR="00EC2E54" w:rsidRPr="00FE4C30" w14:paraId="4FEBBB89" w14:textId="77777777" w:rsidTr="00B2081E">
        <w:trPr>
          <w:trHeight w:val="1261"/>
        </w:trPr>
        <w:tc>
          <w:tcPr>
            <w:tcW w:w="0" w:type="auto"/>
            <w:vMerge/>
            <w:tcBorders>
              <w:top w:val="single" w:sz="8" w:space="0" w:color="auto"/>
              <w:left w:val="single" w:sz="8" w:space="0" w:color="auto"/>
              <w:bottom w:val="single" w:sz="8" w:space="0" w:color="000000"/>
              <w:right w:val="nil"/>
            </w:tcBorders>
            <w:vAlign w:val="center"/>
            <w:hideMark/>
          </w:tcPr>
          <w:p w14:paraId="6FD51E00"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4" w:space="0" w:color="auto"/>
              <w:right w:val="single" w:sz="8" w:space="0" w:color="auto"/>
            </w:tcBorders>
            <w:shd w:val="clear" w:color="000000" w:fill="D0D0D0"/>
            <w:vAlign w:val="center"/>
            <w:hideMark/>
          </w:tcPr>
          <w:p w14:paraId="5DECCC0D" w14:textId="5D3AF243" w:rsidR="00EC2E54" w:rsidRPr="00553C15" w:rsidRDefault="00EC2E54" w:rsidP="00EC2E54">
            <w:pPr>
              <w:spacing w:after="0" w:line="240" w:lineRule="auto"/>
              <w:jc w:val="center"/>
              <w:rPr>
                <w:b/>
                <w:szCs w:val="21"/>
                <w:lang w:eastAsia="en-AU"/>
              </w:rPr>
            </w:pPr>
            <w:r w:rsidRPr="00553C15">
              <w:rPr>
                <w:b/>
                <w:szCs w:val="21"/>
                <w:lang w:eastAsia="en-AU"/>
              </w:rPr>
              <w:t xml:space="preserve">Less than 2 </w:t>
            </w:r>
            <w:r w:rsidR="00B94114">
              <w:rPr>
                <w:b/>
                <w:szCs w:val="21"/>
                <w:lang w:eastAsia="en-AU"/>
              </w:rPr>
              <w:t>percentage</w:t>
            </w:r>
            <w:r w:rsidRPr="00553C15">
              <w:rPr>
                <w:b/>
                <w:szCs w:val="21"/>
                <w:lang w:eastAsia="en-AU"/>
              </w:rPr>
              <w:t xml:space="preserve"> points in either direction of optimal outcome</w:t>
            </w:r>
          </w:p>
        </w:tc>
        <w:tc>
          <w:tcPr>
            <w:tcW w:w="0" w:type="auto"/>
            <w:tcBorders>
              <w:top w:val="nil"/>
              <w:left w:val="nil"/>
              <w:bottom w:val="single" w:sz="4" w:space="0" w:color="auto"/>
              <w:right w:val="single" w:sz="4" w:space="0" w:color="auto"/>
            </w:tcBorders>
            <w:vAlign w:val="center"/>
            <w:hideMark/>
          </w:tcPr>
          <w:p w14:paraId="605CF7D8" w14:textId="5E393D96"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Stable - Equality maintained (18)</w:t>
            </w:r>
          </w:p>
        </w:tc>
        <w:tc>
          <w:tcPr>
            <w:tcW w:w="0" w:type="auto"/>
            <w:tcBorders>
              <w:top w:val="nil"/>
              <w:left w:val="nil"/>
              <w:bottom w:val="single" w:sz="4" w:space="0" w:color="auto"/>
              <w:right w:val="single" w:sz="4" w:space="0" w:color="auto"/>
            </w:tcBorders>
            <w:vAlign w:val="center"/>
            <w:hideMark/>
          </w:tcPr>
          <w:p w14:paraId="699D139A" w14:textId="7F682F83" w:rsidR="00EC2E54" w:rsidRPr="00553C15" w:rsidRDefault="00EC2E54" w:rsidP="00B2081E">
            <w:pPr>
              <w:pStyle w:val="Tabletext"/>
              <w:jc w:val="center"/>
              <w:rPr>
                <w:szCs w:val="21"/>
                <w:lang w:eastAsia="en-AU"/>
              </w:rPr>
            </w:pPr>
            <w:r w:rsidRPr="00553C15">
              <w:rPr>
                <w:b/>
                <w:szCs w:val="21"/>
                <w:lang w:eastAsia="en-AU"/>
              </w:rPr>
              <w:t>Moderate</w:t>
            </w:r>
            <w:r w:rsidRPr="00553C15">
              <w:rPr>
                <w:szCs w:val="21"/>
                <w:lang w:eastAsia="en-AU"/>
              </w:rPr>
              <w:br/>
              <w:t>Stable (9)</w:t>
            </w:r>
          </w:p>
        </w:tc>
        <w:tc>
          <w:tcPr>
            <w:tcW w:w="0" w:type="auto"/>
            <w:tcBorders>
              <w:top w:val="nil"/>
              <w:left w:val="nil"/>
              <w:bottom w:val="single" w:sz="4" w:space="0" w:color="auto"/>
              <w:right w:val="single" w:sz="4" w:space="0" w:color="auto"/>
            </w:tcBorders>
            <w:vAlign w:val="center"/>
            <w:hideMark/>
          </w:tcPr>
          <w:p w14:paraId="4A05D7A2" w14:textId="54FC9CE0"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br/>
              <w:t>Stagnant – Not on track (8)</w:t>
            </w:r>
          </w:p>
        </w:tc>
        <w:tc>
          <w:tcPr>
            <w:tcW w:w="0" w:type="auto"/>
            <w:tcBorders>
              <w:top w:val="nil"/>
              <w:left w:val="nil"/>
              <w:bottom w:val="single" w:sz="4" w:space="0" w:color="auto"/>
              <w:right w:val="single" w:sz="4" w:space="0" w:color="auto"/>
            </w:tcBorders>
            <w:vAlign w:val="center"/>
            <w:hideMark/>
          </w:tcPr>
          <w:p w14:paraId="5D2E2FC7" w14:textId="7A1B2F7D"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t xml:space="preserve"> </w:t>
            </w:r>
            <w:r w:rsidRPr="00553C15">
              <w:rPr>
                <w:szCs w:val="21"/>
                <w:lang w:eastAsia="en-AU"/>
              </w:rPr>
              <w:br/>
              <w:t xml:space="preserve"> Stagnant – Not on track (7)</w:t>
            </w:r>
          </w:p>
        </w:tc>
      </w:tr>
      <w:tr w:rsidR="00EC2E54" w:rsidRPr="00FE4C30" w14:paraId="1851ECF7" w14:textId="77777777" w:rsidTr="00B2081E">
        <w:trPr>
          <w:trHeight w:val="1393"/>
        </w:trPr>
        <w:tc>
          <w:tcPr>
            <w:tcW w:w="0" w:type="auto"/>
            <w:vMerge/>
            <w:tcBorders>
              <w:top w:val="single" w:sz="8" w:space="0" w:color="auto"/>
              <w:left w:val="single" w:sz="8" w:space="0" w:color="auto"/>
              <w:bottom w:val="single" w:sz="8" w:space="0" w:color="000000"/>
              <w:right w:val="nil"/>
            </w:tcBorders>
            <w:vAlign w:val="center"/>
            <w:hideMark/>
          </w:tcPr>
          <w:p w14:paraId="2186533C"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4" w:space="0" w:color="auto"/>
              <w:right w:val="single" w:sz="8" w:space="0" w:color="auto"/>
            </w:tcBorders>
            <w:shd w:val="clear" w:color="000000" w:fill="D0D0D0"/>
            <w:vAlign w:val="center"/>
            <w:hideMark/>
          </w:tcPr>
          <w:p w14:paraId="3933DDD1" w14:textId="19C12B6F" w:rsidR="00EC2E54" w:rsidRPr="00553C15" w:rsidRDefault="00EC2E54" w:rsidP="00EC2E54">
            <w:pPr>
              <w:spacing w:after="0" w:line="240" w:lineRule="auto"/>
              <w:jc w:val="center"/>
              <w:rPr>
                <w:b/>
                <w:szCs w:val="21"/>
                <w:lang w:eastAsia="en-AU"/>
              </w:rPr>
            </w:pPr>
            <w:r w:rsidRPr="00553C15">
              <w:rPr>
                <w:b/>
                <w:szCs w:val="21"/>
                <w:lang w:eastAsia="en-AU"/>
              </w:rPr>
              <w:t xml:space="preserve">Between 2 </w:t>
            </w:r>
            <w:r w:rsidR="009C0417">
              <w:rPr>
                <w:b/>
                <w:szCs w:val="21"/>
                <w:lang w:eastAsia="en-AU"/>
              </w:rPr>
              <w:t>and</w:t>
            </w:r>
            <w:r w:rsidR="009C0417" w:rsidRPr="00553C15">
              <w:rPr>
                <w:b/>
                <w:szCs w:val="21"/>
                <w:lang w:eastAsia="en-AU"/>
              </w:rPr>
              <w:t xml:space="preserve"> </w:t>
            </w:r>
            <w:r w:rsidRPr="00553C15">
              <w:rPr>
                <w:b/>
                <w:szCs w:val="21"/>
                <w:lang w:eastAsia="en-AU"/>
              </w:rPr>
              <w:t>5</w:t>
            </w:r>
            <w:r w:rsidR="00B94114">
              <w:rPr>
                <w:b/>
                <w:szCs w:val="21"/>
                <w:lang w:eastAsia="en-AU"/>
              </w:rPr>
              <w:t xml:space="preserve"> percentage</w:t>
            </w:r>
            <w:r w:rsidRPr="00553C15">
              <w:rPr>
                <w:b/>
                <w:szCs w:val="21"/>
                <w:lang w:eastAsia="en-AU"/>
              </w:rPr>
              <w:t xml:space="preserve"> points away from optimal outcome</w:t>
            </w:r>
          </w:p>
        </w:tc>
        <w:tc>
          <w:tcPr>
            <w:tcW w:w="0" w:type="auto"/>
            <w:tcBorders>
              <w:top w:val="nil"/>
              <w:left w:val="nil"/>
              <w:bottom w:val="single" w:sz="4" w:space="0" w:color="auto"/>
              <w:right w:val="single" w:sz="4" w:space="0" w:color="auto"/>
            </w:tcBorders>
            <w:vAlign w:val="center"/>
            <w:hideMark/>
          </w:tcPr>
          <w:p w14:paraId="15D17D89" w14:textId="73AA7B2D"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Slight decline - Equality maintained (17)</w:t>
            </w:r>
          </w:p>
        </w:tc>
        <w:tc>
          <w:tcPr>
            <w:tcW w:w="0" w:type="auto"/>
            <w:tcBorders>
              <w:top w:val="nil"/>
              <w:left w:val="nil"/>
              <w:bottom w:val="single" w:sz="4" w:space="0" w:color="auto"/>
              <w:right w:val="single" w:sz="4" w:space="0" w:color="auto"/>
            </w:tcBorders>
            <w:vAlign w:val="center"/>
            <w:hideMark/>
          </w:tcPr>
          <w:p w14:paraId="20C9A5BF" w14:textId="6E446A7A"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br/>
              <w:t>Slight Decline - Not on track (6)</w:t>
            </w:r>
          </w:p>
        </w:tc>
        <w:tc>
          <w:tcPr>
            <w:tcW w:w="0" w:type="auto"/>
            <w:tcBorders>
              <w:top w:val="nil"/>
              <w:left w:val="nil"/>
              <w:bottom w:val="single" w:sz="4" w:space="0" w:color="auto"/>
              <w:right w:val="single" w:sz="4" w:space="0" w:color="auto"/>
            </w:tcBorders>
            <w:vAlign w:val="center"/>
            <w:hideMark/>
          </w:tcPr>
          <w:p w14:paraId="72E853F8" w14:textId="45C7E930" w:rsidR="00EC2E54" w:rsidRPr="00553C15" w:rsidRDefault="00EC2E54" w:rsidP="00B2081E">
            <w:pPr>
              <w:pStyle w:val="Tabletext"/>
              <w:jc w:val="center"/>
              <w:rPr>
                <w:szCs w:val="21"/>
                <w:lang w:eastAsia="en-AU"/>
              </w:rPr>
            </w:pPr>
            <w:r w:rsidRPr="00553C15">
              <w:rPr>
                <w:b/>
                <w:szCs w:val="21"/>
                <w:lang w:eastAsia="en-AU"/>
              </w:rPr>
              <w:t>Poor</w:t>
            </w:r>
            <w:r w:rsidRPr="00553C15">
              <w:rPr>
                <w:szCs w:val="21"/>
                <w:lang w:eastAsia="en-AU"/>
              </w:rPr>
              <w:br/>
              <w:t>Slight Decline- Not on track (5)</w:t>
            </w:r>
          </w:p>
        </w:tc>
        <w:tc>
          <w:tcPr>
            <w:tcW w:w="0" w:type="auto"/>
            <w:tcBorders>
              <w:top w:val="nil"/>
              <w:left w:val="nil"/>
              <w:bottom w:val="single" w:sz="4" w:space="0" w:color="auto"/>
              <w:right w:val="single" w:sz="4" w:space="0" w:color="auto"/>
            </w:tcBorders>
            <w:vAlign w:val="center"/>
            <w:hideMark/>
          </w:tcPr>
          <w:p w14:paraId="55EA4B27" w14:textId="2149AACF"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t xml:space="preserve"> </w:t>
            </w:r>
            <w:r w:rsidRPr="00553C15">
              <w:rPr>
                <w:szCs w:val="21"/>
                <w:lang w:eastAsia="en-AU"/>
              </w:rPr>
              <w:br/>
              <w:t>Slight Decline – Not on track (4)</w:t>
            </w:r>
          </w:p>
        </w:tc>
      </w:tr>
      <w:tr w:rsidR="00EC2E54" w:rsidRPr="00FE4C30" w14:paraId="1FBA16BA" w14:textId="77777777" w:rsidTr="00B2081E">
        <w:trPr>
          <w:trHeight w:val="1257"/>
        </w:trPr>
        <w:tc>
          <w:tcPr>
            <w:tcW w:w="0" w:type="auto"/>
            <w:vMerge/>
            <w:tcBorders>
              <w:top w:val="single" w:sz="8" w:space="0" w:color="auto"/>
              <w:left w:val="single" w:sz="8" w:space="0" w:color="auto"/>
              <w:bottom w:val="single" w:sz="8" w:space="0" w:color="000000"/>
              <w:right w:val="nil"/>
            </w:tcBorders>
            <w:vAlign w:val="center"/>
            <w:hideMark/>
          </w:tcPr>
          <w:p w14:paraId="19FC7262" w14:textId="77777777" w:rsidR="00EC2E54" w:rsidRPr="00FE4C30" w:rsidRDefault="00EC2E54" w:rsidP="00EC2E54">
            <w:pPr>
              <w:spacing w:after="0" w:line="240" w:lineRule="auto"/>
              <w:rPr>
                <w:rFonts w:cs="Arial"/>
                <w:color w:val="000000"/>
                <w:sz w:val="44"/>
                <w:szCs w:val="44"/>
                <w:lang w:eastAsia="en-AU"/>
              </w:rPr>
            </w:pPr>
          </w:p>
        </w:tc>
        <w:tc>
          <w:tcPr>
            <w:tcW w:w="0" w:type="auto"/>
            <w:tcBorders>
              <w:top w:val="nil"/>
              <w:left w:val="single" w:sz="8" w:space="0" w:color="auto"/>
              <w:bottom w:val="single" w:sz="8" w:space="0" w:color="auto"/>
              <w:right w:val="single" w:sz="8" w:space="0" w:color="auto"/>
            </w:tcBorders>
            <w:shd w:val="clear" w:color="000000" w:fill="D0D0D0"/>
            <w:vAlign w:val="center"/>
            <w:hideMark/>
          </w:tcPr>
          <w:p w14:paraId="04BCEB5A" w14:textId="67C866FF" w:rsidR="00EC2E54" w:rsidRPr="00553C15" w:rsidRDefault="00EC2E54" w:rsidP="00EC2E54">
            <w:pPr>
              <w:spacing w:after="0" w:line="240" w:lineRule="auto"/>
              <w:jc w:val="center"/>
              <w:rPr>
                <w:b/>
                <w:szCs w:val="21"/>
                <w:lang w:eastAsia="en-AU"/>
              </w:rPr>
            </w:pPr>
            <w:r w:rsidRPr="00553C15">
              <w:rPr>
                <w:b/>
                <w:szCs w:val="21"/>
                <w:lang w:eastAsia="en-AU"/>
              </w:rPr>
              <w:t>5</w:t>
            </w:r>
            <w:r w:rsidR="00B94114">
              <w:rPr>
                <w:b/>
                <w:szCs w:val="21"/>
                <w:lang w:eastAsia="en-AU"/>
              </w:rPr>
              <w:t xml:space="preserve"> percentage</w:t>
            </w:r>
            <w:r w:rsidRPr="00553C15">
              <w:rPr>
                <w:b/>
                <w:szCs w:val="21"/>
                <w:lang w:eastAsia="en-AU"/>
              </w:rPr>
              <w:t xml:space="preserve"> points or more away from optimal outcome</w:t>
            </w:r>
          </w:p>
        </w:tc>
        <w:tc>
          <w:tcPr>
            <w:tcW w:w="0" w:type="auto"/>
            <w:tcBorders>
              <w:top w:val="nil"/>
              <w:left w:val="nil"/>
              <w:bottom w:val="single" w:sz="4" w:space="0" w:color="auto"/>
              <w:right w:val="single" w:sz="4" w:space="0" w:color="auto"/>
            </w:tcBorders>
            <w:vAlign w:val="center"/>
            <w:hideMark/>
          </w:tcPr>
          <w:p w14:paraId="5E9D95B0" w14:textId="51B5B159" w:rsidR="00EC2E54" w:rsidRPr="00553C15" w:rsidRDefault="00EC2E54" w:rsidP="00B2081E">
            <w:pPr>
              <w:pStyle w:val="Tabletext"/>
              <w:jc w:val="center"/>
              <w:rPr>
                <w:szCs w:val="21"/>
                <w:lang w:eastAsia="en-AU"/>
              </w:rPr>
            </w:pPr>
            <w:r w:rsidRPr="00553C15">
              <w:rPr>
                <w:b/>
                <w:szCs w:val="21"/>
                <w:lang w:eastAsia="en-AU"/>
              </w:rPr>
              <w:t>Excellent</w:t>
            </w:r>
            <w:r w:rsidRPr="00553C15">
              <w:rPr>
                <w:szCs w:val="21"/>
                <w:lang w:eastAsia="en-AU"/>
              </w:rPr>
              <w:br/>
              <w:t>Worsening - Equality maintained (16)</w:t>
            </w:r>
          </w:p>
        </w:tc>
        <w:tc>
          <w:tcPr>
            <w:tcW w:w="0" w:type="auto"/>
            <w:tcBorders>
              <w:top w:val="nil"/>
              <w:left w:val="nil"/>
              <w:bottom w:val="single" w:sz="4" w:space="0" w:color="auto"/>
              <w:right w:val="single" w:sz="4" w:space="0" w:color="auto"/>
            </w:tcBorders>
            <w:vAlign w:val="center"/>
            <w:hideMark/>
          </w:tcPr>
          <w:p w14:paraId="5E847167" w14:textId="55B92D9A"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br/>
              <w:t>Worsening – Not on track (3)</w:t>
            </w:r>
          </w:p>
        </w:tc>
        <w:tc>
          <w:tcPr>
            <w:tcW w:w="0" w:type="auto"/>
            <w:tcBorders>
              <w:top w:val="nil"/>
              <w:left w:val="nil"/>
              <w:bottom w:val="single" w:sz="4" w:space="0" w:color="auto"/>
              <w:right w:val="single" w:sz="4" w:space="0" w:color="auto"/>
            </w:tcBorders>
            <w:vAlign w:val="center"/>
            <w:hideMark/>
          </w:tcPr>
          <w:p w14:paraId="19FF6EE9" w14:textId="3C17462F"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br/>
              <w:t>Worsening – Not on track (2)</w:t>
            </w:r>
          </w:p>
        </w:tc>
        <w:tc>
          <w:tcPr>
            <w:tcW w:w="0" w:type="auto"/>
            <w:tcBorders>
              <w:top w:val="nil"/>
              <w:left w:val="nil"/>
              <w:bottom w:val="single" w:sz="4" w:space="0" w:color="auto"/>
              <w:right w:val="single" w:sz="4" w:space="0" w:color="auto"/>
            </w:tcBorders>
            <w:vAlign w:val="center"/>
            <w:hideMark/>
          </w:tcPr>
          <w:p w14:paraId="774EA919" w14:textId="63EC5FB9" w:rsidR="00EC2E54" w:rsidRPr="00553C15" w:rsidRDefault="00EC2E54" w:rsidP="00B2081E">
            <w:pPr>
              <w:pStyle w:val="Tabletext"/>
              <w:jc w:val="center"/>
              <w:rPr>
                <w:szCs w:val="21"/>
                <w:lang w:eastAsia="en-AU"/>
              </w:rPr>
            </w:pPr>
            <w:r w:rsidRPr="00553C15">
              <w:rPr>
                <w:b/>
                <w:szCs w:val="21"/>
                <w:lang w:eastAsia="en-AU"/>
              </w:rPr>
              <w:t>Very poor</w:t>
            </w:r>
            <w:r w:rsidRPr="00553C15">
              <w:rPr>
                <w:szCs w:val="21"/>
                <w:lang w:eastAsia="en-AU"/>
              </w:rPr>
              <w:br/>
              <w:t xml:space="preserve"> Worsening - Not on track (1)</w:t>
            </w:r>
          </w:p>
        </w:tc>
      </w:tr>
    </w:tbl>
    <w:p w14:paraId="12745DEA" w14:textId="67BD8514" w:rsidR="00377E90" w:rsidRPr="00C27278" w:rsidRDefault="00EF55D9" w:rsidP="005F688D">
      <w:pPr>
        <w:pStyle w:val="Heading3"/>
        <w:rPr>
          <w:rFonts w:cs="Arial"/>
          <w:lang w:eastAsia="en-AU"/>
        </w:rPr>
      </w:pPr>
      <w:r w:rsidRPr="00C27278">
        <w:rPr>
          <w:rFonts w:cs="Arial"/>
          <w:lang w:eastAsia="en-AU"/>
        </w:rPr>
        <w:t xml:space="preserve">Holistic </w:t>
      </w:r>
      <w:r w:rsidR="003047BF" w:rsidRPr="00C27278">
        <w:rPr>
          <w:rFonts w:cs="Arial"/>
          <w:lang w:eastAsia="en-AU"/>
        </w:rPr>
        <w:t>ratings</w:t>
      </w:r>
    </w:p>
    <w:p w14:paraId="5563FC49" w14:textId="24334EBD" w:rsidR="002732F9" w:rsidRPr="00C27278" w:rsidRDefault="00CE18D7" w:rsidP="00CE18D7">
      <w:pPr>
        <w:pStyle w:val="Bullet1"/>
        <w:numPr>
          <w:ilvl w:val="0"/>
          <w:numId w:val="0"/>
        </w:numPr>
        <w:rPr>
          <w:lang w:eastAsia="en-AU"/>
        </w:rPr>
      </w:pPr>
      <w:r w:rsidRPr="00C27278">
        <w:rPr>
          <w:lang w:eastAsia="en-AU"/>
        </w:rPr>
        <w:t>The Commission identified</w:t>
      </w:r>
      <w:r w:rsidR="002732F9" w:rsidRPr="00C27278">
        <w:rPr>
          <w:lang w:eastAsia="en-AU"/>
        </w:rPr>
        <w:t xml:space="preserve"> 3</w:t>
      </w:r>
      <w:r w:rsidR="00231B23" w:rsidRPr="00C27278">
        <w:rPr>
          <w:lang w:eastAsia="en-AU"/>
        </w:rPr>
        <w:t xml:space="preserve"> areas</w:t>
      </w:r>
      <w:r w:rsidRPr="00C27278">
        <w:rPr>
          <w:lang w:eastAsia="en-AU"/>
        </w:rPr>
        <w:t xml:space="preserve"> that require a more holistic interpretation of progress</w:t>
      </w:r>
      <w:r w:rsidR="002732F9" w:rsidRPr="00C27278">
        <w:rPr>
          <w:lang w:eastAsia="en-AU"/>
        </w:rPr>
        <w:t xml:space="preserve">. These </w:t>
      </w:r>
      <w:r w:rsidR="00835CFC">
        <w:rPr>
          <w:lang w:eastAsia="en-AU"/>
        </w:rPr>
        <w:t>are</w:t>
      </w:r>
      <w:r w:rsidR="002732F9" w:rsidRPr="00C27278">
        <w:rPr>
          <w:lang w:eastAsia="en-AU"/>
        </w:rPr>
        <w:t xml:space="preserve">: </w:t>
      </w:r>
    </w:p>
    <w:p w14:paraId="03308277" w14:textId="595E6BFF" w:rsidR="004568F2" w:rsidRPr="00C27278" w:rsidRDefault="002F3B71" w:rsidP="004568F2">
      <w:pPr>
        <w:pStyle w:val="Bullet1"/>
        <w:rPr>
          <w:lang w:eastAsia="en-AU"/>
        </w:rPr>
      </w:pPr>
      <w:r>
        <w:rPr>
          <w:lang w:eastAsia="en-AU"/>
        </w:rPr>
        <w:t>u</w:t>
      </w:r>
      <w:r w:rsidR="004568F2" w:rsidRPr="00C27278">
        <w:rPr>
          <w:lang w:eastAsia="en-AU"/>
        </w:rPr>
        <w:t>ptake of part-time work</w:t>
      </w:r>
    </w:p>
    <w:p w14:paraId="0A2773C0" w14:textId="792D5635" w:rsidR="004568F2" w:rsidRPr="00C27278" w:rsidRDefault="002F3B71" w:rsidP="004568F2">
      <w:pPr>
        <w:pStyle w:val="Bullet1"/>
        <w:rPr>
          <w:lang w:eastAsia="en-AU"/>
        </w:rPr>
      </w:pPr>
      <w:r>
        <w:rPr>
          <w:lang w:eastAsia="en-AU"/>
        </w:rPr>
        <w:t>u</w:t>
      </w:r>
      <w:r w:rsidR="004568F2" w:rsidRPr="00C27278">
        <w:rPr>
          <w:lang w:eastAsia="en-AU"/>
        </w:rPr>
        <w:t>ptake of flexible work</w:t>
      </w:r>
    </w:p>
    <w:p w14:paraId="308D8EB1" w14:textId="3FD5A87B" w:rsidR="004568F2" w:rsidRPr="00C27278" w:rsidRDefault="002F3B71" w:rsidP="004568F2">
      <w:pPr>
        <w:pStyle w:val="Bullet1"/>
        <w:rPr>
          <w:lang w:eastAsia="en-AU"/>
        </w:rPr>
      </w:pPr>
      <w:r>
        <w:rPr>
          <w:lang w:eastAsia="en-AU"/>
        </w:rPr>
        <w:t>u</w:t>
      </w:r>
      <w:r w:rsidR="004568F2" w:rsidRPr="00C27278">
        <w:rPr>
          <w:lang w:eastAsia="en-AU"/>
        </w:rPr>
        <w:t>ptake of parental leave</w:t>
      </w:r>
      <w:r w:rsidR="00A67583">
        <w:rPr>
          <w:lang w:eastAsia="en-AU"/>
        </w:rPr>
        <w:t>.</w:t>
      </w:r>
    </w:p>
    <w:p w14:paraId="6DC80AB7" w14:textId="1FAFAC1B" w:rsidR="00BC6591" w:rsidRPr="00C27278" w:rsidRDefault="00CE18D7" w:rsidP="00CE7F15">
      <w:pPr>
        <w:pStyle w:val="Bodyafterbullets"/>
        <w:rPr>
          <w:lang w:eastAsia="en-AU"/>
        </w:rPr>
      </w:pPr>
      <w:r w:rsidRPr="00C27278">
        <w:rPr>
          <w:lang w:eastAsia="en-AU"/>
        </w:rPr>
        <w:t xml:space="preserve">In these cases, it was not possible to assign an ideal outcome and produce a corresponding matrix. This was because assessing progress relied on interpreting </w:t>
      </w:r>
      <w:r w:rsidR="0005539E">
        <w:rPr>
          <w:lang w:eastAsia="en-AU"/>
        </w:rPr>
        <w:t>2</w:t>
      </w:r>
      <w:r w:rsidRPr="00C27278">
        <w:rPr>
          <w:lang w:eastAsia="en-AU"/>
        </w:rPr>
        <w:t xml:space="preserve"> distinct measures in relation to one another. For example, in the case of parental leave, there is no ideal number of weeks that men and women should be taking. Instead, to assess progress, </w:t>
      </w:r>
      <w:r w:rsidR="005C2692" w:rsidRPr="00C27278">
        <w:rPr>
          <w:lang w:eastAsia="en-AU"/>
        </w:rPr>
        <w:t>expert assessors</w:t>
      </w:r>
      <w:r w:rsidRPr="00C27278">
        <w:rPr>
          <w:lang w:eastAsia="en-AU"/>
        </w:rPr>
        <w:t xml:space="preserve"> considered changes in the duration of leave by gender, combined with whether the gender gap in the </w:t>
      </w:r>
      <w:r w:rsidR="00CE7F15" w:rsidRPr="00C27278">
        <w:rPr>
          <w:lang w:eastAsia="en-AU"/>
        </w:rPr>
        <w:t xml:space="preserve">average </w:t>
      </w:r>
      <w:r w:rsidRPr="00C27278">
        <w:rPr>
          <w:lang w:eastAsia="en-AU"/>
        </w:rPr>
        <w:t>number of weeks of parental leave tak</w:t>
      </w:r>
      <w:r w:rsidR="00CE7F15" w:rsidRPr="00C27278">
        <w:rPr>
          <w:lang w:eastAsia="en-AU"/>
        </w:rPr>
        <w:t>en</w:t>
      </w:r>
      <w:r w:rsidRPr="00C27278">
        <w:rPr>
          <w:lang w:eastAsia="en-AU"/>
        </w:rPr>
        <w:t xml:space="preserve"> was getting bigger or smaller</w:t>
      </w:r>
      <w:r w:rsidR="003627C3" w:rsidRPr="00C27278">
        <w:rPr>
          <w:lang w:eastAsia="en-AU"/>
        </w:rPr>
        <w:t xml:space="preserve">. </w:t>
      </w:r>
    </w:p>
    <w:p w14:paraId="66E81673" w14:textId="63953E29" w:rsidR="00CE18D7" w:rsidRPr="00C27278" w:rsidRDefault="00CE7F15" w:rsidP="00CE18D7">
      <w:pPr>
        <w:pStyle w:val="Bullet1"/>
        <w:numPr>
          <w:ilvl w:val="0"/>
          <w:numId w:val="0"/>
        </w:numPr>
        <w:rPr>
          <w:lang w:eastAsia="en-AU"/>
        </w:rPr>
      </w:pPr>
      <w:r w:rsidRPr="00C27278">
        <w:rPr>
          <w:lang w:eastAsia="en-AU"/>
        </w:rPr>
        <w:t>The p</w:t>
      </w:r>
      <w:r w:rsidR="00BC6591" w:rsidRPr="00C27278">
        <w:rPr>
          <w:lang w:eastAsia="en-AU"/>
        </w:rPr>
        <w:t xml:space="preserve">rogress </w:t>
      </w:r>
      <w:r w:rsidRPr="00C27278">
        <w:rPr>
          <w:lang w:eastAsia="en-AU"/>
        </w:rPr>
        <w:t>rating</w:t>
      </w:r>
      <w:r w:rsidR="001C7E66" w:rsidRPr="00C27278">
        <w:rPr>
          <w:lang w:eastAsia="en-AU"/>
        </w:rPr>
        <w:t xml:space="preserve"> scale</w:t>
      </w:r>
      <w:r w:rsidR="00BC6591" w:rsidRPr="00C27278">
        <w:rPr>
          <w:lang w:eastAsia="en-AU"/>
        </w:rPr>
        <w:t xml:space="preserve"> for </w:t>
      </w:r>
      <w:r w:rsidR="001051EE" w:rsidRPr="00C27278">
        <w:rPr>
          <w:lang w:eastAsia="en-AU"/>
        </w:rPr>
        <w:t xml:space="preserve">measures assessed </w:t>
      </w:r>
      <w:r w:rsidR="00BC6591" w:rsidRPr="00C27278">
        <w:rPr>
          <w:lang w:eastAsia="en-AU"/>
        </w:rPr>
        <w:t>h</w:t>
      </w:r>
      <w:r w:rsidR="003627C3" w:rsidRPr="00C27278">
        <w:rPr>
          <w:lang w:eastAsia="en-AU"/>
        </w:rPr>
        <w:t>olistic</w:t>
      </w:r>
      <w:r w:rsidR="001051EE" w:rsidRPr="00C27278">
        <w:rPr>
          <w:lang w:eastAsia="en-AU"/>
        </w:rPr>
        <w:t>ally</w:t>
      </w:r>
      <w:r w:rsidR="003627C3" w:rsidRPr="00C27278">
        <w:rPr>
          <w:lang w:eastAsia="en-AU"/>
        </w:rPr>
        <w:t xml:space="preserve"> </w:t>
      </w:r>
      <w:r w:rsidR="00622947">
        <w:rPr>
          <w:lang w:eastAsia="en-AU"/>
        </w:rPr>
        <w:t>mirrors the matrix ra</w:t>
      </w:r>
      <w:r w:rsidR="00246BCB">
        <w:rPr>
          <w:lang w:eastAsia="en-AU"/>
        </w:rPr>
        <w:t>ting scale of</w:t>
      </w:r>
      <w:r w:rsidR="009E68C3" w:rsidRPr="00C27278">
        <w:rPr>
          <w:lang w:eastAsia="en-AU"/>
        </w:rPr>
        <w:t>:</w:t>
      </w:r>
    </w:p>
    <w:p w14:paraId="3C2740A9" w14:textId="77777777" w:rsidR="004E7043" w:rsidRPr="00FC18AE" w:rsidRDefault="004E7043" w:rsidP="004E7043">
      <w:pPr>
        <w:pStyle w:val="Bullet1"/>
      </w:pPr>
      <w:r>
        <w:t>E</w:t>
      </w:r>
      <w:r w:rsidRPr="00FC18AE">
        <w:t>xcellent</w:t>
      </w:r>
    </w:p>
    <w:p w14:paraId="2546AD0F" w14:textId="77777777" w:rsidR="00205D3F" w:rsidRPr="00FC18AE" w:rsidRDefault="004E7043" w:rsidP="00205D3F">
      <w:pPr>
        <w:pStyle w:val="Bullet1"/>
      </w:pPr>
      <w:r>
        <w:t>M</w:t>
      </w:r>
      <w:r w:rsidRPr="00FC18AE">
        <w:t>oderate</w:t>
      </w:r>
    </w:p>
    <w:p w14:paraId="70CF715E" w14:textId="44B31558" w:rsidR="004E7043" w:rsidRPr="00FC18AE" w:rsidRDefault="004E7043" w:rsidP="00205D3F">
      <w:pPr>
        <w:pStyle w:val="Bullet1"/>
      </w:pPr>
      <w:r>
        <w:t>P</w:t>
      </w:r>
      <w:r w:rsidRPr="00FC18AE">
        <w:t>oor</w:t>
      </w:r>
    </w:p>
    <w:p w14:paraId="607A6FEA" w14:textId="25B5167A" w:rsidR="00DB7DAE" w:rsidRPr="00FC18AE" w:rsidRDefault="00DB7DAE" w:rsidP="00DB7DAE">
      <w:pPr>
        <w:pStyle w:val="Bullet1"/>
      </w:pPr>
      <w:r>
        <w:t>V</w:t>
      </w:r>
      <w:r w:rsidRPr="00FC18AE">
        <w:t xml:space="preserve">ery poor </w:t>
      </w:r>
    </w:p>
    <w:p w14:paraId="7ED0CC2F" w14:textId="3AE2A33B" w:rsidR="007C0EBB" w:rsidRPr="004E0F81" w:rsidRDefault="002A1A06" w:rsidP="00107CED">
      <w:pPr>
        <w:pStyle w:val="Bodyafterbullets"/>
      </w:pPr>
      <w:r>
        <w:t>Holistic measures are indicated</w:t>
      </w:r>
      <w:r w:rsidR="00301CD9">
        <w:t xml:space="preserve"> in the </w:t>
      </w:r>
      <w:r w:rsidR="00FC18AE">
        <w:t>t</w:t>
      </w:r>
      <w:r w:rsidR="00301CD9">
        <w:t>ables</w:t>
      </w:r>
      <w:r w:rsidR="00DF3B66">
        <w:t xml:space="preserve"> in the report</w:t>
      </w:r>
      <w:r>
        <w:t xml:space="preserve"> by</w:t>
      </w:r>
      <w:r w:rsidR="004E062E">
        <w:t xml:space="preserve"> </w:t>
      </w:r>
      <w:r w:rsidR="0053281E" w:rsidRPr="00C27278">
        <w:t>including</w:t>
      </w:r>
      <w:r w:rsidRPr="00C27278">
        <w:t xml:space="preserve"> </w:t>
      </w:r>
      <w:r w:rsidR="004E062E" w:rsidRPr="00C27278">
        <w:t>(H</w:t>
      </w:r>
      <w:r w:rsidR="0053281E" w:rsidRPr="00C27278">
        <w:t>olistic</w:t>
      </w:r>
      <w:r w:rsidR="004E062E">
        <w:t>)</w:t>
      </w:r>
      <w:r>
        <w:t xml:space="preserve"> </w:t>
      </w:r>
      <w:r w:rsidR="00DF3B66">
        <w:t xml:space="preserve">after </w:t>
      </w:r>
      <w:r w:rsidR="00CD4702">
        <w:t xml:space="preserve">the progress </w:t>
      </w:r>
      <w:r w:rsidR="0094717F" w:rsidRPr="00C27278">
        <w:t>rating</w:t>
      </w:r>
      <w:r w:rsidR="004E062E">
        <w:t xml:space="preserve">. </w:t>
      </w:r>
    </w:p>
    <w:p w14:paraId="5A17586D" w14:textId="09A0D8A9" w:rsidR="007C0EBB" w:rsidRPr="00C27278" w:rsidRDefault="007C0EBB" w:rsidP="005F688D">
      <w:pPr>
        <w:pStyle w:val="Heading3"/>
        <w:rPr>
          <w:lang w:eastAsia="en-AU"/>
        </w:rPr>
      </w:pPr>
      <w:r w:rsidRPr="00C27278">
        <w:rPr>
          <w:lang w:eastAsia="en-AU"/>
        </w:rPr>
        <w:t xml:space="preserve">Proportionality </w:t>
      </w:r>
      <w:r w:rsidR="003047BF" w:rsidRPr="00C27278">
        <w:rPr>
          <w:lang w:eastAsia="en-AU"/>
        </w:rPr>
        <w:t>ratings</w:t>
      </w:r>
    </w:p>
    <w:p w14:paraId="6DCED28E" w14:textId="2A0B532F" w:rsidR="007C0EBB" w:rsidRPr="00C27278" w:rsidRDefault="001F05E3" w:rsidP="0078531C">
      <w:pPr>
        <w:pStyle w:val="BodyText"/>
        <w:rPr>
          <w:lang w:eastAsia="en-AU"/>
        </w:rPr>
      </w:pPr>
      <w:r w:rsidRPr="00C27278">
        <w:rPr>
          <w:lang w:eastAsia="en-AU"/>
        </w:rPr>
        <w:t>Proportionality</w:t>
      </w:r>
      <w:r w:rsidR="007C0EBB" w:rsidRPr="00C27278">
        <w:rPr>
          <w:lang w:eastAsia="en-AU"/>
        </w:rPr>
        <w:t xml:space="preserve"> </w:t>
      </w:r>
      <w:r w:rsidR="003047BF" w:rsidRPr="00C27278">
        <w:rPr>
          <w:lang w:eastAsia="en-AU"/>
        </w:rPr>
        <w:t>ratings</w:t>
      </w:r>
      <w:r w:rsidR="00CE2B8A" w:rsidRPr="00C27278">
        <w:rPr>
          <w:lang w:eastAsia="en-AU"/>
        </w:rPr>
        <w:t xml:space="preserve"> are</w:t>
      </w:r>
      <w:r w:rsidR="007C0EBB" w:rsidRPr="00C27278">
        <w:rPr>
          <w:lang w:eastAsia="en-AU"/>
        </w:rPr>
        <w:t xml:space="preserve"> used</w:t>
      </w:r>
      <w:r w:rsidRPr="00C27278">
        <w:rPr>
          <w:lang w:eastAsia="en-AU"/>
        </w:rPr>
        <w:t xml:space="preserve"> in </w:t>
      </w:r>
      <w:r w:rsidR="00F0772C" w:rsidRPr="00C27278">
        <w:rPr>
          <w:lang w:eastAsia="en-AU"/>
        </w:rPr>
        <w:t>Indicator 1</w:t>
      </w:r>
      <w:r w:rsidR="000427B6" w:rsidRPr="00C27278">
        <w:rPr>
          <w:lang w:eastAsia="en-AU"/>
        </w:rPr>
        <w:t xml:space="preserve"> </w:t>
      </w:r>
      <w:r w:rsidR="003047BF" w:rsidRPr="00C27278">
        <w:rPr>
          <w:lang w:eastAsia="en-AU"/>
        </w:rPr>
        <w:t>to</w:t>
      </w:r>
      <w:r w:rsidR="00CE2B8A" w:rsidRPr="00C27278">
        <w:rPr>
          <w:lang w:eastAsia="en-AU"/>
        </w:rPr>
        <w:t xml:space="preserve"> assess</w:t>
      </w:r>
      <w:r w:rsidR="007C0EBB" w:rsidRPr="00C27278">
        <w:rPr>
          <w:lang w:eastAsia="en-AU"/>
        </w:rPr>
        <w:t xml:space="preserve"> </w:t>
      </w:r>
      <w:r w:rsidR="003047BF" w:rsidRPr="00C27278">
        <w:rPr>
          <w:lang w:eastAsia="en-AU"/>
        </w:rPr>
        <w:t xml:space="preserve">progress </w:t>
      </w:r>
      <w:r w:rsidR="00801879">
        <w:rPr>
          <w:lang w:eastAsia="en-AU"/>
        </w:rPr>
        <w:t xml:space="preserve">on the gender composition of senior leaders </w:t>
      </w:r>
      <w:r w:rsidR="003047BF" w:rsidRPr="00C27278">
        <w:rPr>
          <w:lang w:eastAsia="en-AU"/>
        </w:rPr>
        <w:t xml:space="preserve">in </w:t>
      </w:r>
      <w:r w:rsidR="007C0EBB" w:rsidRPr="00C27278">
        <w:rPr>
          <w:lang w:eastAsia="en-AU"/>
        </w:rPr>
        <w:t>relat</w:t>
      </w:r>
      <w:r w:rsidR="003047BF" w:rsidRPr="00C27278">
        <w:rPr>
          <w:lang w:eastAsia="en-AU"/>
        </w:rPr>
        <w:t>ion</w:t>
      </w:r>
      <w:r w:rsidR="007C0EBB" w:rsidRPr="00C27278">
        <w:rPr>
          <w:lang w:eastAsia="en-AU"/>
        </w:rPr>
        <w:t xml:space="preserve"> to the </w:t>
      </w:r>
      <w:r w:rsidR="00F0772C" w:rsidRPr="00C27278">
        <w:rPr>
          <w:lang w:eastAsia="en-AU"/>
        </w:rPr>
        <w:t xml:space="preserve">overall </w:t>
      </w:r>
      <w:r w:rsidR="007C0EBB" w:rsidRPr="00C27278">
        <w:rPr>
          <w:lang w:eastAsia="en-AU"/>
        </w:rPr>
        <w:t>gender composition of the workforce</w:t>
      </w:r>
      <w:r w:rsidR="00334BFE" w:rsidRPr="00C27278">
        <w:rPr>
          <w:lang w:eastAsia="en-AU"/>
        </w:rPr>
        <w:t>. In these cases</w:t>
      </w:r>
      <w:r w:rsidRPr="00C27278">
        <w:rPr>
          <w:lang w:eastAsia="en-AU"/>
        </w:rPr>
        <w:t xml:space="preserve">, </w:t>
      </w:r>
      <w:r w:rsidR="00F0772C" w:rsidRPr="00C27278">
        <w:rPr>
          <w:lang w:eastAsia="en-AU"/>
        </w:rPr>
        <w:t xml:space="preserve">the progress </w:t>
      </w:r>
      <w:r w:rsidR="003047BF" w:rsidRPr="00C27278">
        <w:rPr>
          <w:lang w:eastAsia="en-AU"/>
        </w:rPr>
        <w:t>rating</w:t>
      </w:r>
      <w:r w:rsidR="00C257B5" w:rsidRPr="00C27278">
        <w:rPr>
          <w:lang w:eastAsia="en-AU"/>
        </w:rPr>
        <w:t xml:space="preserve"> </w:t>
      </w:r>
      <w:r w:rsidR="001C7E66" w:rsidRPr="00C27278">
        <w:rPr>
          <w:lang w:eastAsia="en-AU"/>
        </w:rPr>
        <w:t>scale is:</w:t>
      </w:r>
    </w:p>
    <w:p w14:paraId="61FFDB6E" w14:textId="7B25DC1F" w:rsidR="0013062D" w:rsidRDefault="0013062D" w:rsidP="007C074B">
      <w:pPr>
        <w:pStyle w:val="Bullet1"/>
      </w:pPr>
      <w:r w:rsidRPr="00FC18AE">
        <w:t>Improving</w:t>
      </w:r>
      <w:r>
        <w:t xml:space="preserve"> </w:t>
      </w:r>
      <w:r w:rsidR="007C074B">
        <w:t>(</w:t>
      </w:r>
      <w:r w:rsidR="001C7E66">
        <w:t xml:space="preserve">assigned when </w:t>
      </w:r>
      <w:r w:rsidR="003D11D6">
        <w:t xml:space="preserve">the </w:t>
      </w:r>
      <w:r w:rsidR="006314B8" w:rsidRPr="00C27278">
        <w:t>2025 data for the measure</w:t>
      </w:r>
      <w:r w:rsidR="003D11D6" w:rsidRPr="00C27278">
        <w:t xml:space="preserve"> </w:t>
      </w:r>
      <w:r w:rsidR="006314B8" w:rsidRPr="00C27278">
        <w:t>has</w:t>
      </w:r>
      <w:r w:rsidR="003D11D6" w:rsidRPr="00C27278">
        <w:t xml:space="preserve"> </w:t>
      </w:r>
      <w:r w:rsidR="002A0A23" w:rsidRPr="00C27278">
        <w:t>mov</w:t>
      </w:r>
      <w:r w:rsidR="006314B8" w:rsidRPr="00C27278">
        <w:t>ed</w:t>
      </w:r>
      <w:r w:rsidR="002A0A23">
        <w:t xml:space="preserve"> </w:t>
      </w:r>
      <w:r w:rsidR="007C074B">
        <w:t>c</w:t>
      </w:r>
      <w:r>
        <w:t xml:space="preserve">loser to </w:t>
      </w:r>
      <w:r w:rsidR="003D11D6">
        <w:t xml:space="preserve">the overall </w:t>
      </w:r>
      <w:r>
        <w:t>gender composition</w:t>
      </w:r>
      <w:r w:rsidR="003C2681" w:rsidRPr="00C27278">
        <w:t xml:space="preserve"> since 2021</w:t>
      </w:r>
      <w:r w:rsidR="007C074B">
        <w:t>)</w:t>
      </w:r>
    </w:p>
    <w:p w14:paraId="7BF863D7" w14:textId="2EE74983" w:rsidR="00A23D44" w:rsidRDefault="009D5E45" w:rsidP="007C074B">
      <w:pPr>
        <w:pStyle w:val="Bullet1"/>
      </w:pPr>
      <w:r w:rsidRPr="00FC18AE">
        <w:t>Proportional</w:t>
      </w:r>
      <w:r w:rsidR="00A23D44">
        <w:t xml:space="preserve"> (</w:t>
      </w:r>
      <w:r w:rsidR="003D11D6">
        <w:t xml:space="preserve">assigned when the </w:t>
      </w:r>
      <w:r w:rsidR="003C2681" w:rsidRPr="00C27278">
        <w:t>2025 data for the measure</w:t>
      </w:r>
      <w:r w:rsidR="00960B12">
        <w:t xml:space="preserve"> is within </w:t>
      </w:r>
      <w:r w:rsidR="00A23D44">
        <w:t xml:space="preserve">+/-5% </w:t>
      </w:r>
      <w:r w:rsidR="00960B12">
        <w:t>of the overall gender composition</w:t>
      </w:r>
      <w:r w:rsidR="00A23D44">
        <w:t>)</w:t>
      </w:r>
    </w:p>
    <w:p w14:paraId="5BB50AB1" w14:textId="7BB82AC1" w:rsidR="00E255A6" w:rsidRDefault="00E23DEC" w:rsidP="0013062D">
      <w:pPr>
        <w:pStyle w:val="Bullet1"/>
      </w:pPr>
      <w:r w:rsidRPr="00FC18AE">
        <w:t>Worsening</w:t>
      </w:r>
      <w:r w:rsidR="003D11D6">
        <w:t xml:space="preserve"> (assigned when the </w:t>
      </w:r>
      <w:r w:rsidR="003C2681" w:rsidRPr="00C27278">
        <w:t>2025 data for the measure has</w:t>
      </w:r>
      <w:r w:rsidR="003D11D6" w:rsidRPr="00C27278">
        <w:t xml:space="preserve"> </w:t>
      </w:r>
      <w:r w:rsidR="002A0A23" w:rsidRPr="00C27278">
        <w:t>mov</w:t>
      </w:r>
      <w:r w:rsidR="003C2681" w:rsidRPr="00C27278">
        <w:t>ed</w:t>
      </w:r>
      <w:r w:rsidR="003D11D6">
        <w:t xml:space="preserve"> further away from the overall gender composition</w:t>
      </w:r>
      <w:r w:rsidR="003C2681" w:rsidRPr="00C27278">
        <w:t xml:space="preserve"> since 2021</w:t>
      </w:r>
      <w:r w:rsidR="007C074B" w:rsidRPr="00C27278">
        <w:t>)</w:t>
      </w:r>
      <w:r w:rsidR="003A317F">
        <w:t>.</w:t>
      </w:r>
    </w:p>
    <w:p w14:paraId="6FB1160D" w14:textId="58B25324" w:rsidR="00E255A6" w:rsidRDefault="00377E90" w:rsidP="005F688D">
      <w:pPr>
        <w:pStyle w:val="Heading3"/>
      </w:pPr>
      <w:r>
        <w:t>Gender-concentrat</w:t>
      </w:r>
      <w:r w:rsidR="007C0EBB">
        <w:t>ion</w:t>
      </w:r>
      <w:r>
        <w:t xml:space="preserve"> </w:t>
      </w:r>
      <w:r w:rsidR="00BB0918" w:rsidRPr="00C27278">
        <w:t>ratings</w:t>
      </w:r>
    </w:p>
    <w:p w14:paraId="77D845A6" w14:textId="5600C351" w:rsidR="007C0EBB" w:rsidRDefault="0043378C" w:rsidP="0078531C">
      <w:pPr>
        <w:pStyle w:val="BodyText"/>
      </w:pPr>
      <w:r>
        <w:t xml:space="preserve">Gender-concentration </w:t>
      </w:r>
      <w:r w:rsidR="00BB0918" w:rsidRPr="00C27278">
        <w:t>ratings</w:t>
      </w:r>
      <w:r>
        <w:t xml:space="preserve"> are used in Indicator 7</w:t>
      </w:r>
      <w:r w:rsidR="00C450E1">
        <w:t xml:space="preserve"> </w:t>
      </w:r>
      <w:r w:rsidR="00E93B58">
        <w:t xml:space="preserve">to </w:t>
      </w:r>
      <w:r w:rsidR="009C2C05">
        <w:t xml:space="preserve">indicate </w:t>
      </w:r>
      <w:r w:rsidR="00C91B92">
        <w:t>how gender-concentrated an occupation or industry i</w:t>
      </w:r>
      <w:r w:rsidR="007B04AF">
        <w:t>s.</w:t>
      </w:r>
      <w:r w:rsidR="00C450E1" w:rsidRPr="00C27278">
        <w:t xml:space="preserve"> </w:t>
      </w:r>
      <w:r w:rsidR="007B04AF">
        <w:t>They</w:t>
      </w:r>
      <w:r w:rsidR="00354855">
        <w:t xml:space="preserve"> are comprised of two parts. The first </w:t>
      </w:r>
      <w:r w:rsidR="000D6588" w:rsidRPr="00C27278">
        <w:t>part</w:t>
      </w:r>
      <w:r w:rsidR="00354855" w:rsidRPr="00C27278">
        <w:t xml:space="preserve"> </w:t>
      </w:r>
      <w:r w:rsidR="000D6588" w:rsidRPr="00C27278">
        <w:t>summarises</w:t>
      </w:r>
      <w:r w:rsidR="00354855">
        <w:t xml:space="preserve"> the change</w:t>
      </w:r>
      <w:r w:rsidR="008023FF">
        <w:t>:</w:t>
      </w:r>
      <w:r w:rsidR="00093D30">
        <w:t xml:space="preserve"> </w:t>
      </w:r>
    </w:p>
    <w:p w14:paraId="24AA8CB9" w14:textId="3D9BFC94" w:rsidR="00354855" w:rsidRDefault="00354855" w:rsidP="00093D30">
      <w:pPr>
        <w:pStyle w:val="Bullet1"/>
      </w:pPr>
      <w:r>
        <w:t>More segregation</w:t>
      </w:r>
    </w:p>
    <w:p w14:paraId="59BA1517" w14:textId="3CFA7856" w:rsidR="00354855" w:rsidRDefault="00354855" w:rsidP="00093D30">
      <w:pPr>
        <w:pStyle w:val="Bullet1"/>
      </w:pPr>
      <w:r>
        <w:t>No change</w:t>
      </w:r>
    </w:p>
    <w:p w14:paraId="1802C073" w14:textId="4A2280BC" w:rsidR="00354855" w:rsidRDefault="00354855" w:rsidP="00093D30">
      <w:pPr>
        <w:pStyle w:val="Bullet1"/>
      </w:pPr>
      <w:r>
        <w:t xml:space="preserve">Less segregation </w:t>
      </w:r>
    </w:p>
    <w:p w14:paraId="53C82118" w14:textId="7A2AA86E" w:rsidR="00093D30" w:rsidRDefault="00093D30" w:rsidP="001051EE">
      <w:pPr>
        <w:pStyle w:val="Bodyafterbullets"/>
      </w:pPr>
      <w:r>
        <w:t xml:space="preserve">The second </w:t>
      </w:r>
      <w:r w:rsidR="001051EE" w:rsidRPr="00C27278">
        <w:t>part</w:t>
      </w:r>
      <w:r>
        <w:t xml:space="preserve"> </w:t>
      </w:r>
      <w:r w:rsidR="00262E20">
        <w:t xml:space="preserve">relates to the density of </w:t>
      </w:r>
      <w:r w:rsidR="001051EE" w:rsidRPr="00C27278">
        <w:t xml:space="preserve">the </w:t>
      </w:r>
      <w:r w:rsidR="00262E20">
        <w:t>gender</w:t>
      </w:r>
      <w:r w:rsidR="001051EE" w:rsidRPr="00C27278">
        <w:t xml:space="preserve"> </w:t>
      </w:r>
      <w:r w:rsidR="00262E20">
        <w:t>concentration:</w:t>
      </w:r>
    </w:p>
    <w:p w14:paraId="1EAE63E7" w14:textId="21069C9E" w:rsidR="007775AA" w:rsidRDefault="007775AA" w:rsidP="00CE2B8A">
      <w:pPr>
        <w:pStyle w:val="Bullet1"/>
      </w:pPr>
      <w:r>
        <w:t xml:space="preserve">Highly men-concentrated </w:t>
      </w:r>
      <w:r w:rsidR="00787A4B">
        <w:t>(</w:t>
      </w:r>
      <w:r w:rsidR="00AE23F5">
        <w:t>more than 75% men)</w:t>
      </w:r>
    </w:p>
    <w:p w14:paraId="47118B08" w14:textId="20A1BF9D" w:rsidR="007775AA" w:rsidRDefault="007775AA" w:rsidP="00CE2B8A">
      <w:pPr>
        <w:pStyle w:val="Bullet1"/>
      </w:pPr>
      <w:r>
        <w:t>Moderately men-concentrated</w:t>
      </w:r>
      <w:r w:rsidR="00AE23F5">
        <w:t xml:space="preserve"> (</w:t>
      </w:r>
      <w:r w:rsidR="00FC7FAF">
        <w:t xml:space="preserve">more than </w:t>
      </w:r>
      <w:r w:rsidR="00DE4E7C">
        <w:t>65% to</w:t>
      </w:r>
      <w:r w:rsidR="00AE23F5">
        <w:t xml:space="preserve"> 75% men)</w:t>
      </w:r>
    </w:p>
    <w:p w14:paraId="6F124159" w14:textId="6C611916" w:rsidR="007775AA" w:rsidRDefault="007775AA" w:rsidP="00CE2B8A">
      <w:pPr>
        <w:pStyle w:val="Bullet1"/>
      </w:pPr>
      <w:r>
        <w:t>Slightly men-concentrated</w:t>
      </w:r>
      <w:r w:rsidR="00B53D11">
        <w:t xml:space="preserve"> (</w:t>
      </w:r>
      <w:r w:rsidR="003F66AF">
        <w:t xml:space="preserve">more than </w:t>
      </w:r>
      <w:r w:rsidR="00B53D11">
        <w:t xml:space="preserve">55% to </w:t>
      </w:r>
      <w:r w:rsidR="008A3303">
        <w:t>65% men)</w:t>
      </w:r>
    </w:p>
    <w:p w14:paraId="2982D6E6" w14:textId="35A7946D" w:rsidR="007775AA" w:rsidRDefault="007775AA" w:rsidP="00CE2B8A">
      <w:pPr>
        <w:pStyle w:val="Bullet1"/>
      </w:pPr>
      <w:r w:rsidRPr="00C27278">
        <w:t xml:space="preserve">Gender-balanced </w:t>
      </w:r>
      <w:r w:rsidR="00FA7709">
        <w:t>(</w:t>
      </w:r>
      <w:r w:rsidR="00FA7709" w:rsidRPr="00FA7709">
        <w:t xml:space="preserve">45% </w:t>
      </w:r>
      <w:r w:rsidR="00640C09">
        <w:t>to 55%</w:t>
      </w:r>
      <w:r w:rsidR="00FA7709" w:rsidRPr="00FA7709">
        <w:t xml:space="preserve"> </w:t>
      </w:r>
      <w:r w:rsidR="00FA7709">
        <w:t>women</w:t>
      </w:r>
      <w:r w:rsidR="00FA7709" w:rsidRPr="00FA7709">
        <w:t xml:space="preserve">; </w:t>
      </w:r>
      <w:r w:rsidR="00640C09" w:rsidRPr="00FA7709">
        <w:t>45%</w:t>
      </w:r>
      <w:r w:rsidR="00FA7709" w:rsidRPr="00FA7709">
        <w:t xml:space="preserve"> to </w:t>
      </w:r>
      <w:r w:rsidR="00640C09">
        <w:t>55%</w:t>
      </w:r>
      <w:r w:rsidR="00FA7709" w:rsidRPr="00FA7709">
        <w:t xml:space="preserve"> </w:t>
      </w:r>
      <w:r w:rsidR="00FA7709">
        <w:t>men</w:t>
      </w:r>
      <w:r w:rsidR="00FA7709" w:rsidRPr="00FA7709">
        <w:t xml:space="preserve">; </w:t>
      </w:r>
      <w:r w:rsidR="004724D7">
        <w:t xml:space="preserve">up to </w:t>
      </w:r>
      <w:r w:rsidR="00FA7709" w:rsidRPr="00FA7709">
        <w:t xml:space="preserve">10% </w:t>
      </w:r>
      <w:r w:rsidR="00FA7709">
        <w:t>any gender)</w:t>
      </w:r>
    </w:p>
    <w:p w14:paraId="7A1DA9C4" w14:textId="07FE0E4B" w:rsidR="007775AA" w:rsidRDefault="007775AA" w:rsidP="00CE2B8A">
      <w:pPr>
        <w:pStyle w:val="Bullet1"/>
      </w:pPr>
      <w:r>
        <w:t>Slightly women-concentrated</w:t>
      </w:r>
      <w:r w:rsidR="008A3303">
        <w:t xml:space="preserve"> (</w:t>
      </w:r>
      <w:r w:rsidR="004724D7">
        <w:t xml:space="preserve">more than </w:t>
      </w:r>
      <w:r w:rsidR="008A3303">
        <w:t>55% to 65% women)</w:t>
      </w:r>
    </w:p>
    <w:p w14:paraId="18E02882" w14:textId="0ABA20FA" w:rsidR="007775AA" w:rsidRDefault="007775AA" w:rsidP="00CE2B8A">
      <w:pPr>
        <w:pStyle w:val="Bullet1"/>
      </w:pPr>
      <w:r>
        <w:t>Moderately women-concentrated</w:t>
      </w:r>
      <w:r w:rsidR="00DE4E7C">
        <w:t xml:space="preserve"> (</w:t>
      </w:r>
      <w:r w:rsidR="004724D7">
        <w:t xml:space="preserve">more than </w:t>
      </w:r>
      <w:r w:rsidR="00DE4E7C">
        <w:t>65% to 75% women)</w:t>
      </w:r>
    </w:p>
    <w:p w14:paraId="7D50A57C" w14:textId="4AC2B7AB" w:rsidR="002D1C86" w:rsidRPr="00C27278" w:rsidRDefault="007775AA" w:rsidP="00CE2B8A">
      <w:pPr>
        <w:pStyle w:val="Bullet1"/>
        <w:rPr>
          <w:lang w:eastAsia="en-AU"/>
        </w:rPr>
      </w:pPr>
      <w:r>
        <w:t>Highly-women concentrated</w:t>
      </w:r>
      <w:r w:rsidR="00DE4E7C" w:rsidRPr="00C27278">
        <w:t xml:space="preserve"> </w:t>
      </w:r>
      <w:r w:rsidR="00DE4E7C">
        <w:t>(more than 75% women)</w:t>
      </w:r>
      <w:r w:rsidR="007B04AF">
        <w:t>.</w:t>
      </w:r>
    </w:p>
    <w:p w14:paraId="1AB54648" w14:textId="4006BA19" w:rsidR="002D1C86" w:rsidRPr="00C27278" w:rsidRDefault="002D1C86" w:rsidP="002467B2">
      <w:pPr>
        <w:pStyle w:val="Heading2"/>
        <w:rPr>
          <w:lang w:eastAsia="en-AU"/>
        </w:rPr>
      </w:pPr>
      <w:bookmarkStart w:id="70" w:name="_Data_caveats"/>
      <w:bookmarkStart w:id="71" w:name="_Toc237259558"/>
      <w:bookmarkEnd w:id="70"/>
      <w:r w:rsidRPr="00C27278">
        <w:rPr>
          <w:lang w:eastAsia="en-AU"/>
        </w:rPr>
        <w:t>Data caveats</w:t>
      </w:r>
      <w:bookmarkEnd w:id="71"/>
    </w:p>
    <w:p w14:paraId="2E59B946" w14:textId="0D9D88FE" w:rsidR="00747D88" w:rsidRDefault="007F26DC" w:rsidP="0078531C">
      <w:pPr>
        <w:pStyle w:val="BodyText"/>
        <w:rPr>
          <w:lang w:eastAsia="en-AU"/>
        </w:rPr>
      </w:pPr>
      <w:r>
        <w:rPr>
          <w:lang w:eastAsia="en-AU"/>
        </w:rPr>
        <w:t>T</w:t>
      </w:r>
      <w:r w:rsidR="004A2DC5" w:rsidRPr="00C27278">
        <w:rPr>
          <w:lang w:eastAsia="en-AU"/>
        </w:rPr>
        <w:t>he Commission</w:t>
      </w:r>
      <w:r w:rsidR="00A9750B">
        <w:rPr>
          <w:lang w:eastAsia="en-AU"/>
        </w:rPr>
        <w:t xml:space="preserve"> holds the most comprehensive </w:t>
      </w:r>
      <w:r w:rsidR="008E1E0C">
        <w:rPr>
          <w:lang w:eastAsia="en-AU"/>
        </w:rPr>
        <w:t xml:space="preserve">public sector </w:t>
      </w:r>
      <w:r w:rsidR="003330A9">
        <w:rPr>
          <w:lang w:eastAsia="en-AU"/>
        </w:rPr>
        <w:t>workplace gender equality</w:t>
      </w:r>
      <w:r w:rsidR="008E1E0C">
        <w:rPr>
          <w:lang w:eastAsia="en-AU"/>
        </w:rPr>
        <w:t xml:space="preserve"> dataset in Australia</w:t>
      </w:r>
      <w:r w:rsidR="004A604B" w:rsidRPr="00C27278">
        <w:rPr>
          <w:lang w:eastAsia="en-AU"/>
        </w:rPr>
        <w:t>.</w:t>
      </w:r>
      <w:r w:rsidR="008E1E0C">
        <w:rPr>
          <w:lang w:eastAsia="en-AU"/>
        </w:rPr>
        <w:t xml:space="preserve"> There are certain complexities to </w:t>
      </w:r>
      <w:r w:rsidR="00D0034F">
        <w:rPr>
          <w:lang w:eastAsia="en-AU"/>
        </w:rPr>
        <w:t>such a large dataset</w:t>
      </w:r>
      <w:r w:rsidR="0077779F">
        <w:rPr>
          <w:lang w:eastAsia="en-AU"/>
        </w:rPr>
        <w:t xml:space="preserve"> and the way the Commission handles it</w:t>
      </w:r>
      <w:r w:rsidR="00D0034F">
        <w:rPr>
          <w:lang w:eastAsia="en-AU"/>
        </w:rPr>
        <w:t>.</w:t>
      </w:r>
    </w:p>
    <w:p w14:paraId="67F97268" w14:textId="097256A6" w:rsidR="00747D88" w:rsidRDefault="00873585" w:rsidP="00873585">
      <w:pPr>
        <w:pStyle w:val="Heading3"/>
        <w:rPr>
          <w:lang w:eastAsia="en-AU"/>
        </w:rPr>
      </w:pPr>
      <w:r>
        <w:rPr>
          <w:lang w:eastAsia="en-AU"/>
        </w:rPr>
        <w:t>Data quality and consistency</w:t>
      </w:r>
    </w:p>
    <w:p w14:paraId="32ACCF1D" w14:textId="79E0EAB9" w:rsidR="00880544" w:rsidRPr="003E5F5F" w:rsidRDefault="00D268F9" w:rsidP="0078531C">
      <w:pPr>
        <w:pStyle w:val="BodyText"/>
      </w:pPr>
      <w:r>
        <w:t>The Commission</w:t>
      </w:r>
      <w:r w:rsidR="002F55AB">
        <w:t>’</w:t>
      </w:r>
      <w:r>
        <w:t>s data can shift slightly over time. This is because d</w:t>
      </w:r>
      <w:r w:rsidR="00880544" w:rsidRPr="00C27278">
        <w:t>uty</w:t>
      </w:r>
      <w:r w:rsidR="00880544" w:rsidRPr="005127B5">
        <w:t xml:space="preserve"> holders can update their audit submissions if they identify ways to improve or correct their data. </w:t>
      </w:r>
      <w:r w:rsidR="00D44F7C">
        <w:t>Resubmissions</w:t>
      </w:r>
      <w:r w:rsidR="00880544" w:rsidRPr="005127B5">
        <w:t xml:space="preserve"> can lead to changes in the underlying data </w:t>
      </w:r>
      <w:r w:rsidR="00880544">
        <w:t>used in the Commission</w:t>
      </w:r>
      <w:r w:rsidR="002F55AB">
        <w:t>’</w:t>
      </w:r>
      <w:r w:rsidR="00880544">
        <w:t>s reports</w:t>
      </w:r>
      <w:r w:rsidR="00880544" w:rsidRPr="005127B5">
        <w:t>. As such, data in this report may be different from previous releases</w:t>
      </w:r>
      <w:r w:rsidR="00CA3331">
        <w:t xml:space="preserve">. </w:t>
      </w:r>
      <w:r w:rsidRPr="003E5F5F">
        <w:t xml:space="preserve">The data used in </w:t>
      </w:r>
      <w:r w:rsidR="00D44F7C" w:rsidRPr="003E5F5F">
        <w:t>the current</w:t>
      </w:r>
      <w:r w:rsidRPr="003E5F5F">
        <w:t xml:space="preserve"> report was locked on 11 May 2026. </w:t>
      </w:r>
    </w:p>
    <w:p w14:paraId="29AFF77B" w14:textId="57E2C676" w:rsidR="00F6627D" w:rsidRDefault="0097357C" w:rsidP="0078531C">
      <w:pPr>
        <w:pStyle w:val="BodyText"/>
      </w:pPr>
      <w:r>
        <w:t>For each measure calculated, the Commission only includes the audit</w:t>
      </w:r>
      <w:r w:rsidR="00DE0503">
        <w:t xml:space="preserve"> results from a given</w:t>
      </w:r>
      <w:r w:rsidR="00053341">
        <w:t xml:space="preserve"> d</w:t>
      </w:r>
      <w:r w:rsidR="00F6627D">
        <w:t>uty holder</w:t>
      </w:r>
      <w:r w:rsidR="00F6627D" w:rsidRPr="00F6627D">
        <w:t xml:space="preserve"> if their underlying data passed </w:t>
      </w:r>
      <w:r w:rsidR="004A2DC5">
        <w:t>the Commission</w:t>
      </w:r>
      <w:r w:rsidR="002F55AB">
        <w:t>’</w:t>
      </w:r>
      <w:r w:rsidR="004A2DC5">
        <w:t xml:space="preserve">s </w:t>
      </w:r>
      <w:r w:rsidR="00F6627D" w:rsidRPr="00F6627D">
        <w:t xml:space="preserve">data quality standard. For example, if </w:t>
      </w:r>
      <w:r w:rsidR="004A2DC5">
        <w:t>the</w:t>
      </w:r>
      <w:r w:rsidR="003951F2">
        <w:t>re</w:t>
      </w:r>
      <w:r w:rsidR="004A2DC5">
        <w:t xml:space="preserve"> </w:t>
      </w:r>
      <w:r w:rsidR="003951F2">
        <w:t>were</w:t>
      </w:r>
      <w:r w:rsidR="00F6627D" w:rsidRPr="00F6627D">
        <w:t xml:space="preserve"> issues in an organisation</w:t>
      </w:r>
      <w:r w:rsidR="002F55AB">
        <w:t>’</w:t>
      </w:r>
      <w:r w:rsidR="00F6627D" w:rsidRPr="00F6627D">
        <w:t xml:space="preserve">s base salary data, their audit is excluded from </w:t>
      </w:r>
      <w:r w:rsidR="00682DB0">
        <w:t xml:space="preserve">base salary </w:t>
      </w:r>
      <w:r w:rsidR="00F6627D" w:rsidRPr="00F6627D">
        <w:t>pay gap results</w:t>
      </w:r>
      <w:r w:rsidR="00C51317">
        <w:t>.</w:t>
      </w:r>
    </w:p>
    <w:p w14:paraId="06746C22" w14:textId="4B369DD1" w:rsidR="00C32319" w:rsidRDefault="008673C2" w:rsidP="006D6E23">
      <w:pPr>
        <w:pStyle w:val="Heading3"/>
      </w:pPr>
      <w:r>
        <w:t>Survey participation and comparability between years</w:t>
      </w:r>
    </w:p>
    <w:p w14:paraId="17DA8038" w14:textId="04FB6100" w:rsidR="00846514" w:rsidRPr="00846514" w:rsidRDefault="00846514" w:rsidP="00846514">
      <w:pPr>
        <w:pStyle w:val="Body"/>
      </w:pPr>
      <w:r w:rsidRPr="00846514">
        <w:t xml:space="preserve">Participation </w:t>
      </w:r>
      <w:r>
        <w:t>in the People matter survey is</w:t>
      </w:r>
      <w:r w:rsidRPr="00846514">
        <w:t xml:space="preserve"> not identical between survey rounds</w:t>
      </w:r>
      <w:r w:rsidR="00976F11">
        <w:t>.</w:t>
      </w:r>
      <w:r w:rsidRPr="00846514">
        <w:t xml:space="preserve"> </w:t>
      </w:r>
      <w:r w:rsidR="00976F11">
        <w:t>T</w:t>
      </w:r>
      <w:r w:rsidRPr="00846514">
        <w:t>he mix of organisations responding</w:t>
      </w:r>
      <w:r w:rsidR="00976F11">
        <w:t xml:space="preserve">, as well as the proportion of employees from each organisation who complete the survey, </w:t>
      </w:r>
      <w:r w:rsidR="00976F11" w:rsidRPr="00846514">
        <w:t>differs from year to year</w:t>
      </w:r>
      <w:r w:rsidRPr="00846514">
        <w:t>. The most notable variation in this cycle was in public health, which made up a smaller share of responses in 2025 than in 2023. Total responses were broadly stable across rounds.</w:t>
      </w:r>
    </w:p>
    <w:p w14:paraId="772AEC75" w14:textId="7F1A16C7" w:rsidR="008673C2" w:rsidRPr="008673C2" w:rsidRDefault="00846514" w:rsidP="005B0AC6">
      <w:pPr>
        <w:pStyle w:val="Body"/>
      </w:pPr>
      <w:r w:rsidRPr="00846514">
        <w:t xml:space="preserve">The Commission tested whether this affected the sexual harassment </w:t>
      </w:r>
      <w:r w:rsidR="00232435">
        <w:t>experience</w:t>
      </w:r>
      <w:r w:rsidRPr="00846514">
        <w:t xml:space="preserve"> results by reweighting 2025 to the earlier participation mix and by excluding public health from all years. Results were consistent across all approaches, and the findings reported here hold regardless of method. Because public health was under-represented in 2025 and reported rates in that part of the sector are above average, the 2025 sexual harassment experience estimates are likely to be conservative.</w:t>
      </w:r>
    </w:p>
    <w:p w14:paraId="7C88844D" w14:textId="0D941EF6" w:rsidR="006D6E23" w:rsidRDefault="006D6E23" w:rsidP="006D6E23">
      <w:pPr>
        <w:pStyle w:val="Heading3"/>
      </w:pPr>
      <w:r>
        <w:t xml:space="preserve">Improvements to the </w:t>
      </w:r>
      <w:r w:rsidR="00781936">
        <w:t>workplace gender audit</w:t>
      </w:r>
    </w:p>
    <w:p w14:paraId="4F256F9C" w14:textId="2401B633" w:rsidR="006D6E23" w:rsidRPr="00C27278" w:rsidRDefault="006D6E23" w:rsidP="0078531C">
      <w:pPr>
        <w:pStyle w:val="BodyText"/>
      </w:pPr>
      <w:r>
        <w:t xml:space="preserve">Since the Act came into effect in March 2021, the Commission has continued to refine its data collection through improved data definitions and processes. This means that some measures are newer than others and may not be available across all reporting years. </w:t>
      </w:r>
      <w:r w:rsidRPr="00C27278">
        <w:t xml:space="preserve">For example, the senior leader category was introduced to the audit in 2023. You can review the definition of senior leader in </w:t>
      </w:r>
      <w:hyperlink r:id="rId62" w:anchor="employee-type" w:history="1">
        <w:r w:rsidRPr="00C27278">
          <w:rPr>
            <w:rStyle w:val="Hyperlink"/>
            <w:rFonts w:cs="Times New Roman"/>
          </w:rPr>
          <w:t>the audit guidance</w:t>
        </w:r>
      </w:hyperlink>
      <w:r w:rsidR="00CA17CA">
        <w:t>.</w:t>
      </w:r>
    </w:p>
    <w:p w14:paraId="47C5DD9E" w14:textId="37E21DFE" w:rsidR="006D6E23" w:rsidRPr="00C27278" w:rsidRDefault="006D6E23" w:rsidP="0078531C">
      <w:pPr>
        <w:pStyle w:val="BodyText"/>
      </w:pPr>
      <w:r w:rsidRPr="00C27278">
        <w:t>In other cases, the Commission updated guidance materials to improve duty holder interpretation of a measure, resulting in vast differences in data reported. For example, from 2023 onwards, the guidance for calculating the average number of weeks of parental leave taken was updated</w:t>
      </w:r>
      <w:r w:rsidR="006026EE">
        <w:t>. For this reason, 2021 parental leave data is excluded from this report.</w:t>
      </w:r>
    </w:p>
    <w:p w14:paraId="00105468" w14:textId="77777777" w:rsidR="009E64D2" w:rsidRDefault="006D6E23" w:rsidP="0078531C">
      <w:pPr>
        <w:pStyle w:val="BodyText"/>
      </w:pPr>
      <w:r w:rsidRPr="003E5F5F">
        <w:t xml:space="preserve">Many fields </w:t>
      </w:r>
      <w:r w:rsidR="009E64D2" w:rsidRPr="003E5F5F">
        <w:t>will become mandatory to report fully</w:t>
      </w:r>
      <w:r w:rsidRPr="003E5F5F">
        <w:t xml:space="preserve"> in 2027 audits</w:t>
      </w:r>
      <w:r w:rsidR="009E64D2" w:rsidRPr="003E5F5F">
        <w:t>.</w:t>
      </w:r>
      <w:r w:rsidRPr="003E5F5F">
        <w:t xml:space="preserve"> </w:t>
      </w:r>
      <w:r w:rsidR="009E64D2" w:rsidRPr="003E5F5F">
        <w:t>A</w:t>
      </w:r>
      <w:r w:rsidRPr="003E5F5F">
        <w:t>s a result</w:t>
      </w:r>
      <w:r w:rsidR="009E64D2" w:rsidRPr="003E5F5F">
        <w:t>, 2025 results may not be of a sufficient quality to publish for</w:t>
      </w:r>
      <w:r w:rsidRPr="003E5F5F">
        <w:t xml:space="preserve"> many duty holders</w:t>
      </w:r>
      <w:r w:rsidR="009E64D2" w:rsidRPr="003E5F5F">
        <w:t>.</w:t>
      </w:r>
      <w:r w:rsidRPr="003E5F5F">
        <w:t xml:space="preserve"> </w:t>
      </w:r>
      <w:r w:rsidR="009E64D2" w:rsidRPr="003E5F5F">
        <w:t>S</w:t>
      </w:r>
      <w:r w:rsidRPr="003E5F5F">
        <w:t>ee</w:t>
      </w:r>
      <w:r w:rsidR="009E64D2" w:rsidRPr="003E5F5F">
        <w:t xml:space="preserve"> the</w:t>
      </w:r>
      <w:r w:rsidRPr="003E5F5F">
        <w:t xml:space="preserve"> </w:t>
      </w:r>
      <w:hyperlink r:id="rId63" w:anchor="summary-of-changes-between-2023-and-2025" w:history="1">
        <w:r w:rsidRPr="003E5F5F">
          <w:rPr>
            <w:rStyle w:val="Hyperlink"/>
            <w:rFonts w:cs="Times New Roman"/>
          </w:rPr>
          <w:t>list of fields changed to mandatory in 2025</w:t>
        </w:r>
      </w:hyperlink>
      <w:r w:rsidR="009E64D2">
        <w:t xml:space="preserve"> to learn more.</w:t>
      </w:r>
    </w:p>
    <w:p w14:paraId="3717D064" w14:textId="31E47B47" w:rsidR="0041584A" w:rsidRPr="00C27278" w:rsidRDefault="009E64D2" w:rsidP="0078531C">
      <w:pPr>
        <w:pStyle w:val="BodyText"/>
      </w:pPr>
      <w:r>
        <w:t>While it has always been mandatory to provide remuneration data</w:t>
      </w:r>
      <w:r w:rsidR="0057058E">
        <w:t xml:space="preserve">, the Commission has </w:t>
      </w:r>
      <w:r w:rsidR="007C4323">
        <w:t xml:space="preserve">improved its standard in 2025. </w:t>
      </w:r>
      <w:r w:rsidR="00D1237A">
        <w:t>This means that the Commission has excluded data from some organisations in 2021 and 2023 where it didn</w:t>
      </w:r>
      <w:r w:rsidR="002F55AB">
        <w:t>’</w:t>
      </w:r>
      <w:r w:rsidR="00D1237A">
        <w:t xml:space="preserve">t meet </w:t>
      </w:r>
      <w:r w:rsidR="009A490E">
        <w:t>this revised</w:t>
      </w:r>
      <w:r w:rsidR="006D6E23">
        <w:t xml:space="preserve"> standard</w:t>
      </w:r>
      <w:r w:rsidR="009A490E">
        <w:t>.</w:t>
      </w:r>
    </w:p>
    <w:p w14:paraId="54CE590E" w14:textId="11A7A396" w:rsidR="004D1A5C" w:rsidRPr="00C27278" w:rsidRDefault="00391257" w:rsidP="004D1A5C">
      <w:pPr>
        <w:pStyle w:val="Heading3"/>
      </w:pPr>
      <w:r>
        <w:t>G</w:t>
      </w:r>
      <w:r w:rsidR="00F57550">
        <w:t xml:space="preserve">ender diverse </w:t>
      </w:r>
      <w:r>
        <w:t xml:space="preserve">and intersectional </w:t>
      </w:r>
      <w:r w:rsidR="00F57550">
        <w:t>data</w:t>
      </w:r>
    </w:p>
    <w:p w14:paraId="34783C50" w14:textId="210134D6" w:rsidR="00170572" w:rsidRDefault="00C10E05" w:rsidP="005F688D">
      <w:pPr>
        <w:pStyle w:val="BodyText"/>
        <w:rPr>
          <w:lang w:eastAsia="en-AU"/>
        </w:rPr>
      </w:pPr>
      <w:r>
        <w:rPr>
          <w:lang w:eastAsia="en-AU"/>
        </w:rPr>
        <w:t xml:space="preserve">The </w:t>
      </w:r>
      <w:r w:rsidR="0055279F">
        <w:rPr>
          <w:lang w:eastAsia="en-AU"/>
        </w:rPr>
        <w:t xml:space="preserve">data </w:t>
      </w:r>
      <w:r>
        <w:rPr>
          <w:lang w:eastAsia="en-AU"/>
        </w:rPr>
        <w:t xml:space="preserve">in this report </w:t>
      </w:r>
      <w:r w:rsidR="0055279F">
        <w:rPr>
          <w:lang w:eastAsia="en-AU"/>
        </w:rPr>
        <w:t xml:space="preserve">is limited in relation to employees of self-described gender. </w:t>
      </w:r>
      <w:r w:rsidR="00B129CE">
        <w:rPr>
          <w:noProof/>
        </w:rPr>
        <w:t>Many duty holders still only collect gender data as male/female or men/women</w:t>
      </w:r>
      <w:r w:rsidR="00266E6C">
        <w:rPr>
          <w:noProof/>
        </w:rPr>
        <w:t xml:space="preserve">. This means that </w:t>
      </w:r>
      <w:r w:rsidR="00266E6C" w:rsidRPr="004941D5">
        <w:rPr>
          <w:lang w:eastAsia="en-AU"/>
        </w:rPr>
        <w:t xml:space="preserve">often the sample size </w:t>
      </w:r>
      <w:r w:rsidR="007543D0">
        <w:rPr>
          <w:lang w:eastAsia="en-AU"/>
        </w:rPr>
        <w:t xml:space="preserve">for people who self-describe their gender </w:t>
      </w:r>
      <w:r w:rsidR="00266E6C" w:rsidRPr="004941D5">
        <w:rPr>
          <w:lang w:eastAsia="en-AU"/>
        </w:rPr>
        <w:t>is too small to analyse meaningfully</w:t>
      </w:r>
      <w:r w:rsidR="00B129CE">
        <w:rPr>
          <w:noProof/>
        </w:rPr>
        <w:t xml:space="preserve">. </w:t>
      </w:r>
      <w:r w:rsidR="00B129CE" w:rsidRPr="00C27278">
        <w:rPr>
          <w:noProof/>
        </w:rPr>
        <w:t>Where the data</w:t>
      </w:r>
      <w:r w:rsidR="00360EAA">
        <w:rPr>
          <w:noProof/>
        </w:rPr>
        <w:t xml:space="preserve"> was reliable</w:t>
      </w:r>
      <w:r w:rsidR="00B129CE" w:rsidRPr="00C27278">
        <w:rPr>
          <w:noProof/>
        </w:rPr>
        <w:t>,</w:t>
      </w:r>
      <w:r w:rsidR="00B129CE">
        <w:rPr>
          <w:noProof/>
        </w:rPr>
        <w:t xml:space="preserve"> the Commission included insights beyond just the categories of women and men</w:t>
      </w:r>
      <w:r w:rsidR="00123A71">
        <w:rPr>
          <w:noProof/>
        </w:rPr>
        <w:t>.</w:t>
      </w:r>
    </w:p>
    <w:p w14:paraId="3B3C678B" w14:textId="77777777" w:rsidR="00C10E05" w:rsidRDefault="00C10E05" w:rsidP="005F688D">
      <w:pPr>
        <w:pStyle w:val="BodyText"/>
        <w:rPr>
          <w:lang w:eastAsia="en-AU"/>
        </w:rPr>
      </w:pPr>
      <w:r>
        <w:rPr>
          <w:lang w:eastAsia="en-AU"/>
        </w:rPr>
        <w:t>The Commission does not assign progress ratings for data about people who self-describe their gender. This is due to incomplete data and complexities in calculating progress for this group</w:t>
      </w:r>
      <w:r w:rsidRPr="004941D5">
        <w:rPr>
          <w:lang w:eastAsia="en-AU"/>
        </w:rPr>
        <w:t>.</w:t>
      </w:r>
      <w:r>
        <w:rPr>
          <w:lang w:eastAsia="en-AU"/>
        </w:rPr>
        <w:t xml:space="preserve"> </w:t>
      </w:r>
    </w:p>
    <w:p w14:paraId="6C19E006" w14:textId="39ECBB2C" w:rsidR="00C10E05" w:rsidRDefault="00391257" w:rsidP="005F688D">
      <w:pPr>
        <w:pStyle w:val="BodyText"/>
        <w:rPr>
          <w:lang w:eastAsia="en-AU"/>
        </w:rPr>
      </w:pPr>
      <w:r>
        <w:rPr>
          <w:noProof/>
        </w:rPr>
        <w:t xml:space="preserve">Similarly, many organisations are unable to provide demographic data beyond gender and age. This limits the extent to which the Commission can undertake intersectional analysis. </w:t>
      </w:r>
      <w:r w:rsidR="009E17F2">
        <w:rPr>
          <w:noProof/>
        </w:rPr>
        <w:t>T</w:t>
      </w:r>
      <w:r>
        <w:rPr>
          <w:noProof/>
        </w:rPr>
        <w:t xml:space="preserve">he </w:t>
      </w:r>
      <w:r w:rsidR="009E17F2">
        <w:rPr>
          <w:noProof/>
        </w:rPr>
        <w:t>P</w:t>
      </w:r>
      <w:r>
        <w:rPr>
          <w:noProof/>
        </w:rPr>
        <w:t xml:space="preserve">eople matter survey </w:t>
      </w:r>
      <w:r w:rsidR="005E2669">
        <w:rPr>
          <w:noProof/>
        </w:rPr>
        <w:t>provides</w:t>
      </w:r>
      <w:r w:rsidR="003F6210">
        <w:rPr>
          <w:noProof/>
        </w:rPr>
        <w:t xml:space="preserve"> the key data source</w:t>
      </w:r>
      <w:r>
        <w:rPr>
          <w:noProof/>
        </w:rPr>
        <w:t xml:space="preserve"> to </w:t>
      </w:r>
      <w:r w:rsidR="00D76425">
        <w:rPr>
          <w:noProof/>
        </w:rPr>
        <w:t xml:space="preserve">consider </w:t>
      </w:r>
      <w:r w:rsidR="00EA0A22">
        <w:rPr>
          <w:noProof/>
        </w:rPr>
        <w:t xml:space="preserve">forms of </w:t>
      </w:r>
      <w:r w:rsidR="00D76425">
        <w:rPr>
          <w:noProof/>
        </w:rPr>
        <w:t>intersecti</w:t>
      </w:r>
      <w:r w:rsidR="00EA0A22">
        <w:rPr>
          <w:noProof/>
        </w:rPr>
        <w:t>ng</w:t>
      </w:r>
      <w:r w:rsidR="00D76425">
        <w:rPr>
          <w:noProof/>
        </w:rPr>
        <w:t xml:space="preserve"> inequalities</w:t>
      </w:r>
      <w:r w:rsidR="00EA0A22">
        <w:rPr>
          <w:noProof/>
        </w:rPr>
        <w:t>.</w:t>
      </w:r>
    </w:p>
    <w:p w14:paraId="5AE6E261" w14:textId="255A278A" w:rsidR="00B2340C" w:rsidRDefault="009D7470" w:rsidP="00D85400">
      <w:pPr>
        <w:pStyle w:val="BodyText"/>
        <w:rPr>
          <w:lang w:eastAsia="en-AU"/>
        </w:rPr>
      </w:pPr>
      <w:r>
        <w:rPr>
          <w:lang w:eastAsia="en-AU"/>
        </w:rPr>
        <w:t>P</w:t>
      </w:r>
      <w:r w:rsidR="00B2340C">
        <w:rPr>
          <w:lang w:eastAsia="en-AU"/>
        </w:rPr>
        <w:t xml:space="preserve">lease </w:t>
      </w:r>
      <w:r>
        <w:rPr>
          <w:lang w:eastAsia="en-AU"/>
        </w:rPr>
        <w:t>email</w:t>
      </w:r>
      <w:r w:rsidR="00B2340C">
        <w:rPr>
          <w:lang w:eastAsia="en-AU"/>
        </w:rPr>
        <w:t xml:space="preserve">: </w:t>
      </w:r>
      <w:hyperlink r:id="rId64" w:history="1">
        <w:r w:rsidR="00652CF3" w:rsidRPr="00A54609">
          <w:rPr>
            <w:rStyle w:val="Hyperlink"/>
            <w:rFonts w:cs="Times New Roman"/>
            <w:lang w:eastAsia="en-AU"/>
          </w:rPr>
          <w:t>enquiries@genderequalitycommission.vic.gov.au</w:t>
        </w:r>
      </w:hyperlink>
      <w:r>
        <w:t xml:space="preserve"> if </w:t>
      </w:r>
      <w:r>
        <w:rPr>
          <w:lang w:eastAsia="en-AU"/>
        </w:rPr>
        <w:t>you would like more detail on the Commission</w:t>
      </w:r>
      <w:r w:rsidR="002F55AB">
        <w:rPr>
          <w:lang w:eastAsia="en-AU"/>
        </w:rPr>
        <w:t>’</w:t>
      </w:r>
      <w:r>
        <w:rPr>
          <w:lang w:eastAsia="en-AU"/>
        </w:rPr>
        <w:t>s methodological approach.</w:t>
      </w:r>
    </w:p>
    <w:p w14:paraId="72F8E775" w14:textId="68BF1180" w:rsidR="00652CF3" w:rsidRDefault="00652CF3" w:rsidP="00652CF3">
      <w:pPr>
        <w:pStyle w:val="Heading1"/>
        <w:rPr>
          <w:lang w:eastAsia="en-AU"/>
        </w:rPr>
      </w:pPr>
      <w:bookmarkStart w:id="72" w:name="_Toc237259559"/>
      <w:r>
        <w:rPr>
          <w:lang w:eastAsia="en-AU"/>
        </w:rPr>
        <w:t xml:space="preserve">Appendix 2: </w:t>
      </w:r>
      <w:r w:rsidR="0012208A">
        <w:rPr>
          <w:lang w:eastAsia="en-AU"/>
        </w:rPr>
        <w:t>Duty holders by i</w:t>
      </w:r>
      <w:r>
        <w:rPr>
          <w:lang w:eastAsia="en-AU"/>
        </w:rPr>
        <w:t>ndustry</w:t>
      </w:r>
      <w:bookmarkEnd w:id="72"/>
      <w:r>
        <w:rPr>
          <w:lang w:eastAsia="en-AU"/>
        </w:rPr>
        <w:t xml:space="preserve"> </w:t>
      </w:r>
    </w:p>
    <w:p w14:paraId="213C774C" w14:textId="58603B23" w:rsidR="005B35F6" w:rsidRDefault="004B6CA0" w:rsidP="00A2741C">
      <w:pPr>
        <w:pStyle w:val="BodyText"/>
        <w:rPr>
          <w:lang w:eastAsia="en-AU"/>
        </w:rPr>
      </w:pPr>
      <w:r>
        <w:rPr>
          <w:lang w:eastAsia="en-AU"/>
        </w:rPr>
        <w:t>Audit d</w:t>
      </w:r>
      <w:r w:rsidR="00BE096E">
        <w:rPr>
          <w:lang w:eastAsia="en-AU"/>
        </w:rPr>
        <w:t>ata from t</w:t>
      </w:r>
      <w:r w:rsidR="00A2741C">
        <w:rPr>
          <w:lang w:eastAsia="en-AU"/>
        </w:rPr>
        <w:t xml:space="preserve">he following </w:t>
      </w:r>
      <w:r w:rsidR="00F17871" w:rsidDel="00AA7A83">
        <w:rPr>
          <w:lang w:eastAsia="en-AU"/>
        </w:rPr>
        <w:t xml:space="preserve">organisations </w:t>
      </w:r>
      <w:r w:rsidR="00BE096E">
        <w:rPr>
          <w:lang w:eastAsia="en-AU"/>
        </w:rPr>
        <w:t xml:space="preserve">is </w:t>
      </w:r>
      <w:r>
        <w:rPr>
          <w:lang w:eastAsia="en-AU"/>
        </w:rPr>
        <w:t>used</w:t>
      </w:r>
      <w:r w:rsidR="00BE096E">
        <w:rPr>
          <w:lang w:eastAsia="en-AU"/>
        </w:rPr>
        <w:t xml:space="preserve"> in this report. </w:t>
      </w:r>
    </w:p>
    <w:p w14:paraId="578AD590" w14:textId="77777777" w:rsidR="00754D99" w:rsidRDefault="00754D99" w:rsidP="00A2741C">
      <w:pPr>
        <w:pStyle w:val="BodyText"/>
        <w:rPr>
          <w:lang w:eastAsia="en-AU"/>
        </w:rPr>
      </w:pPr>
      <w:r>
        <w:rPr>
          <w:lang w:eastAsia="en-AU"/>
        </w:rPr>
        <w:t>S</w:t>
      </w:r>
      <w:r w:rsidRPr="00AC57E8">
        <w:rPr>
          <w:lang w:eastAsia="en-AU"/>
        </w:rPr>
        <w:t>ome org</w:t>
      </w:r>
      <w:r>
        <w:rPr>
          <w:lang w:eastAsia="en-AU"/>
        </w:rPr>
        <w:t>anisations</w:t>
      </w:r>
      <w:r w:rsidRPr="00AC57E8">
        <w:rPr>
          <w:lang w:eastAsia="en-AU"/>
        </w:rPr>
        <w:t xml:space="preserve"> may not have </w:t>
      </w:r>
      <w:r>
        <w:rPr>
          <w:lang w:eastAsia="en-AU"/>
        </w:rPr>
        <w:t>submitted data in every</w:t>
      </w:r>
      <w:r w:rsidR="00D0351E" w:rsidDel="00AA7A83">
        <w:rPr>
          <w:lang w:eastAsia="en-AU"/>
        </w:rPr>
        <w:t xml:space="preserve"> reporting year</w:t>
      </w:r>
      <w:r>
        <w:rPr>
          <w:lang w:eastAsia="en-AU"/>
        </w:rPr>
        <w:t xml:space="preserve"> due to changes in their status as a duty holder. A list of duty holders included in 2021 reporting is available in the </w:t>
      </w:r>
      <w:hyperlink r:id="rId65" w:history="1">
        <w:r w:rsidRPr="007225DB">
          <w:rPr>
            <w:rStyle w:val="Hyperlink"/>
            <w:rFonts w:cs="Times New Roman"/>
            <w:lang w:eastAsia="en-AU"/>
          </w:rPr>
          <w:t>Baseline Report</w:t>
        </w:r>
      </w:hyperlink>
      <w:r>
        <w:rPr>
          <w:lang w:eastAsia="en-AU"/>
        </w:rPr>
        <w:t xml:space="preserve">. </w:t>
      </w:r>
    </w:p>
    <w:p w14:paraId="4638013A" w14:textId="13CD758D" w:rsidR="00A2741C" w:rsidRDefault="009B062C" w:rsidP="004444B7">
      <w:pPr>
        <w:pStyle w:val="BodyText"/>
        <w:rPr>
          <w:lang w:eastAsia="en-AU"/>
        </w:rPr>
      </w:pPr>
      <w:r>
        <w:rPr>
          <w:lang w:eastAsia="en-AU"/>
        </w:rPr>
        <w:t xml:space="preserve">Visit our website for </w:t>
      </w:r>
      <w:r w:rsidR="007668BB">
        <w:rPr>
          <w:lang w:eastAsia="en-AU"/>
        </w:rPr>
        <w:t>a</w:t>
      </w:r>
      <w:r>
        <w:rPr>
          <w:lang w:eastAsia="en-AU"/>
        </w:rPr>
        <w:t>n up-to-date</w:t>
      </w:r>
      <w:r w:rsidR="007668BB">
        <w:rPr>
          <w:lang w:eastAsia="en-AU"/>
        </w:rPr>
        <w:t xml:space="preserve"> list of </w:t>
      </w:r>
      <w:hyperlink r:id="rId66" w:history="1">
        <w:r w:rsidR="007668BB" w:rsidRPr="005B35F6">
          <w:rPr>
            <w:rStyle w:val="Hyperlink"/>
            <w:rFonts w:cs="Times New Roman"/>
            <w:lang w:eastAsia="en-AU"/>
          </w:rPr>
          <w:t>current duty holders</w:t>
        </w:r>
      </w:hyperlink>
      <w:r>
        <w:rPr>
          <w:lang w:eastAsia="en-AU"/>
        </w:rPr>
        <w:t>.</w:t>
      </w:r>
      <w:r w:rsidR="007668BB">
        <w:rPr>
          <w:lang w:eastAsia="en-AU"/>
        </w:rPr>
        <w:t xml:space="preserve"> </w:t>
      </w:r>
    </w:p>
    <w:p w14:paraId="33979478" w14:textId="3F8EB26F" w:rsidR="0012208A" w:rsidRDefault="0012208A" w:rsidP="005F688D">
      <w:pPr>
        <w:pStyle w:val="Heading2"/>
        <w:rPr>
          <w:lang w:eastAsia="en-AU"/>
        </w:rPr>
      </w:pPr>
      <w:bookmarkStart w:id="73" w:name="_Toc237259560"/>
      <w:r>
        <w:rPr>
          <w:lang w:eastAsia="en-AU"/>
        </w:rPr>
        <w:t>Industry list</w:t>
      </w:r>
      <w:bookmarkEnd w:id="73"/>
    </w:p>
    <w:p w14:paraId="74AA41C2" w14:textId="7F2EEC9B" w:rsidR="00FF4993" w:rsidRPr="00FF4993" w:rsidRDefault="00FF4993" w:rsidP="004444B7">
      <w:pPr>
        <w:pStyle w:val="Heading3"/>
        <w:rPr>
          <w:lang w:eastAsia="en-AU"/>
        </w:rPr>
      </w:pPr>
      <w:r w:rsidRPr="00FF4993">
        <w:rPr>
          <w:lang w:eastAsia="en-AU"/>
        </w:rPr>
        <w:t xml:space="preserve">Community </w:t>
      </w:r>
      <w:r w:rsidR="0081264B">
        <w:rPr>
          <w:lang w:eastAsia="en-AU"/>
        </w:rPr>
        <w:t>and</w:t>
      </w:r>
      <w:r w:rsidRPr="00FF4993">
        <w:rPr>
          <w:lang w:eastAsia="en-AU"/>
        </w:rPr>
        <w:t xml:space="preserve"> </w:t>
      </w:r>
      <w:r w:rsidR="0081264B">
        <w:rPr>
          <w:lang w:eastAsia="en-AU"/>
        </w:rPr>
        <w:t>c</w:t>
      </w:r>
      <w:r w:rsidRPr="00FF4993">
        <w:rPr>
          <w:lang w:eastAsia="en-AU"/>
        </w:rPr>
        <w:t xml:space="preserve">ultural </w:t>
      </w:r>
      <w:r w:rsidR="0081264B">
        <w:rPr>
          <w:lang w:eastAsia="en-AU"/>
        </w:rPr>
        <w:t>s</w:t>
      </w:r>
      <w:r w:rsidRPr="00FF4993">
        <w:rPr>
          <w:lang w:eastAsia="en-AU"/>
        </w:rPr>
        <w:t>ervices</w:t>
      </w:r>
    </w:p>
    <w:p w14:paraId="48531ABE" w14:textId="77777777" w:rsidR="004E6FA0" w:rsidRDefault="004E6FA0" w:rsidP="005F688D">
      <w:pPr>
        <w:pStyle w:val="Bullet1"/>
        <w:rPr>
          <w:lang w:eastAsia="en-AU"/>
        </w:rPr>
      </w:pPr>
      <w:r>
        <w:rPr>
          <w:lang w:eastAsia="en-AU"/>
        </w:rPr>
        <w:t>Australian Centre for the Moving Image</w:t>
      </w:r>
    </w:p>
    <w:p w14:paraId="3735BB7F" w14:textId="77777777" w:rsidR="004E6FA0" w:rsidRDefault="004E6FA0" w:rsidP="005F688D">
      <w:pPr>
        <w:pStyle w:val="Bullet1"/>
        <w:rPr>
          <w:lang w:eastAsia="en-AU"/>
        </w:rPr>
      </w:pPr>
      <w:r>
        <w:rPr>
          <w:lang w:eastAsia="en-AU"/>
        </w:rPr>
        <w:t>Australian Grand Prix Corporation</w:t>
      </w:r>
    </w:p>
    <w:p w14:paraId="2366D420" w14:textId="77777777" w:rsidR="004E6FA0" w:rsidRDefault="004E6FA0" w:rsidP="005F688D">
      <w:pPr>
        <w:pStyle w:val="Bullet1"/>
        <w:rPr>
          <w:lang w:eastAsia="en-AU"/>
        </w:rPr>
      </w:pPr>
      <w:r>
        <w:rPr>
          <w:lang w:eastAsia="en-AU"/>
        </w:rPr>
        <w:t>Geelong Cemeteries Trust</w:t>
      </w:r>
    </w:p>
    <w:p w14:paraId="3AE49310" w14:textId="77777777" w:rsidR="004E6FA0" w:rsidRDefault="004E6FA0" w:rsidP="005F688D">
      <w:pPr>
        <w:pStyle w:val="Bullet1"/>
        <w:rPr>
          <w:lang w:eastAsia="en-AU"/>
        </w:rPr>
      </w:pPr>
      <w:r>
        <w:rPr>
          <w:lang w:eastAsia="en-AU"/>
        </w:rPr>
        <w:t>Geelong Performing Arts Centre Trust</w:t>
      </w:r>
    </w:p>
    <w:p w14:paraId="6DEA9291" w14:textId="77777777" w:rsidR="004E6FA0" w:rsidRDefault="004E6FA0" w:rsidP="005F688D">
      <w:pPr>
        <w:pStyle w:val="Bullet1"/>
        <w:rPr>
          <w:lang w:eastAsia="en-AU"/>
        </w:rPr>
      </w:pPr>
      <w:r>
        <w:rPr>
          <w:lang w:eastAsia="en-AU"/>
        </w:rPr>
        <w:t>Geelong Regional Library Corporation</w:t>
      </w:r>
    </w:p>
    <w:p w14:paraId="5B05C8FF" w14:textId="77777777" w:rsidR="004E6FA0" w:rsidRDefault="004E6FA0" w:rsidP="005F688D">
      <w:pPr>
        <w:pStyle w:val="Bullet1"/>
        <w:rPr>
          <w:lang w:eastAsia="en-AU"/>
        </w:rPr>
      </w:pPr>
      <w:r>
        <w:rPr>
          <w:lang w:eastAsia="en-AU"/>
        </w:rPr>
        <w:t>Greater Metropolitan Cemeteries Trust</w:t>
      </w:r>
    </w:p>
    <w:p w14:paraId="07FCD673" w14:textId="77777777" w:rsidR="004E6FA0" w:rsidRDefault="004E6FA0" w:rsidP="005F688D">
      <w:pPr>
        <w:pStyle w:val="Bullet1"/>
        <w:rPr>
          <w:lang w:eastAsia="en-AU"/>
        </w:rPr>
      </w:pPr>
      <w:r>
        <w:rPr>
          <w:lang w:eastAsia="en-AU"/>
        </w:rPr>
        <w:t>Greyhound Racing Victoria</w:t>
      </w:r>
    </w:p>
    <w:p w14:paraId="09BBBE44" w14:textId="77777777" w:rsidR="004E6FA0" w:rsidRDefault="004E6FA0" w:rsidP="005F688D">
      <w:pPr>
        <w:pStyle w:val="Bullet1"/>
        <w:rPr>
          <w:lang w:eastAsia="en-AU"/>
        </w:rPr>
      </w:pPr>
      <w:r>
        <w:rPr>
          <w:lang w:eastAsia="en-AU"/>
        </w:rPr>
        <w:t>Harness Racing Victoria</w:t>
      </w:r>
    </w:p>
    <w:p w14:paraId="027EEAEF" w14:textId="77777777" w:rsidR="004E6FA0" w:rsidRDefault="004E6FA0" w:rsidP="005F688D">
      <w:pPr>
        <w:pStyle w:val="Bullet1"/>
        <w:rPr>
          <w:lang w:eastAsia="en-AU"/>
        </w:rPr>
      </w:pPr>
      <w:r>
        <w:rPr>
          <w:lang w:eastAsia="en-AU"/>
        </w:rPr>
        <w:t>Melbourne and Olympic Parks Trust</w:t>
      </w:r>
    </w:p>
    <w:p w14:paraId="5A077717" w14:textId="77777777" w:rsidR="004E6FA0" w:rsidRDefault="004E6FA0" w:rsidP="005F688D">
      <w:pPr>
        <w:pStyle w:val="Bullet1"/>
        <w:rPr>
          <w:lang w:eastAsia="en-AU"/>
        </w:rPr>
      </w:pPr>
      <w:r>
        <w:rPr>
          <w:lang w:eastAsia="en-AU"/>
        </w:rPr>
        <w:t>Melbourne Recital Centre</w:t>
      </w:r>
    </w:p>
    <w:p w14:paraId="6B7083E6" w14:textId="77777777" w:rsidR="004E6FA0" w:rsidRDefault="004E6FA0" w:rsidP="005F688D">
      <w:pPr>
        <w:pStyle w:val="Bullet1"/>
        <w:rPr>
          <w:lang w:eastAsia="en-AU"/>
        </w:rPr>
      </w:pPr>
      <w:r>
        <w:rPr>
          <w:lang w:eastAsia="en-AU"/>
        </w:rPr>
        <w:t>Museums Victoria</w:t>
      </w:r>
    </w:p>
    <w:p w14:paraId="5680F787" w14:textId="77777777" w:rsidR="004E6FA0" w:rsidRDefault="004E6FA0" w:rsidP="005F688D">
      <w:pPr>
        <w:pStyle w:val="Bullet1"/>
        <w:rPr>
          <w:lang w:eastAsia="en-AU"/>
        </w:rPr>
      </w:pPr>
      <w:r>
        <w:rPr>
          <w:lang w:eastAsia="en-AU"/>
        </w:rPr>
        <w:t>National Gallery of Victoria</w:t>
      </w:r>
    </w:p>
    <w:p w14:paraId="2CA4E251" w14:textId="77777777" w:rsidR="004E6FA0" w:rsidRDefault="004E6FA0" w:rsidP="005F688D">
      <w:pPr>
        <w:pStyle w:val="Bullet1"/>
        <w:rPr>
          <w:lang w:eastAsia="en-AU"/>
        </w:rPr>
      </w:pPr>
      <w:r>
        <w:rPr>
          <w:lang w:eastAsia="en-AU"/>
        </w:rPr>
        <w:t>North Central Goldfields Library Corporation</w:t>
      </w:r>
    </w:p>
    <w:p w14:paraId="4C8B02F5" w14:textId="77777777" w:rsidR="004E6FA0" w:rsidRDefault="004E6FA0" w:rsidP="005F688D">
      <w:pPr>
        <w:pStyle w:val="Bullet1"/>
        <w:rPr>
          <w:lang w:eastAsia="en-AU"/>
        </w:rPr>
      </w:pPr>
      <w:r>
        <w:rPr>
          <w:lang w:eastAsia="en-AU"/>
        </w:rPr>
        <w:t>Phillip Island Nature Park Board of Management</w:t>
      </w:r>
    </w:p>
    <w:p w14:paraId="0BFD606D" w14:textId="77777777" w:rsidR="004E6FA0" w:rsidRDefault="004E6FA0" w:rsidP="005F688D">
      <w:pPr>
        <w:pStyle w:val="Bullet1"/>
        <w:rPr>
          <w:lang w:eastAsia="en-AU"/>
        </w:rPr>
      </w:pPr>
      <w:r>
        <w:rPr>
          <w:lang w:eastAsia="en-AU"/>
        </w:rPr>
        <w:t>Puffing Billy Railway Board</w:t>
      </w:r>
    </w:p>
    <w:p w14:paraId="1268ECE6" w14:textId="77777777" w:rsidR="004E6FA0" w:rsidRDefault="004E6FA0" w:rsidP="005F688D">
      <w:pPr>
        <w:pStyle w:val="Bullet1"/>
        <w:rPr>
          <w:lang w:eastAsia="en-AU"/>
        </w:rPr>
      </w:pPr>
      <w:r>
        <w:rPr>
          <w:lang w:eastAsia="en-AU"/>
        </w:rPr>
        <w:t>Royal Botanic Gardens Board</w:t>
      </w:r>
    </w:p>
    <w:p w14:paraId="5E54E8FA" w14:textId="77777777" w:rsidR="004E6FA0" w:rsidRDefault="004E6FA0" w:rsidP="005F688D">
      <w:pPr>
        <w:pStyle w:val="Bullet1"/>
        <w:rPr>
          <w:lang w:eastAsia="en-AU"/>
        </w:rPr>
      </w:pPr>
      <w:r>
        <w:rPr>
          <w:lang w:eastAsia="en-AU"/>
        </w:rPr>
        <w:t>Southern Metropolitan Cemeteries Trust</w:t>
      </w:r>
    </w:p>
    <w:p w14:paraId="7A7AAC36" w14:textId="77777777" w:rsidR="004E6FA0" w:rsidRDefault="004E6FA0" w:rsidP="005F688D">
      <w:pPr>
        <w:pStyle w:val="Bullet1"/>
        <w:rPr>
          <w:lang w:eastAsia="en-AU"/>
        </w:rPr>
      </w:pPr>
      <w:r>
        <w:rPr>
          <w:lang w:eastAsia="en-AU"/>
        </w:rPr>
        <w:t>State Library of Victoria</w:t>
      </w:r>
    </w:p>
    <w:p w14:paraId="4F2D9B50" w14:textId="77777777" w:rsidR="004E6FA0" w:rsidRDefault="004E6FA0" w:rsidP="005F688D">
      <w:pPr>
        <w:pStyle w:val="Bullet1"/>
        <w:rPr>
          <w:lang w:eastAsia="en-AU"/>
        </w:rPr>
      </w:pPr>
      <w:r>
        <w:rPr>
          <w:lang w:eastAsia="en-AU"/>
        </w:rPr>
        <w:t>State Sport Centres Trust</w:t>
      </w:r>
    </w:p>
    <w:p w14:paraId="23AC241B" w14:textId="77777777" w:rsidR="004E6FA0" w:rsidRDefault="004E6FA0" w:rsidP="005F688D">
      <w:pPr>
        <w:pStyle w:val="Bullet1"/>
        <w:rPr>
          <w:lang w:eastAsia="en-AU"/>
        </w:rPr>
      </w:pPr>
      <w:r>
        <w:rPr>
          <w:lang w:eastAsia="en-AU"/>
        </w:rPr>
        <w:t>Victoria Legal Aid</w:t>
      </w:r>
    </w:p>
    <w:p w14:paraId="1DF1E3B2" w14:textId="77777777" w:rsidR="004E6FA0" w:rsidRDefault="004E6FA0" w:rsidP="005F688D">
      <w:pPr>
        <w:pStyle w:val="Bullet1"/>
        <w:rPr>
          <w:lang w:eastAsia="en-AU"/>
        </w:rPr>
      </w:pPr>
      <w:r>
        <w:rPr>
          <w:lang w:eastAsia="en-AU"/>
        </w:rPr>
        <w:t>Victorian Arts Centre Trust</w:t>
      </w:r>
    </w:p>
    <w:p w14:paraId="63B8ECDE" w14:textId="77777777" w:rsidR="004E6FA0" w:rsidRDefault="004E6FA0" w:rsidP="005F688D">
      <w:pPr>
        <w:pStyle w:val="Bullet1"/>
        <w:rPr>
          <w:lang w:eastAsia="en-AU"/>
        </w:rPr>
      </w:pPr>
      <w:r>
        <w:rPr>
          <w:lang w:eastAsia="en-AU"/>
        </w:rPr>
        <w:t>Victorian Institute of Sport</w:t>
      </w:r>
    </w:p>
    <w:p w14:paraId="4863EC3F" w14:textId="77777777" w:rsidR="004E6FA0" w:rsidRDefault="004E6FA0" w:rsidP="005F688D">
      <w:pPr>
        <w:pStyle w:val="Bullet1"/>
        <w:rPr>
          <w:lang w:eastAsia="en-AU"/>
        </w:rPr>
      </w:pPr>
      <w:r>
        <w:rPr>
          <w:lang w:eastAsia="en-AU"/>
        </w:rPr>
        <w:t>Visit Victoria</w:t>
      </w:r>
    </w:p>
    <w:p w14:paraId="3C6B006F" w14:textId="77777777" w:rsidR="004E6FA0" w:rsidRDefault="004E6FA0" w:rsidP="005F688D">
      <w:pPr>
        <w:pStyle w:val="Bullet1"/>
        <w:rPr>
          <w:lang w:eastAsia="en-AU"/>
        </w:rPr>
      </w:pPr>
      <w:r>
        <w:rPr>
          <w:lang w:eastAsia="en-AU"/>
        </w:rPr>
        <w:t>Whitehorse Manningham Libraries</w:t>
      </w:r>
    </w:p>
    <w:p w14:paraId="15C91FFD" w14:textId="6FFC6A1A" w:rsidR="007B2C17" w:rsidRDefault="004E6FA0" w:rsidP="005F688D">
      <w:pPr>
        <w:pStyle w:val="Bullet1"/>
        <w:rPr>
          <w:lang w:eastAsia="en-AU"/>
        </w:rPr>
      </w:pPr>
      <w:r>
        <w:rPr>
          <w:lang w:eastAsia="en-AU"/>
        </w:rPr>
        <w:t>Zoological Parks and Gardens Board</w:t>
      </w:r>
    </w:p>
    <w:p w14:paraId="33DF970C" w14:textId="0A7B41E6" w:rsidR="00FF4993" w:rsidRDefault="00D74C18" w:rsidP="004444B7">
      <w:pPr>
        <w:pStyle w:val="Heading3"/>
        <w:rPr>
          <w:lang w:eastAsia="en-AU"/>
        </w:rPr>
      </w:pPr>
      <w:r w:rsidRPr="00D74C18">
        <w:rPr>
          <w:lang w:eastAsia="en-AU"/>
        </w:rPr>
        <w:t>Finance and insurance</w:t>
      </w:r>
    </w:p>
    <w:p w14:paraId="30F444D1" w14:textId="77777777" w:rsidR="008A6010" w:rsidRDefault="008A6010" w:rsidP="005F688D">
      <w:pPr>
        <w:pStyle w:val="Bullet1"/>
        <w:rPr>
          <w:lang w:eastAsia="en-AU"/>
        </w:rPr>
      </w:pPr>
      <w:r>
        <w:rPr>
          <w:lang w:eastAsia="en-AU"/>
        </w:rPr>
        <w:t>State Trustees Limited</w:t>
      </w:r>
    </w:p>
    <w:p w14:paraId="2600D08E" w14:textId="77777777" w:rsidR="008A6010" w:rsidRDefault="008A6010" w:rsidP="005F688D">
      <w:pPr>
        <w:pStyle w:val="Bullet1"/>
        <w:rPr>
          <w:lang w:eastAsia="en-AU"/>
        </w:rPr>
      </w:pPr>
      <w:r>
        <w:rPr>
          <w:lang w:eastAsia="en-AU"/>
        </w:rPr>
        <w:t>Transport Accident Commission</w:t>
      </w:r>
    </w:p>
    <w:p w14:paraId="084DAE22" w14:textId="77777777" w:rsidR="008A6010" w:rsidRDefault="008A6010" w:rsidP="005F688D">
      <w:pPr>
        <w:pStyle w:val="Bullet1"/>
        <w:rPr>
          <w:lang w:eastAsia="en-AU"/>
        </w:rPr>
      </w:pPr>
      <w:r>
        <w:rPr>
          <w:lang w:eastAsia="en-AU"/>
        </w:rPr>
        <w:t>Treasury Corporation of Victoria</w:t>
      </w:r>
    </w:p>
    <w:p w14:paraId="271DF9F6" w14:textId="77777777" w:rsidR="008A6010" w:rsidRDefault="008A6010" w:rsidP="005F688D">
      <w:pPr>
        <w:pStyle w:val="Bullet1"/>
        <w:rPr>
          <w:lang w:eastAsia="en-AU"/>
        </w:rPr>
      </w:pPr>
      <w:r>
        <w:rPr>
          <w:lang w:eastAsia="en-AU"/>
        </w:rPr>
        <w:t>Victorian Funds Management Corporation</w:t>
      </w:r>
    </w:p>
    <w:p w14:paraId="440B2144" w14:textId="77777777" w:rsidR="008A6010" w:rsidRDefault="008A6010" w:rsidP="005F688D">
      <w:pPr>
        <w:pStyle w:val="Bullet1"/>
        <w:rPr>
          <w:lang w:eastAsia="en-AU"/>
        </w:rPr>
      </w:pPr>
      <w:r>
        <w:rPr>
          <w:lang w:eastAsia="en-AU"/>
        </w:rPr>
        <w:t>Victorian Managed Insurance Authority</w:t>
      </w:r>
    </w:p>
    <w:p w14:paraId="11A49184" w14:textId="7A0811CE" w:rsidR="00D74C18" w:rsidRDefault="008A6010" w:rsidP="005F688D">
      <w:pPr>
        <w:pStyle w:val="Bullet1"/>
        <w:rPr>
          <w:lang w:eastAsia="en-AU"/>
        </w:rPr>
      </w:pPr>
      <w:r>
        <w:rPr>
          <w:lang w:eastAsia="en-AU"/>
        </w:rPr>
        <w:t>WorkSafe Victoria</w:t>
      </w:r>
    </w:p>
    <w:p w14:paraId="4522370B" w14:textId="6E3D785F" w:rsidR="00D74C18" w:rsidRDefault="008A6010" w:rsidP="004444B7">
      <w:pPr>
        <w:pStyle w:val="Heading3"/>
        <w:rPr>
          <w:lang w:eastAsia="en-AU"/>
        </w:rPr>
      </w:pPr>
      <w:r w:rsidRPr="008A6010">
        <w:rPr>
          <w:lang w:eastAsia="en-AU"/>
        </w:rPr>
        <w:t>Local government</w:t>
      </w:r>
    </w:p>
    <w:p w14:paraId="7EC6A9E6" w14:textId="77777777" w:rsidR="00E21B3A" w:rsidRDefault="00E21B3A" w:rsidP="005F688D">
      <w:pPr>
        <w:pStyle w:val="Bullet1"/>
        <w:rPr>
          <w:lang w:eastAsia="en-AU"/>
        </w:rPr>
      </w:pPr>
      <w:r>
        <w:rPr>
          <w:lang w:eastAsia="en-AU"/>
        </w:rPr>
        <w:t>Alpine Shire Council</w:t>
      </w:r>
    </w:p>
    <w:p w14:paraId="2670DA83" w14:textId="77777777" w:rsidR="00E21B3A" w:rsidRDefault="00E21B3A" w:rsidP="005F688D">
      <w:pPr>
        <w:pStyle w:val="Bullet1"/>
        <w:rPr>
          <w:lang w:eastAsia="en-AU"/>
        </w:rPr>
      </w:pPr>
      <w:r>
        <w:rPr>
          <w:lang w:eastAsia="en-AU"/>
        </w:rPr>
        <w:t>Ararat Rural City Council</w:t>
      </w:r>
    </w:p>
    <w:p w14:paraId="527B941A" w14:textId="77777777" w:rsidR="00E21B3A" w:rsidRDefault="00E21B3A" w:rsidP="005F688D">
      <w:pPr>
        <w:pStyle w:val="Bullet1"/>
        <w:rPr>
          <w:lang w:eastAsia="en-AU"/>
        </w:rPr>
      </w:pPr>
      <w:r>
        <w:rPr>
          <w:lang w:eastAsia="en-AU"/>
        </w:rPr>
        <w:t>Ballarat City Council</w:t>
      </w:r>
    </w:p>
    <w:p w14:paraId="69ED9258" w14:textId="77777777" w:rsidR="00E21B3A" w:rsidRDefault="00E21B3A" w:rsidP="005F688D">
      <w:pPr>
        <w:pStyle w:val="Bullet1"/>
        <w:rPr>
          <w:lang w:eastAsia="en-AU"/>
        </w:rPr>
      </w:pPr>
      <w:r>
        <w:rPr>
          <w:lang w:eastAsia="en-AU"/>
        </w:rPr>
        <w:t>Banyule City Council</w:t>
      </w:r>
    </w:p>
    <w:p w14:paraId="5A141F32" w14:textId="77777777" w:rsidR="00E21B3A" w:rsidRDefault="00E21B3A" w:rsidP="005F688D">
      <w:pPr>
        <w:pStyle w:val="Bullet1"/>
        <w:rPr>
          <w:lang w:eastAsia="en-AU"/>
        </w:rPr>
      </w:pPr>
      <w:r>
        <w:rPr>
          <w:lang w:eastAsia="en-AU"/>
        </w:rPr>
        <w:t>Bass Coast Shire Council</w:t>
      </w:r>
    </w:p>
    <w:p w14:paraId="50FDAA36" w14:textId="77777777" w:rsidR="00E21B3A" w:rsidRDefault="00E21B3A" w:rsidP="005F688D">
      <w:pPr>
        <w:pStyle w:val="Bullet1"/>
        <w:rPr>
          <w:lang w:eastAsia="en-AU"/>
        </w:rPr>
      </w:pPr>
      <w:r>
        <w:rPr>
          <w:lang w:eastAsia="en-AU"/>
        </w:rPr>
        <w:t>Baw Baw Shire Council</w:t>
      </w:r>
    </w:p>
    <w:p w14:paraId="2E77CCC9" w14:textId="77777777" w:rsidR="00E21B3A" w:rsidRDefault="00E21B3A" w:rsidP="005F688D">
      <w:pPr>
        <w:pStyle w:val="Bullet1"/>
        <w:rPr>
          <w:lang w:eastAsia="en-AU"/>
        </w:rPr>
      </w:pPr>
      <w:r>
        <w:rPr>
          <w:lang w:eastAsia="en-AU"/>
        </w:rPr>
        <w:t>Bayside City Council</w:t>
      </w:r>
    </w:p>
    <w:p w14:paraId="44F7F577" w14:textId="77777777" w:rsidR="00E21B3A" w:rsidRDefault="00E21B3A" w:rsidP="005F688D">
      <w:pPr>
        <w:pStyle w:val="Bullet1"/>
        <w:rPr>
          <w:lang w:eastAsia="en-AU"/>
        </w:rPr>
      </w:pPr>
      <w:r>
        <w:rPr>
          <w:lang w:eastAsia="en-AU"/>
        </w:rPr>
        <w:t>Benalla Rural City Council</w:t>
      </w:r>
    </w:p>
    <w:p w14:paraId="7790A3C7" w14:textId="77777777" w:rsidR="00E21B3A" w:rsidRDefault="00E21B3A" w:rsidP="005F688D">
      <w:pPr>
        <w:pStyle w:val="Bullet1"/>
        <w:rPr>
          <w:lang w:eastAsia="en-AU"/>
        </w:rPr>
      </w:pPr>
      <w:r>
        <w:rPr>
          <w:lang w:eastAsia="en-AU"/>
        </w:rPr>
        <w:t>Boroondara City Council</w:t>
      </w:r>
    </w:p>
    <w:p w14:paraId="02E8096D" w14:textId="77777777" w:rsidR="00E21B3A" w:rsidRDefault="00E21B3A" w:rsidP="005F688D">
      <w:pPr>
        <w:pStyle w:val="Bullet1"/>
        <w:rPr>
          <w:lang w:eastAsia="en-AU"/>
        </w:rPr>
      </w:pPr>
      <w:r>
        <w:rPr>
          <w:lang w:eastAsia="en-AU"/>
        </w:rPr>
        <w:t>Borough of Queenscliffe</w:t>
      </w:r>
    </w:p>
    <w:p w14:paraId="1ABE3F17" w14:textId="77777777" w:rsidR="00E21B3A" w:rsidRDefault="00E21B3A" w:rsidP="005F688D">
      <w:pPr>
        <w:pStyle w:val="Bullet1"/>
        <w:rPr>
          <w:lang w:eastAsia="en-AU"/>
        </w:rPr>
      </w:pPr>
      <w:r>
        <w:rPr>
          <w:lang w:eastAsia="en-AU"/>
        </w:rPr>
        <w:t>Brimbank City Council</w:t>
      </w:r>
    </w:p>
    <w:p w14:paraId="0F871A72" w14:textId="77777777" w:rsidR="00E21B3A" w:rsidRDefault="00E21B3A" w:rsidP="005F688D">
      <w:pPr>
        <w:pStyle w:val="Bullet1"/>
        <w:rPr>
          <w:lang w:eastAsia="en-AU"/>
        </w:rPr>
      </w:pPr>
      <w:r>
        <w:rPr>
          <w:lang w:eastAsia="en-AU"/>
        </w:rPr>
        <w:t>Buloke Shire Council</w:t>
      </w:r>
    </w:p>
    <w:p w14:paraId="4D0E3DA9" w14:textId="77777777" w:rsidR="00E21B3A" w:rsidRDefault="00E21B3A" w:rsidP="005F688D">
      <w:pPr>
        <w:pStyle w:val="Bullet1"/>
        <w:rPr>
          <w:lang w:eastAsia="en-AU"/>
        </w:rPr>
      </w:pPr>
      <w:r>
        <w:rPr>
          <w:lang w:eastAsia="en-AU"/>
        </w:rPr>
        <w:t>Campaspe Shire Council</w:t>
      </w:r>
    </w:p>
    <w:p w14:paraId="366069B7" w14:textId="77777777" w:rsidR="00E21B3A" w:rsidRDefault="00E21B3A" w:rsidP="005F688D">
      <w:pPr>
        <w:pStyle w:val="Bullet1"/>
        <w:rPr>
          <w:lang w:eastAsia="en-AU"/>
        </w:rPr>
      </w:pPr>
      <w:r>
        <w:rPr>
          <w:lang w:eastAsia="en-AU"/>
        </w:rPr>
        <w:t>Cardinia Shire Council</w:t>
      </w:r>
    </w:p>
    <w:p w14:paraId="2BC46BD8" w14:textId="77777777" w:rsidR="00E21B3A" w:rsidRDefault="00E21B3A" w:rsidP="005F688D">
      <w:pPr>
        <w:pStyle w:val="Bullet1"/>
        <w:rPr>
          <w:lang w:eastAsia="en-AU"/>
        </w:rPr>
      </w:pPr>
      <w:r>
        <w:rPr>
          <w:lang w:eastAsia="en-AU"/>
        </w:rPr>
        <w:t>Casey City Council</w:t>
      </w:r>
    </w:p>
    <w:p w14:paraId="296A198F" w14:textId="77777777" w:rsidR="00E21B3A" w:rsidRDefault="00E21B3A" w:rsidP="005F688D">
      <w:pPr>
        <w:pStyle w:val="Bullet1"/>
        <w:rPr>
          <w:lang w:eastAsia="en-AU"/>
        </w:rPr>
      </w:pPr>
      <w:r>
        <w:rPr>
          <w:lang w:eastAsia="en-AU"/>
        </w:rPr>
        <w:t>Central Goldfields Shire Council</w:t>
      </w:r>
    </w:p>
    <w:p w14:paraId="66633F7D" w14:textId="77777777" w:rsidR="00E21B3A" w:rsidRDefault="00E21B3A" w:rsidP="005F688D">
      <w:pPr>
        <w:pStyle w:val="Bullet1"/>
        <w:rPr>
          <w:lang w:eastAsia="en-AU"/>
        </w:rPr>
      </w:pPr>
      <w:r>
        <w:rPr>
          <w:lang w:eastAsia="en-AU"/>
        </w:rPr>
        <w:t>Colac Otway Shire Council</w:t>
      </w:r>
    </w:p>
    <w:p w14:paraId="088795A0" w14:textId="77777777" w:rsidR="00E21B3A" w:rsidRDefault="00E21B3A" w:rsidP="005F688D">
      <w:pPr>
        <w:pStyle w:val="Bullet1"/>
        <w:rPr>
          <w:lang w:eastAsia="en-AU"/>
        </w:rPr>
      </w:pPr>
      <w:r>
        <w:rPr>
          <w:lang w:eastAsia="en-AU"/>
        </w:rPr>
        <w:t>Corangamite Shire Council</w:t>
      </w:r>
    </w:p>
    <w:p w14:paraId="5483CE3A" w14:textId="77777777" w:rsidR="00E21B3A" w:rsidRDefault="00E21B3A" w:rsidP="005F688D">
      <w:pPr>
        <w:pStyle w:val="Bullet1"/>
        <w:rPr>
          <w:lang w:eastAsia="en-AU"/>
        </w:rPr>
      </w:pPr>
      <w:r>
        <w:rPr>
          <w:lang w:eastAsia="en-AU"/>
        </w:rPr>
        <w:t>Darebin City Council</w:t>
      </w:r>
    </w:p>
    <w:p w14:paraId="5F8B5C43" w14:textId="77777777" w:rsidR="00E21B3A" w:rsidRDefault="00E21B3A" w:rsidP="005F688D">
      <w:pPr>
        <w:pStyle w:val="Bullet1"/>
        <w:rPr>
          <w:lang w:eastAsia="en-AU"/>
        </w:rPr>
      </w:pPr>
      <w:r>
        <w:rPr>
          <w:lang w:eastAsia="en-AU"/>
        </w:rPr>
        <w:t>East Gippsland Shire Council</w:t>
      </w:r>
    </w:p>
    <w:p w14:paraId="005F6457" w14:textId="77777777" w:rsidR="00E21B3A" w:rsidRDefault="00E21B3A" w:rsidP="005F688D">
      <w:pPr>
        <w:pStyle w:val="Bullet1"/>
        <w:rPr>
          <w:lang w:eastAsia="en-AU"/>
        </w:rPr>
      </w:pPr>
      <w:r>
        <w:rPr>
          <w:lang w:eastAsia="en-AU"/>
        </w:rPr>
        <w:t>Frankston City Council</w:t>
      </w:r>
    </w:p>
    <w:p w14:paraId="66990398" w14:textId="77777777" w:rsidR="00E21B3A" w:rsidRDefault="00E21B3A" w:rsidP="005F688D">
      <w:pPr>
        <w:pStyle w:val="Bullet1"/>
        <w:rPr>
          <w:lang w:eastAsia="en-AU"/>
        </w:rPr>
      </w:pPr>
      <w:r>
        <w:rPr>
          <w:lang w:eastAsia="en-AU"/>
        </w:rPr>
        <w:t>Gannawarra Shire Council</w:t>
      </w:r>
    </w:p>
    <w:p w14:paraId="172BBB95" w14:textId="77777777" w:rsidR="00E21B3A" w:rsidRDefault="00E21B3A" w:rsidP="005F688D">
      <w:pPr>
        <w:pStyle w:val="Bullet1"/>
        <w:rPr>
          <w:lang w:eastAsia="en-AU"/>
        </w:rPr>
      </w:pPr>
      <w:r>
        <w:rPr>
          <w:lang w:eastAsia="en-AU"/>
        </w:rPr>
        <w:t>Glen Eira City Council</w:t>
      </w:r>
    </w:p>
    <w:p w14:paraId="03C8116F" w14:textId="77777777" w:rsidR="00E21B3A" w:rsidRDefault="00E21B3A" w:rsidP="005F688D">
      <w:pPr>
        <w:pStyle w:val="Bullet1"/>
        <w:rPr>
          <w:lang w:eastAsia="en-AU"/>
        </w:rPr>
      </w:pPr>
      <w:r>
        <w:rPr>
          <w:lang w:eastAsia="en-AU"/>
        </w:rPr>
        <w:t>Glenelg Shire Council</w:t>
      </w:r>
    </w:p>
    <w:p w14:paraId="2D517BAF" w14:textId="77777777" w:rsidR="00E21B3A" w:rsidRDefault="00E21B3A" w:rsidP="005F688D">
      <w:pPr>
        <w:pStyle w:val="Bullet1"/>
        <w:rPr>
          <w:lang w:eastAsia="en-AU"/>
        </w:rPr>
      </w:pPr>
      <w:r>
        <w:rPr>
          <w:lang w:eastAsia="en-AU"/>
        </w:rPr>
        <w:t>Golden Plains Shire Council</w:t>
      </w:r>
    </w:p>
    <w:p w14:paraId="2A02B06F" w14:textId="77777777" w:rsidR="00E21B3A" w:rsidRDefault="00E21B3A" w:rsidP="005F688D">
      <w:pPr>
        <w:pStyle w:val="Bullet1"/>
        <w:rPr>
          <w:lang w:eastAsia="en-AU"/>
        </w:rPr>
      </w:pPr>
      <w:r>
        <w:rPr>
          <w:lang w:eastAsia="en-AU"/>
        </w:rPr>
        <w:t>Greater Bendigo City Council</w:t>
      </w:r>
    </w:p>
    <w:p w14:paraId="44374D38" w14:textId="77777777" w:rsidR="00E21B3A" w:rsidRDefault="00E21B3A" w:rsidP="005F688D">
      <w:pPr>
        <w:pStyle w:val="Bullet1"/>
        <w:rPr>
          <w:lang w:eastAsia="en-AU"/>
        </w:rPr>
      </w:pPr>
      <w:r>
        <w:rPr>
          <w:lang w:eastAsia="en-AU"/>
        </w:rPr>
        <w:t>Greater Dandenong City Council</w:t>
      </w:r>
    </w:p>
    <w:p w14:paraId="189A2E58" w14:textId="77777777" w:rsidR="00E21B3A" w:rsidRDefault="00E21B3A" w:rsidP="005F688D">
      <w:pPr>
        <w:pStyle w:val="Bullet1"/>
        <w:rPr>
          <w:lang w:eastAsia="en-AU"/>
        </w:rPr>
      </w:pPr>
      <w:r>
        <w:rPr>
          <w:lang w:eastAsia="en-AU"/>
        </w:rPr>
        <w:t>Greater Geelong City Council</w:t>
      </w:r>
    </w:p>
    <w:p w14:paraId="6DF0A701" w14:textId="77777777" w:rsidR="00E21B3A" w:rsidRDefault="00E21B3A" w:rsidP="005F688D">
      <w:pPr>
        <w:pStyle w:val="Bullet1"/>
        <w:rPr>
          <w:lang w:eastAsia="en-AU"/>
        </w:rPr>
      </w:pPr>
      <w:r>
        <w:rPr>
          <w:lang w:eastAsia="en-AU"/>
        </w:rPr>
        <w:t>Greater Shepparton City Council</w:t>
      </w:r>
    </w:p>
    <w:p w14:paraId="4443C4AE" w14:textId="77777777" w:rsidR="00E21B3A" w:rsidRDefault="00E21B3A" w:rsidP="005F688D">
      <w:pPr>
        <w:pStyle w:val="Bullet1"/>
        <w:rPr>
          <w:lang w:eastAsia="en-AU"/>
        </w:rPr>
      </w:pPr>
      <w:r>
        <w:rPr>
          <w:lang w:eastAsia="en-AU"/>
        </w:rPr>
        <w:t>Hepburn Shire Council</w:t>
      </w:r>
    </w:p>
    <w:p w14:paraId="76DD0FAA" w14:textId="77777777" w:rsidR="00E21B3A" w:rsidRDefault="00E21B3A" w:rsidP="005F688D">
      <w:pPr>
        <w:pStyle w:val="Bullet1"/>
        <w:rPr>
          <w:lang w:eastAsia="en-AU"/>
        </w:rPr>
      </w:pPr>
      <w:r>
        <w:rPr>
          <w:lang w:eastAsia="en-AU"/>
        </w:rPr>
        <w:t>Hindmarsh Shire Council</w:t>
      </w:r>
    </w:p>
    <w:p w14:paraId="19AEDF67" w14:textId="77777777" w:rsidR="00E21B3A" w:rsidRDefault="00E21B3A" w:rsidP="005F688D">
      <w:pPr>
        <w:pStyle w:val="Bullet1"/>
        <w:rPr>
          <w:lang w:eastAsia="en-AU"/>
        </w:rPr>
      </w:pPr>
      <w:r>
        <w:rPr>
          <w:lang w:eastAsia="en-AU"/>
        </w:rPr>
        <w:t>Hobsons Bay City Council</w:t>
      </w:r>
    </w:p>
    <w:p w14:paraId="64BD2298" w14:textId="77777777" w:rsidR="00E21B3A" w:rsidRDefault="00E21B3A" w:rsidP="005F688D">
      <w:pPr>
        <w:pStyle w:val="Bullet1"/>
        <w:rPr>
          <w:lang w:eastAsia="en-AU"/>
        </w:rPr>
      </w:pPr>
      <w:r>
        <w:rPr>
          <w:lang w:eastAsia="en-AU"/>
        </w:rPr>
        <w:t>Horsham Rural City Council</w:t>
      </w:r>
    </w:p>
    <w:p w14:paraId="46E5198E" w14:textId="77777777" w:rsidR="00E21B3A" w:rsidRDefault="00E21B3A" w:rsidP="005F688D">
      <w:pPr>
        <w:pStyle w:val="Bullet1"/>
        <w:rPr>
          <w:lang w:eastAsia="en-AU"/>
        </w:rPr>
      </w:pPr>
      <w:r>
        <w:rPr>
          <w:lang w:eastAsia="en-AU"/>
        </w:rPr>
        <w:t>Hume City Council</w:t>
      </w:r>
    </w:p>
    <w:p w14:paraId="5E122B7C" w14:textId="77777777" w:rsidR="00E21B3A" w:rsidRDefault="00E21B3A" w:rsidP="005F688D">
      <w:pPr>
        <w:pStyle w:val="Bullet1"/>
        <w:rPr>
          <w:lang w:eastAsia="en-AU"/>
        </w:rPr>
      </w:pPr>
      <w:r>
        <w:rPr>
          <w:lang w:eastAsia="en-AU"/>
        </w:rPr>
        <w:t>Indigo Shire Council</w:t>
      </w:r>
    </w:p>
    <w:p w14:paraId="7A1B1826" w14:textId="77777777" w:rsidR="00E21B3A" w:rsidRDefault="00E21B3A" w:rsidP="005F688D">
      <w:pPr>
        <w:pStyle w:val="Bullet1"/>
        <w:rPr>
          <w:lang w:eastAsia="en-AU"/>
        </w:rPr>
      </w:pPr>
      <w:r>
        <w:rPr>
          <w:lang w:eastAsia="en-AU"/>
        </w:rPr>
        <w:t>Kingston City Council</w:t>
      </w:r>
    </w:p>
    <w:p w14:paraId="7C7A5D6A" w14:textId="77777777" w:rsidR="00E21B3A" w:rsidRDefault="00E21B3A" w:rsidP="005F688D">
      <w:pPr>
        <w:pStyle w:val="Bullet1"/>
        <w:rPr>
          <w:lang w:eastAsia="en-AU"/>
        </w:rPr>
      </w:pPr>
      <w:r>
        <w:rPr>
          <w:lang w:eastAsia="en-AU"/>
        </w:rPr>
        <w:t>Knox City Council</w:t>
      </w:r>
    </w:p>
    <w:p w14:paraId="7D5EB632" w14:textId="77777777" w:rsidR="00E21B3A" w:rsidRDefault="00E21B3A" w:rsidP="005F688D">
      <w:pPr>
        <w:pStyle w:val="Bullet1"/>
        <w:rPr>
          <w:lang w:eastAsia="en-AU"/>
        </w:rPr>
      </w:pPr>
      <w:r>
        <w:rPr>
          <w:lang w:eastAsia="en-AU"/>
        </w:rPr>
        <w:t>Latrobe City Council</w:t>
      </w:r>
    </w:p>
    <w:p w14:paraId="3580A4C2" w14:textId="77777777" w:rsidR="00E21B3A" w:rsidRDefault="00E21B3A" w:rsidP="005F688D">
      <w:pPr>
        <w:pStyle w:val="Bullet1"/>
        <w:rPr>
          <w:lang w:eastAsia="en-AU"/>
        </w:rPr>
      </w:pPr>
      <w:r>
        <w:rPr>
          <w:lang w:eastAsia="en-AU"/>
        </w:rPr>
        <w:t>Loddon Shire Council</w:t>
      </w:r>
    </w:p>
    <w:p w14:paraId="233D856A" w14:textId="77777777" w:rsidR="00E21B3A" w:rsidRDefault="00E21B3A" w:rsidP="005F688D">
      <w:pPr>
        <w:pStyle w:val="Bullet1"/>
        <w:rPr>
          <w:lang w:eastAsia="en-AU"/>
        </w:rPr>
      </w:pPr>
      <w:r>
        <w:rPr>
          <w:lang w:eastAsia="en-AU"/>
        </w:rPr>
        <w:t>Macedon Ranges Shire Council</w:t>
      </w:r>
    </w:p>
    <w:p w14:paraId="0A33EC4F" w14:textId="77777777" w:rsidR="00E21B3A" w:rsidRDefault="00E21B3A" w:rsidP="005F688D">
      <w:pPr>
        <w:pStyle w:val="Bullet1"/>
        <w:rPr>
          <w:lang w:eastAsia="en-AU"/>
        </w:rPr>
      </w:pPr>
      <w:r>
        <w:rPr>
          <w:lang w:eastAsia="en-AU"/>
        </w:rPr>
        <w:t>Manningham City Council</w:t>
      </w:r>
    </w:p>
    <w:p w14:paraId="04FD3A0A" w14:textId="77777777" w:rsidR="00E21B3A" w:rsidRDefault="00E21B3A" w:rsidP="005F688D">
      <w:pPr>
        <w:pStyle w:val="Bullet1"/>
        <w:rPr>
          <w:lang w:eastAsia="en-AU"/>
        </w:rPr>
      </w:pPr>
      <w:r>
        <w:rPr>
          <w:lang w:eastAsia="en-AU"/>
        </w:rPr>
        <w:t>Mansfield Shire Council</w:t>
      </w:r>
    </w:p>
    <w:p w14:paraId="01A852F9" w14:textId="77777777" w:rsidR="00E21B3A" w:rsidRDefault="00E21B3A" w:rsidP="005F688D">
      <w:pPr>
        <w:pStyle w:val="Bullet1"/>
        <w:rPr>
          <w:lang w:eastAsia="en-AU"/>
        </w:rPr>
      </w:pPr>
      <w:r>
        <w:rPr>
          <w:lang w:eastAsia="en-AU"/>
        </w:rPr>
        <w:t>Maribyrnong City Council</w:t>
      </w:r>
    </w:p>
    <w:p w14:paraId="3183DCEB" w14:textId="77777777" w:rsidR="00E21B3A" w:rsidRDefault="00E21B3A" w:rsidP="005F688D">
      <w:pPr>
        <w:pStyle w:val="Bullet1"/>
        <w:rPr>
          <w:lang w:eastAsia="en-AU"/>
        </w:rPr>
      </w:pPr>
      <w:r>
        <w:rPr>
          <w:lang w:eastAsia="en-AU"/>
        </w:rPr>
        <w:t>Maroondah City Council</w:t>
      </w:r>
    </w:p>
    <w:p w14:paraId="2ABF01A2" w14:textId="77777777" w:rsidR="00E21B3A" w:rsidRDefault="00E21B3A" w:rsidP="005F688D">
      <w:pPr>
        <w:pStyle w:val="Bullet1"/>
        <w:rPr>
          <w:lang w:eastAsia="en-AU"/>
        </w:rPr>
      </w:pPr>
      <w:r>
        <w:rPr>
          <w:lang w:eastAsia="en-AU"/>
        </w:rPr>
        <w:t>Melbourne City Council</w:t>
      </w:r>
    </w:p>
    <w:p w14:paraId="7CAE7628" w14:textId="77777777" w:rsidR="00E21B3A" w:rsidRDefault="00E21B3A" w:rsidP="005F688D">
      <w:pPr>
        <w:pStyle w:val="Bullet1"/>
        <w:rPr>
          <w:lang w:eastAsia="en-AU"/>
        </w:rPr>
      </w:pPr>
      <w:r>
        <w:rPr>
          <w:lang w:eastAsia="en-AU"/>
        </w:rPr>
        <w:t>Melton City Council</w:t>
      </w:r>
    </w:p>
    <w:p w14:paraId="4BF7DDF8" w14:textId="77777777" w:rsidR="00E21B3A" w:rsidRDefault="00E21B3A" w:rsidP="005F688D">
      <w:pPr>
        <w:pStyle w:val="Bullet1"/>
        <w:rPr>
          <w:lang w:eastAsia="en-AU"/>
        </w:rPr>
      </w:pPr>
      <w:r>
        <w:rPr>
          <w:lang w:eastAsia="en-AU"/>
        </w:rPr>
        <w:t>Merri-bek City Council</w:t>
      </w:r>
    </w:p>
    <w:p w14:paraId="7F0B57DE" w14:textId="77777777" w:rsidR="00E21B3A" w:rsidRDefault="00E21B3A" w:rsidP="005F688D">
      <w:pPr>
        <w:pStyle w:val="Bullet1"/>
        <w:rPr>
          <w:lang w:eastAsia="en-AU"/>
        </w:rPr>
      </w:pPr>
      <w:r>
        <w:rPr>
          <w:lang w:eastAsia="en-AU"/>
        </w:rPr>
        <w:t>Mildura Rural City Council</w:t>
      </w:r>
    </w:p>
    <w:p w14:paraId="7136EB9D" w14:textId="77777777" w:rsidR="00E21B3A" w:rsidRDefault="00E21B3A" w:rsidP="005F688D">
      <w:pPr>
        <w:pStyle w:val="Bullet1"/>
        <w:rPr>
          <w:lang w:eastAsia="en-AU"/>
        </w:rPr>
      </w:pPr>
      <w:r>
        <w:rPr>
          <w:lang w:eastAsia="en-AU"/>
        </w:rPr>
        <w:t>Mitchell Shire Council</w:t>
      </w:r>
    </w:p>
    <w:p w14:paraId="62F9CB90" w14:textId="77777777" w:rsidR="00E21B3A" w:rsidRDefault="00E21B3A" w:rsidP="005F688D">
      <w:pPr>
        <w:pStyle w:val="Bullet1"/>
        <w:rPr>
          <w:lang w:eastAsia="en-AU"/>
        </w:rPr>
      </w:pPr>
      <w:r>
        <w:rPr>
          <w:lang w:eastAsia="en-AU"/>
        </w:rPr>
        <w:t>Moira Shire Council</w:t>
      </w:r>
    </w:p>
    <w:p w14:paraId="240331F3" w14:textId="77777777" w:rsidR="00E21B3A" w:rsidRDefault="00E21B3A" w:rsidP="005F688D">
      <w:pPr>
        <w:pStyle w:val="Bullet1"/>
        <w:rPr>
          <w:lang w:eastAsia="en-AU"/>
        </w:rPr>
      </w:pPr>
      <w:r>
        <w:rPr>
          <w:lang w:eastAsia="en-AU"/>
        </w:rPr>
        <w:t>Monash City Council</w:t>
      </w:r>
    </w:p>
    <w:p w14:paraId="299FFA91" w14:textId="77777777" w:rsidR="00E21B3A" w:rsidRDefault="00E21B3A" w:rsidP="005F688D">
      <w:pPr>
        <w:pStyle w:val="Bullet1"/>
        <w:rPr>
          <w:lang w:eastAsia="en-AU"/>
        </w:rPr>
      </w:pPr>
      <w:r>
        <w:rPr>
          <w:lang w:eastAsia="en-AU"/>
        </w:rPr>
        <w:t>Moonee Valley City Council</w:t>
      </w:r>
    </w:p>
    <w:p w14:paraId="795C447F" w14:textId="77777777" w:rsidR="00E21B3A" w:rsidRDefault="00E21B3A" w:rsidP="005F688D">
      <w:pPr>
        <w:pStyle w:val="Bullet1"/>
        <w:rPr>
          <w:lang w:eastAsia="en-AU"/>
        </w:rPr>
      </w:pPr>
      <w:r>
        <w:rPr>
          <w:lang w:eastAsia="en-AU"/>
        </w:rPr>
        <w:t>Moorabool Shire Council</w:t>
      </w:r>
    </w:p>
    <w:p w14:paraId="63BCA256" w14:textId="77777777" w:rsidR="00E21B3A" w:rsidRDefault="00E21B3A" w:rsidP="005F688D">
      <w:pPr>
        <w:pStyle w:val="Bullet1"/>
        <w:rPr>
          <w:lang w:eastAsia="en-AU"/>
        </w:rPr>
      </w:pPr>
      <w:r>
        <w:rPr>
          <w:lang w:eastAsia="en-AU"/>
        </w:rPr>
        <w:t>Mornington Peninsula Shire Council</w:t>
      </w:r>
    </w:p>
    <w:p w14:paraId="56ACB427" w14:textId="77777777" w:rsidR="00E21B3A" w:rsidRDefault="00E21B3A" w:rsidP="005F688D">
      <w:pPr>
        <w:pStyle w:val="Bullet1"/>
        <w:rPr>
          <w:lang w:eastAsia="en-AU"/>
        </w:rPr>
      </w:pPr>
      <w:r>
        <w:rPr>
          <w:lang w:eastAsia="en-AU"/>
        </w:rPr>
        <w:t>Mount Alexander Shire Council</w:t>
      </w:r>
    </w:p>
    <w:p w14:paraId="3A88201F" w14:textId="77777777" w:rsidR="00E21B3A" w:rsidRDefault="00E21B3A" w:rsidP="005F688D">
      <w:pPr>
        <w:pStyle w:val="Bullet1"/>
        <w:rPr>
          <w:lang w:eastAsia="en-AU"/>
        </w:rPr>
      </w:pPr>
      <w:r>
        <w:rPr>
          <w:lang w:eastAsia="en-AU"/>
        </w:rPr>
        <w:t>Moyne Shire Council</w:t>
      </w:r>
    </w:p>
    <w:p w14:paraId="13452AF1" w14:textId="77777777" w:rsidR="00E21B3A" w:rsidRDefault="00E21B3A" w:rsidP="005F688D">
      <w:pPr>
        <w:pStyle w:val="Bullet1"/>
        <w:rPr>
          <w:lang w:eastAsia="en-AU"/>
        </w:rPr>
      </w:pPr>
      <w:r>
        <w:rPr>
          <w:lang w:eastAsia="en-AU"/>
        </w:rPr>
        <w:t>Murrindindi Shire Council</w:t>
      </w:r>
    </w:p>
    <w:p w14:paraId="5F8D25AF" w14:textId="77777777" w:rsidR="00E21B3A" w:rsidRDefault="00E21B3A" w:rsidP="005F688D">
      <w:pPr>
        <w:pStyle w:val="Bullet1"/>
        <w:rPr>
          <w:lang w:eastAsia="en-AU"/>
        </w:rPr>
      </w:pPr>
      <w:r>
        <w:rPr>
          <w:lang w:eastAsia="en-AU"/>
        </w:rPr>
        <w:t>Nillumbik Shire Council</w:t>
      </w:r>
    </w:p>
    <w:p w14:paraId="44EB8503" w14:textId="77777777" w:rsidR="00E21B3A" w:rsidRDefault="00E21B3A" w:rsidP="005F688D">
      <w:pPr>
        <w:pStyle w:val="Bullet1"/>
        <w:rPr>
          <w:lang w:eastAsia="en-AU"/>
        </w:rPr>
      </w:pPr>
      <w:r>
        <w:rPr>
          <w:lang w:eastAsia="en-AU"/>
        </w:rPr>
        <w:t>Northern Grampians Shire Council</w:t>
      </w:r>
    </w:p>
    <w:p w14:paraId="1A5AA726" w14:textId="77777777" w:rsidR="00E21B3A" w:rsidRDefault="00E21B3A" w:rsidP="005F688D">
      <w:pPr>
        <w:pStyle w:val="Bullet1"/>
        <w:rPr>
          <w:lang w:eastAsia="en-AU"/>
        </w:rPr>
      </w:pPr>
      <w:r>
        <w:rPr>
          <w:lang w:eastAsia="en-AU"/>
        </w:rPr>
        <w:t>Port Phillip City Council</w:t>
      </w:r>
    </w:p>
    <w:p w14:paraId="22CB153A" w14:textId="77777777" w:rsidR="00E21B3A" w:rsidRDefault="00E21B3A" w:rsidP="005F688D">
      <w:pPr>
        <w:pStyle w:val="Bullet1"/>
        <w:rPr>
          <w:lang w:eastAsia="en-AU"/>
        </w:rPr>
      </w:pPr>
      <w:r>
        <w:rPr>
          <w:lang w:eastAsia="en-AU"/>
        </w:rPr>
        <w:t>Pyrenees Shire Council</w:t>
      </w:r>
    </w:p>
    <w:p w14:paraId="63FA234A" w14:textId="77777777" w:rsidR="00E21B3A" w:rsidRDefault="00E21B3A" w:rsidP="005F688D">
      <w:pPr>
        <w:pStyle w:val="Bullet1"/>
        <w:rPr>
          <w:lang w:eastAsia="en-AU"/>
        </w:rPr>
      </w:pPr>
      <w:r>
        <w:rPr>
          <w:lang w:eastAsia="en-AU"/>
        </w:rPr>
        <w:t>South Gippsland Shire Council</w:t>
      </w:r>
    </w:p>
    <w:p w14:paraId="0E28CA31" w14:textId="77777777" w:rsidR="00E21B3A" w:rsidRDefault="00E21B3A" w:rsidP="005F688D">
      <w:pPr>
        <w:pStyle w:val="Bullet1"/>
        <w:rPr>
          <w:lang w:eastAsia="en-AU"/>
        </w:rPr>
      </w:pPr>
      <w:r>
        <w:rPr>
          <w:lang w:eastAsia="en-AU"/>
        </w:rPr>
        <w:t>Southern Grampians Shire Council</w:t>
      </w:r>
    </w:p>
    <w:p w14:paraId="4DE17A63" w14:textId="77777777" w:rsidR="00E21B3A" w:rsidRDefault="00E21B3A" w:rsidP="005F688D">
      <w:pPr>
        <w:pStyle w:val="Bullet1"/>
        <w:rPr>
          <w:lang w:eastAsia="en-AU"/>
        </w:rPr>
      </w:pPr>
      <w:r>
        <w:rPr>
          <w:lang w:eastAsia="en-AU"/>
        </w:rPr>
        <w:t>Stonnington City Council</w:t>
      </w:r>
    </w:p>
    <w:p w14:paraId="5E2117D5" w14:textId="77777777" w:rsidR="00E21B3A" w:rsidRDefault="00E21B3A" w:rsidP="005F688D">
      <w:pPr>
        <w:pStyle w:val="Bullet1"/>
        <w:rPr>
          <w:lang w:eastAsia="en-AU"/>
        </w:rPr>
      </w:pPr>
      <w:r>
        <w:rPr>
          <w:lang w:eastAsia="en-AU"/>
        </w:rPr>
        <w:t>Strathbogie Shire Council</w:t>
      </w:r>
    </w:p>
    <w:p w14:paraId="369C277D" w14:textId="77777777" w:rsidR="00E21B3A" w:rsidRDefault="00E21B3A" w:rsidP="005F688D">
      <w:pPr>
        <w:pStyle w:val="Bullet1"/>
        <w:rPr>
          <w:lang w:eastAsia="en-AU"/>
        </w:rPr>
      </w:pPr>
      <w:r>
        <w:rPr>
          <w:lang w:eastAsia="en-AU"/>
        </w:rPr>
        <w:t>Surf Coast Shire Council</w:t>
      </w:r>
    </w:p>
    <w:p w14:paraId="1FA3A979" w14:textId="77777777" w:rsidR="00E21B3A" w:rsidRDefault="00E21B3A" w:rsidP="005F688D">
      <w:pPr>
        <w:pStyle w:val="Bullet1"/>
        <w:rPr>
          <w:lang w:eastAsia="en-AU"/>
        </w:rPr>
      </w:pPr>
      <w:r>
        <w:rPr>
          <w:lang w:eastAsia="en-AU"/>
        </w:rPr>
        <w:t>Swan Hill Rural City Council</w:t>
      </w:r>
    </w:p>
    <w:p w14:paraId="64A9503C" w14:textId="77777777" w:rsidR="00E21B3A" w:rsidRDefault="00E21B3A" w:rsidP="005F688D">
      <w:pPr>
        <w:pStyle w:val="Bullet1"/>
        <w:rPr>
          <w:lang w:eastAsia="en-AU"/>
        </w:rPr>
      </w:pPr>
      <w:r>
        <w:rPr>
          <w:lang w:eastAsia="en-AU"/>
        </w:rPr>
        <w:t>Towong Shire Council</w:t>
      </w:r>
    </w:p>
    <w:p w14:paraId="4E78005D" w14:textId="77777777" w:rsidR="00E21B3A" w:rsidRDefault="00E21B3A" w:rsidP="005F688D">
      <w:pPr>
        <w:pStyle w:val="Bullet1"/>
        <w:rPr>
          <w:lang w:eastAsia="en-AU"/>
        </w:rPr>
      </w:pPr>
      <w:r>
        <w:rPr>
          <w:lang w:eastAsia="en-AU"/>
        </w:rPr>
        <w:t>Wangaratta Rural City Council</w:t>
      </w:r>
    </w:p>
    <w:p w14:paraId="6CB2BF35" w14:textId="77777777" w:rsidR="00E21B3A" w:rsidRDefault="00E21B3A" w:rsidP="005F688D">
      <w:pPr>
        <w:pStyle w:val="Bullet1"/>
        <w:rPr>
          <w:lang w:eastAsia="en-AU"/>
        </w:rPr>
      </w:pPr>
      <w:r>
        <w:rPr>
          <w:lang w:eastAsia="en-AU"/>
        </w:rPr>
        <w:t>Warrnambool City Council</w:t>
      </w:r>
    </w:p>
    <w:p w14:paraId="205E42C7" w14:textId="77777777" w:rsidR="00E21B3A" w:rsidRDefault="00E21B3A" w:rsidP="005F688D">
      <w:pPr>
        <w:pStyle w:val="Bullet1"/>
        <w:rPr>
          <w:lang w:eastAsia="en-AU"/>
        </w:rPr>
      </w:pPr>
      <w:r>
        <w:rPr>
          <w:lang w:eastAsia="en-AU"/>
        </w:rPr>
        <w:t>Wellington Shire Council</w:t>
      </w:r>
    </w:p>
    <w:p w14:paraId="5B347CC5" w14:textId="77777777" w:rsidR="00E21B3A" w:rsidRDefault="00E21B3A" w:rsidP="005F688D">
      <w:pPr>
        <w:pStyle w:val="Bullet1"/>
        <w:rPr>
          <w:lang w:eastAsia="en-AU"/>
        </w:rPr>
      </w:pPr>
      <w:r>
        <w:rPr>
          <w:lang w:eastAsia="en-AU"/>
        </w:rPr>
        <w:t>West Wimmera Shire Council</w:t>
      </w:r>
    </w:p>
    <w:p w14:paraId="07A37F6A" w14:textId="77777777" w:rsidR="00E21B3A" w:rsidRDefault="00E21B3A" w:rsidP="005F688D">
      <w:pPr>
        <w:pStyle w:val="Bullet1"/>
        <w:rPr>
          <w:lang w:eastAsia="en-AU"/>
        </w:rPr>
      </w:pPr>
      <w:r>
        <w:rPr>
          <w:lang w:eastAsia="en-AU"/>
        </w:rPr>
        <w:t>Whitehorse City Council</w:t>
      </w:r>
    </w:p>
    <w:p w14:paraId="265BC3ED" w14:textId="77777777" w:rsidR="00E21B3A" w:rsidRDefault="00E21B3A" w:rsidP="005F688D">
      <w:pPr>
        <w:pStyle w:val="Bullet1"/>
        <w:rPr>
          <w:lang w:eastAsia="en-AU"/>
        </w:rPr>
      </w:pPr>
      <w:r>
        <w:rPr>
          <w:lang w:eastAsia="en-AU"/>
        </w:rPr>
        <w:t>Whittlesea City Council</w:t>
      </w:r>
    </w:p>
    <w:p w14:paraId="29781A57" w14:textId="77777777" w:rsidR="00E21B3A" w:rsidRDefault="00E21B3A" w:rsidP="005F688D">
      <w:pPr>
        <w:pStyle w:val="Bullet1"/>
        <w:rPr>
          <w:lang w:eastAsia="en-AU"/>
        </w:rPr>
      </w:pPr>
      <w:r>
        <w:rPr>
          <w:lang w:eastAsia="en-AU"/>
        </w:rPr>
        <w:t>Wodonga City Council</w:t>
      </w:r>
    </w:p>
    <w:p w14:paraId="7F973AC4" w14:textId="77777777" w:rsidR="00E21B3A" w:rsidRDefault="00E21B3A" w:rsidP="005F688D">
      <w:pPr>
        <w:pStyle w:val="Bullet1"/>
        <w:rPr>
          <w:lang w:eastAsia="en-AU"/>
        </w:rPr>
      </w:pPr>
      <w:r>
        <w:rPr>
          <w:lang w:eastAsia="en-AU"/>
        </w:rPr>
        <w:t>Wyndham City Council</w:t>
      </w:r>
    </w:p>
    <w:p w14:paraId="67B67620" w14:textId="77777777" w:rsidR="00E21B3A" w:rsidRDefault="00E21B3A" w:rsidP="005F688D">
      <w:pPr>
        <w:pStyle w:val="Bullet1"/>
        <w:rPr>
          <w:lang w:eastAsia="en-AU"/>
        </w:rPr>
      </w:pPr>
      <w:r>
        <w:rPr>
          <w:lang w:eastAsia="en-AU"/>
        </w:rPr>
        <w:t>Yarra City Council</w:t>
      </w:r>
    </w:p>
    <w:p w14:paraId="5DDE8C74" w14:textId="77777777" w:rsidR="00E21B3A" w:rsidRDefault="00E21B3A" w:rsidP="005F688D">
      <w:pPr>
        <w:pStyle w:val="Bullet1"/>
        <w:rPr>
          <w:lang w:eastAsia="en-AU"/>
        </w:rPr>
      </w:pPr>
      <w:r>
        <w:rPr>
          <w:lang w:eastAsia="en-AU"/>
        </w:rPr>
        <w:t>Yarra Ranges Shire Council</w:t>
      </w:r>
    </w:p>
    <w:p w14:paraId="33A7FBE7" w14:textId="3DBF2E62" w:rsidR="00D74C18" w:rsidRDefault="00E21B3A" w:rsidP="00DC1A76">
      <w:pPr>
        <w:pStyle w:val="Bullet1"/>
        <w:rPr>
          <w:lang w:eastAsia="en-AU"/>
        </w:rPr>
      </w:pPr>
      <w:r>
        <w:rPr>
          <w:lang w:eastAsia="en-AU"/>
        </w:rPr>
        <w:t>Yarriambiack Shire Council</w:t>
      </w:r>
    </w:p>
    <w:p w14:paraId="05E3B747" w14:textId="24965191" w:rsidR="00660A4F" w:rsidRDefault="00660A4F" w:rsidP="004444B7">
      <w:pPr>
        <w:pStyle w:val="Heading3"/>
        <w:rPr>
          <w:lang w:eastAsia="en-AU"/>
        </w:rPr>
      </w:pPr>
      <w:r>
        <w:rPr>
          <w:lang w:eastAsia="en-AU"/>
        </w:rPr>
        <w:t>Other</w:t>
      </w:r>
    </w:p>
    <w:p w14:paraId="628DA418" w14:textId="77777777" w:rsidR="00660A4F" w:rsidRDefault="00660A4F" w:rsidP="005F688D">
      <w:pPr>
        <w:pStyle w:val="Bullet1"/>
        <w:rPr>
          <w:lang w:eastAsia="en-AU"/>
        </w:rPr>
      </w:pPr>
      <w:r>
        <w:rPr>
          <w:lang w:eastAsia="en-AU"/>
        </w:rPr>
        <w:t>Accident Compensation Conciliation Service</w:t>
      </w:r>
    </w:p>
    <w:p w14:paraId="6EDD09C7" w14:textId="77777777" w:rsidR="00660A4F" w:rsidRDefault="00660A4F" w:rsidP="005F688D">
      <w:pPr>
        <w:pStyle w:val="Bullet1"/>
        <w:rPr>
          <w:lang w:eastAsia="en-AU"/>
        </w:rPr>
      </w:pPr>
      <w:r>
        <w:rPr>
          <w:lang w:eastAsia="en-AU"/>
        </w:rPr>
        <w:t>Building and Plumbing Commission</w:t>
      </w:r>
    </w:p>
    <w:p w14:paraId="30CD0810" w14:textId="77777777" w:rsidR="00660A4F" w:rsidRDefault="00660A4F" w:rsidP="005F688D">
      <w:pPr>
        <w:pStyle w:val="Bullet1"/>
        <w:rPr>
          <w:lang w:eastAsia="en-AU"/>
        </w:rPr>
      </w:pPr>
      <w:r>
        <w:rPr>
          <w:lang w:eastAsia="en-AU"/>
        </w:rPr>
        <w:t>Departments of Parliament</w:t>
      </w:r>
    </w:p>
    <w:p w14:paraId="44BB0F86" w14:textId="77777777" w:rsidR="00660A4F" w:rsidRDefault="00660A4F" w:rsidP="005F688D">
      <w:pPr>
        <w:pStyle w:val="Bullet1"/>
        <w:rPr>
          <w:lang w:eastAsia="en-AU"/>
        </w:rPr>
      </w:pPr>
      <w:r>
        <w:rPr>
          <w:lang w:eastAsia="en-AU"/>
        </w:rPr>
        <w:t>Energy Safe Victoria</w:t>
      </w:r>
    </w:p>
    <w:p w14:paraId="574F6CFB" w14:textId="77777777" w:rsidR="00660A4F" w:rsidRDefault="00660A4F" w:rsidP="005F688D">
      <w:pPr>
        <w:pStyle w:val="Bullet1"/>
        <w:rPr>
          <w:lang w:eastAsia="en-AU"/>
        </w:rPr>
      </w:pPr>
      <w:r>
        <w:rPr>
          <w:lang w:eastAsia="en-AU"/>
        </w:rPr>
        <w:t>Melbourne Arts Precinct Corporation</w:t>
      </w:r>
    </w:p>
    <w:p w14:paraId="1D14C934" w14:textId="77777777" w:rsidR="00660A4F" w:rsidRDefault="00660A4F" w:rsidP="005F688D">
      <w:pPr>
        <w:pStyle w:val="Bullet1"/>
        <w:rPr>
          <w:lang w:eastAsia="en-AU"/>
        </w:rPr>
      </w:pPr>
      <w:r>
        <w:rPr>
          <w:lang w:eastAsia="en-AU"/>
        </w:rPr>
        <w:t>SEC Victoria Pty Ltd</w:t>
      </w:r>
    </w:p>
    <w:p w14:paraId="41779892" w14:textId="77777777" w:rsidR="00660A4F" w:rsidRDefault="00660A4F" w:rsidP="005F688D">
      <w:pPr>
        <w:pStyle w:val="Bullet1"/>
        <w:rPr>
          <w:lang w:eastAsia="en-AU"/>
        </w:rPr>
      </w:pPr>
      <w:r>
        <w:rPr>
          <w:lang w:eastAsia="en-AU"/>
        </w:rPr>
        <w:t>Victorian Convention and Event Trust</w:t>
      </w:r>
    </w:p>
    <w:p w14:paraId="4BB5A064" w14:textId="2424FA39" w:rsidR="00660A4F" w:rsidRDefault="00660A4F" w:rsidP="005F688D">
      <w:pPr>
        <w:pStyle w:val="Bullet1"/>
        <w:rPr>
          <w:lang w:eastAsia="en-AU"/>
        </w:rPr>
      </w:pPr>
      <w:r>
        <w:rPr>
          <w:lang w:eastAsia="en-AU"/>
        </w:rPr>
        <w:t>Victorian Gambling and Casino Control Commission</w:t>
      </w:r>
    </w:p>
    <w:p w14:paraId="761CAED3" w14:textId="493534D2" w:rsidR="00660A4F" w:rsidRDefault="00660A4F" w:rsidP="004444B7">
      <w:pPr>
        <w:pStyle w:val="Heading3"/>
        <w:rPr>
          <w:lang w:eastAsia="en-AU"/>
        </w:rPr>
      </w:pPr>
      <w:r w:rsidRPr="00660A4F">
        <w:rPr>
          <w:lang w:eastAsia="en-AU"/>
        </w:rPr>
        <w:t>Police and emergency services</w:t>
      </w:r>
    </w:p>
    <w:p w14:paraId="3967DBEB" w14:textId="77777777" w:rsidR="00E10944" w:rsidRDefault="00E10944" w:rsidP="005F688D">
      <w:pPr>
        <w:pStyle w:val="Bullet1"/>
        <w:rPr>
          <w:lang w:eastAsia="en-AU"/>
        </w:rPr>
      </w:pPr>
      <w:r>
        <w:rPr>
          <w:lang w:eastAsia="en-AU"/>
        </w:rPr>
        <w:t>Ambulance Victoria</w:t>
      </w:r>
    </w:p>
    <w:p w14:paraId="606C9C50" w14:textId="77777777" w:rsidR="00E10944" w:rsidRDefault="00E10944" w:rsidP="005F688D">
      <w:pPr>
        <w:pStyle w:val="Bullet1"/>
        <w:rPr>
          <w:lang w:eastAsia="en-AU"/>
        </w:rPr>
      </w:pPr>
      <w:r>
        <w:rPr>
          <w:lang w:eastAsia="en-AU"/>
        </w:rPr>
        <w:t>Country Fire Authority</w:t>
      </w:r>
    </w:p>
    <w:p w14:paraId="41B59004" w14:textId="77777777" w:rsidR="00E10944" w:rsidRDefault="00E10944" w:rsidP="005F688D">
      <w:pPr>
        <w:pStyle w:val="Bullet1"/>
        <w:rPr>
          <w:lang w:eastAsia="en-AU"/>
        </w:rPr>
      </w:pPr>
      <w:r>
        <w:rPr>
          <w:lang w:eastAsia="en-AU"/>
        </w:rPr>
        <w:t>Fire Rescue Victoria</w:t>
      </w:r>
    </w:p>
    <w:p w14:paraId="6D62B2F5" w14:textId="77777777" w:rsidR="00E10944" w:rsidRDefault="00E10944" w:rsidP="005F688D">
      <w:pPr>
        <w:pStyle w:val="Bullet1"/>
        <w:rPr>
          <w:lang w:eastAsia="en-AU"/>
        </w:rPr>
      </w:pPr>
      <w:r>
        <w:rPr>
          <w:lang w:eastAsia="en-AU"/>
        </w:rPr>
        <w:t>Triple Zero Victoria</w:t>
      </w:r>
    </w:p>
    <w:p w14:paraId="7E78421C" w14:textId="77777777" w:rsidR="00E10944" w:rsidRDefault="00E10944" w:rsidP="005F688D">
      <w:pPr>
        <w:pStyle w:val="Bullet1"/>
        <w:rPr>
          <w:lang w:eastAsia="en-AU"/>
        </w:rPr>
      </w:pPr>
      <w:r>
        <w:rPr>
          <w:lang w:eastAsia="en-AU"/>
        </w:rPr>
        <w:t>Victoria Police</w:t>
      </w:r>
    </w:p>
    <w:p w14:paraId="67C5B29E" w14:textId="668D1598" w:rsidR="00660A4F" w:rsidRDefault="00E10944" w:rsidP="00DC1A76">
      <w:pPr>
        <w:pStyle w:val="Bullet1"/>
        <w:rPr>
          <w:lang w:eastAsia="en-AU"/>
        </w:rPr>
      </w:pPr>
      <w:r>
        <w:rPr>
          <w:lang w:eastAsia="en-AU"/>
        </w:rPr>
        <w:t>Victoria State Emergency Service</w:t>
      </w:r>
    </w:p>
    <w:p w14:paraId="22779E5A" w14:textId="738FF94E" w:rsidR="00D52F94" w:rsidRDefault="00D52F94" w:rsidP="004444B7">
      <w:pPr>
        <w:pStyle w:val="Heading3"/>
        <w:rPr>
          <w:lang w:eastAsia="en-AU"/>
        </w:rPr>
      </w:pPr>
      <w:r>
        <w:rPr>
          <w:lang w:eastAsia="en-AU"/>
        </w:rPr>
        <w:t>Public health care</w:t>
      </w:r>
    </w:p>
    <w:p w14:paraId="053E26D9" w14:textId="77777777" w:rsidR="00D52F94" w:rsidRDefault="00D52F94" w:rsidP="005F688D">
      <w:pPr>
        <w:pStyle w:val="Bullet1"/>
        <w:rPr>
          <w:lang w:eastAsia="en-AU"/>
        </w:rPr>
      </w:pPr>
      <w:r>
        <w:rPr>
          <w:lang w:eastAsia="en-AU"/>
        </w:rPr>
        <w:t>Albury Wodonga Health</w:t>
      </w:r>
    </w:p>
    <w:p w14:paraId="3C651811" w14:textId="77777777" w:rsidR="00D52F94" w:rsidRDefault="00D52F94" w:rsidP="005F688D">
      <w:pPr>
        <w:pStyle w:val="Bullet1"/>
        <w:rPr>
          <w:lang w:eastAsia="en-AU"/>
        </w:rPr>
      </w:pPr>
      <w:r>
        <w:rPr>
          <w:lang w:eastAsia="en-AU"/>
        </w:rPr>
        <w:t>Alexandra District Health</w:t>
      </w:r>
    </w:p>
    <w:p w14:paraId="0D5917B9" w14:textId="77777777" w:rsidR="00D52F94" w:rsidRDefault="00D52F94" w:rsidP="005F688D">
      <w:pPr>
        <w:pStyle w:val="Bullet1"/>
        <w:rPr>
          <w:lang w:eastAsia="en-AU"/>
        </w:rPr>
      </w:pPr>
      <w:r>
        <w:rPr>
          <w:lang w:eastAsia="en-AU"/>
        </w:rPr>
        <w:t>Alfred Health</w:t>
      </w:r>
    </w:p>
    <w:p w14:paraId="2DEFDBFD" w14:textId="77777777" w:rsidR="00D52F94" w:rsidRDefault="00D52F94" w:rsidP="005F688D">
      <w:pPr>
        <w:pStyle w:val="Bullet1"/>
        <w:rPr>
          <w:lang w:eastAsia="en-AU"/>
        </w:rPr>
      </w:pPr>
      <w:r>
        <w:rPr>
          <w:lang w:eastAsia="en-AU"/>
        </w:rPr>
        <w:t>Alpine Health</w:t>
      </w:r>
    </w:p>
    <w:p w14:paraId="65D75332" w14:textId="77777777" w:rsidR="00D52F94" w:rsidRDefault="00D52F94" w:rsidP="005F688D">
      <w:pPr>
        <w:pStyle w:val="Bullet1"/>
        <w:rPr>
          <w:lang w:eastAsia="en-AU"/>
        </w:rPr>
      </w:pPr>
      <w:r>
        <w:rPr>
          <w:lang w:eastAsia="en-AU"/>
        </w:rPr>
        <w:t>Austin Health</w:t>
      </w:r>
    </w:p>
    <w:p w14:paraId="109FA0A6" w14:textId="77777777" w:rsidR="00D52F94" w:rsidRDefault="00D52F94" w:rsidP="005F688D">
      <w:pPr>
        <w:pStyle w:val="Bullet1"/>
        <w:rPr>
          <w:lang w:eastAsia="en-AU"/>
        </w:rPr>
      </w:pPr>
      <w:r>
        <w:rPr>
          <w:lang w:eastAsia="en-AU"/>
        </w:rPr>
        <w:t>Bairnsdale Regional Health Service</w:t>
      </w:r>
    </w:p>
    <w:p w14:paraId="56E2C0F7" w14:textId="77777777" w:rsidR="00D52F94" w:rsidRDefault="00D52F94" w:rsidP="005F688D">
      <w:pPr>
        <w:pStyle w:val="Bullet1"/>
        <w:rPr>
          <w:lang w:eastAsia="en-AU"/>
        </w:rPr>
      </w:pPr>
      <w:r>
        <w:rPr>
          <w:lang w:eastAsia="en-AU"/>
        </w:rPr>
        <w:t>Ballarat Health Services</w:t>
      </w:r>
    </w:p>
    <w:p w14:paraId="5411BA91" w14:textId="77777777" w:rsidR="00D52F94" w:rsidRDefault="00D52F94" w:rsidP="005F688D">
      <w:pPr>
        <w:pStyle w:val="Bullet1"/>
        <w:rPr>
          <w:lang w:eastAsia="en-AU"/>
        </w:rPr>
      </w:pPr>
      <w:r>
        <w:rPr>
          <w:lang w:eastAsia="en-AU"/>
        </w:rPr>
        <w:t>Barwon Health</w:t>
      </w:r>
    </w:p>
    <w:p w14:paraId="472F29A9" w14:textId="77777777" w:rsidR="00D52F94" w:rsidRDefault="00D52F94" w:rsidP="005F688D">
      <w:pPr>
        <w:pStyle w:val="Bullet1"/>
        <w:rPr>
          <w:lang w:eastAsia="en-AU"/>
        </w:rPr>
      </w:pPr>
      <w:r>
        <w:rPr>
          <w:lang w:eastAsia="en-AU"/>
        </w:rPr>
        <w:t>Bass Coast Health</w:t>
      </w:r>
    </w:p>
    <w:p w14:paraId="775E2231" w14:textId="77777777" w:rsidR="00D52F94" w:rsidRDefault="00D52F94" w:rsidP="005F688D">
      <w:pPr>
        <w:pStyle w:val="Bullet1"/>
        <w:rPr>
          <w:lang w:eastAsia="en-AU"/>
        </w:rPr>
      </w:pPr>
      <w:r>
        <w:rPr>
          <w:lang w:eastAsia="en-AU"/>
        </w:rPr>
        <w:t>Beaufort and Skipton Health Service</w:t>
      </w:r>
    </w:p>
    <w:p w14:paraId="71529DEB" w14:textId="77777777" w:rsidR="00D52F94" w:rsidRDefault="00D52F94" w:rsidP="005F688D">
      <w:pPr>
        <w:pStyle w:val="Bullet1"/>
        <w:rPr>
          <w:lang w:eastAsia="en-AU"/>
        </w:rPr>
      </w:pPr>
      <w:r>
        <w:rPr>
          <w:lang w:eastAsia="en-AU"/>
        </w:rPr>
        <w:t>Beechworth Health Service</w:t>
      </w:r>
    </w:p>
    <w:p w14:paraId="098144C6" w14:textId="77777777" w:rsidR="00D52F94" w:rsidRDefault="00D52F94" w:rsidP="005F688D">
      <w:pPr>
        <w:pStyle w:val="Bullet1"/>
        <w:rPr>
          <w:lang w:eastAsia="en-AU"/>
        </w:rPr>
      </w:pPr>
      <w:r>
        <w:rPr>
          <w:lang w:eastAsia="en-AU"/>
        </w:rPr>
        <w:t>Benalla Health</w:t>
      </w:r>
    </w:p>
    <w:p w14:paraId="3F3811E8" w14:textId="77777777" w:rsidR="00D52F94" w:rsidRDefault="00D52F94" w:rsidP="005F688D">
      <w:pPr>
        <w:pStyle w:val="Bullet1"/>
        <w:rPr>
          <w:lang w:eastAsia="en-AU"/>
        </w:rPr>
      </w:pPr>
      <w:r>
        <w:rPr>
          <w:lang w:eastAsia="en-AU"/>
        </w:rPr>
        <w:t>Bendigo Health Care Group</w:t>
      </w:r>
    </w:p>
    <w:p w14:paraId="6513D10A" w14:textId="77777777" w:rsidR="00D52F94" w:rsidRDefault="00D52F94" w:rsidP="005F688D">
      <w:pPr>
        <w:pStyle w:val="Bullet1"/>
        <w:rPr>
          <w:lang w:eastAsia="en-AU"/>
        </w:rPr>
      </w:pPr>
      <w:r>
        <w:rPr>
          <w:lang w:eastAsia="en-AU"/>
        </w:rPr>
        <w:t>Boort District Health</w:t>
      </w:r>
    </w:p>
    <w:p w14:paraId="44474BB8" w14:textId="77777777" w:rsidR="00D52F94" w:rsidRDefault="00D52F94" w:rsidP="005F688D">
      <w:pPr>
        <w:pStyle w:val="Bullet1"/>
        <w:rPr>
          <w:lang w:eastAsia="en-AU"/>
        </w:rPr>
      </w:pPr>
      <w:r>
        <w:rPr>
          <w:lang w:eastAsia="en-AU"/>
        </w:rPr>
        <w:t>BreastScreen Victoria</w:t>
      </w:r>
    </w:p>
    <w:p w14:paraId="7E309893" w14:textId="77777777" w:rsidR="00D52F94" w:rsidRDefault="00D52F94" w:rsidP="005F688D">
      <w:pPr>
        <w:pStyle w:val="Bullet1"/>
        <w:rPr>
          <w:lang w:eastAsia="en-AU"/>
        </w:rPr>
      </w:pPr>
      <w:r>
        <w:rPr>
          <w:lang w:eastAsia="en-AU"/>
        </w:rPr>
        <w:t>Casterton Memorial Hospital</w:t>
      </w:r>
    </w:p>
    <w:p w14:paraId="295A2B3A" w14:textId="77777777" w:rsidR="00D52F94" w:rsidRDefault="00D52F94" w:rsidP="005F688D">
      <w:pPr>
        <w:pStyle w:val="Bullet1"/>
        <w:rPr>
          <w:lang w:eastAsia="en-AU"/>
        </w:rPr>
      </w:pPr>
      <w:r>
        <w:rPr>
          <w:lang w:eastAsia="en-AU"/>
        </w:rPr>
        <w:t>Castlemaine Health</w:t>
      </w:r>
    </w:p>
    <w:p w14:paraId="0339123C" w14:textId="77777777" w:rsidR="00D52F94" w:rsidRDefault="00D52F94" w:rsidP="005F688D">
      <w:pPr>
        <w:pStyle w:val="Bullet1"/>
        <w:rPr>
          <w:lang w:eastAsia="en-AU"/>
        </w:rPr>
      </w:pPr>
      <w:r>
        <w:rPr>
          <w:lang w:eastAsia="en-AU"/>
        </w:rPr>
        <w:t>Central Gippsland Health Service</w:t>
      </w:r>
    </w:p>
    <w:p w14:paraId="3F7D4A2F" w14:textId="77777777" w:rsidR="00D52F94" w:rsidRDefault="00D52F94" w:rsidP="005F688D">
      <w:pPr>
        <w:pStyle w:val="Bullet1"/>
        <w:rPr>
          <w:lang w:eastAsia="en-AU"/>
        </w:rPr>
      </w:pPr>
      <w:r>
        <w:rPr>
          <w:lang w:eastAsia="en-AU"/>
        </w:rPr>
        <w:t>Central Highlands Rural Health</w:t>
      </w:r>
    </w:p>
    <w:p w14:paraId="4493C45E" w14:textId="77777777" w:rsidR="00D52F94" w:rsidRDefault="00D52F94" w:rsidP="005F688D">
      <w:pPr>
        <w:pStyle w:val="Bullet1"/>
        <w:rPr>
          <w:lang w:eastAsia="en-AU"/>
        </w:rPr>
      </w:pPr>
      <w:r>
        <w:rPr>
          <w:lang w:eastAsia="en-AU"/>
        </w:rPr>
        <w:t>Cohuna District Hospital</w:t>
      </w:r>
    </w:p>
    <w:p w14:paraId="73E12C14" w14:textId="77777777" w:rsidR="00D52F94" w:rsidRDefault="00D52F94" w:rsidP="005F688D">
      <w:pPr>
        <w:pStyle w:val="Bullet1"/>
        <w:rPr>
          <w:lang w:eastAsia="en-AU"/>
        </w:rPr>
      </w:pPr>
      <w:r>
        <w:rPr>
          <w:lang w:eastAsia="en-AU"/>
        </w:rPr>
        <w:t>Colac Area Health</w:t>
      </w:r>
    </w:p>
    <w:p w14:paraId="2064E49E" w14:textId="77777777" w:rsidR="00D52F94" w:rsidRDefault="00D52F94" w:rsidP="005F688D">
      <w:pPr>
        <w:pStyle w:val="Bullet1"/>
        <w:rPr>
          <w:lang w:eastAsia="en-AU"/>
        </w:rPr>
      </w:pPr>
      <w:r>
        <w:rPr>
          <w:lang w:eastAsia="en-AU"/>
        </w:rPr>
        <w:t>Corryong Health</w:t>
      </w:r>
    </w:p>
    <w:p w14:paraId="59A343DC" w14:textId="77777777" w:rsidR="00D52F94" w:rsidRDefault="00D52F94" w:rsidP="005F688D">
      <w:pPr>
        <w:pStyle w:val="Bullet1"/>
        <w:rPr>
          <w:lang w:eastAsia="en-AU"/>
        </w:rPr>
      </w:pPr>
      <w:r>
        <w:rPr>
          <w:lang w:eastAsia="en-AU"/>
        </w:rPr>
        <w:t>Dhelkaya Health</w:t>
      </w:r>
    </w:p>
    <w:p w14:paraId="676F2D2E" w14:textId="77777777" w:rsidR="00D52F94" w:rsidRDefault="00D52F94" w:rsidP="005F688D">
      <w:pPr>
        <w:pStyle w:val="Bullet1"/>
        <w:rPr>
          <w:lang w:eastAsia="en-AU"/>
        </w:rPr>
      </w:pPr>
      <w:r>
        <w:rPr>
          <w:lang w:eastAsia="en-AU"/>
        </w:rPr>
        <w:t>East Grampians Health Service</w:t>
      </w:r>
    </w:p>
    <w:p w14:paraId="2F252AE2" w14:textId="77777777" w:rsidR="00D52F94" w:rsidRDefault="00D52F94" w:rsidP="005F688D">
      <w:pPr>
        <w:pStyle w:val="Bullet1"/>
        <w:rPr>
          <w:lang w:eastAsia="en-AU"/>
        </w:rPr>
      </w:pPr>
      <w:r>
        <w:rPr>
          <w:lang w:eastAsia="en-AU"/>
        </w:rPr>
        <w:t>East Wimmera Health Service</w:t>
      </w:r>
    </w:p>
    <w:p w14:paraId="3FEAEC87" w14:textId="77777777" w:rsidR="00D52F94" w:rsidRDefault="00D52F94" w:rsidP="005F688D">
      <w:pPr>
        <w:pStyle w:val="Bullet1"/>
        <w:rPr>
          <w:lang w:eastAsia="en-AU"/>
        </w:rPr>
      </w:pPr>
      <w:r>
        <w:rPr>
          <w:lang w:eastAsia="en-AU"/>
        </w:rPr>
        <w:t>Eastern Health</w:t>
      </w:r>
    </w:p>
    <w:p w14:paraId="3280DB60" w14:textId="77777777" w:rsidR="00D52F94" w:rsidRDefault="00D52F94" w:rsidP="005F688D">
      <w:pPr>
        <w:pStyle w:val="Bullet1"/>
        <w:rPr>
          <w:lang w:eastAsia="en-AU"/>
        </w:rPr>
      </w:pPr>
      <w:r>
        <w:rPr>
          <w:lang w:eastAsia="en-AU"/>
        </w:rPr>
        <w:t>Echuca Regional Health</w:t>
      </w:r>
    </w:p>
    <w:p w14:paraId="146CADAC" w14:textId="77777777" w:rsidR="00D52F94" w:rsidRDefault="00D52F94" w:rsidP="005F688D">
      <w:pPr>
        <w:pStyle w:val="Bullet1"/>
        <w:rPr>
          <w:lang w:eastAsia="en-AU"/>
        </w:rPr>
      </w:pPr>
      <w:r>
        <w:rPr>
          <w:lang w:eastAsia="en-AU"/>
        </w:rPr>
        <w:t>Edenhope and District Memorial Hospital</w:t>
      </w:r>
    </w:p>
    <w:p w14:paraId="284F5104" w14:textId="77777777" w:rsidR="00D52F94" w:rsidRDefault="00D52F94" w:rsidP="005F688D">
      <w:pPr>
        <w:pStyle w:val="Bullet1"/>
        <w:rPr>
          <w:lang w:eastAsia="en-AU"/>
        </w:rPr>
      </w:pPr>
      <w:r>
        <w:rPr>
          <w:lang w:eastAsia="en-AU"/>
        </w:rPr>
        <w:t>Gippsland Southern Health Service</w:t>
      </w:r>
    </w:p>
    <w:p w14:paraId="05E3BC68" w14:textId="77777777" w:rsidR="00D52F94" w:rsidRDefault="00D52F94" w:rsidP="005F688D">
      <w:pPr>
        <w:pStyle w:val="Bullet1"/>
        <w:rPr>
          <w:lang w:eastAsia="en-AU"/>
        </w:rPr>
      </w:pPr>
      <w:r>
        <w:rPr>
          <w:lang w:eastAsia="en-AU"/>
        </w:rPr>
        <w:t>Goulburn Valley Health Services</w:t>
      </w:r>
    </w:p>
    <w:p w14:paraId="0CBF8CDE" w14:textId="77777777" w:rsidR="00D52F94" w:rsidRDefault="00D52F94" w:rsidP="005F688D">
      <w:pPr>
        <w:pStyle w:val="Bullet1"/>
        <w:rPr>
          <w:lang w:eastAsia="en-AU"/>
        </w:rPr>
      </w:pPr>
      <w:r>
        <w:rPr>
          <w:lang w:eastAsia="en-AU"/>
        </w:rPr>
        <w:t>Grampians Health</w:t>
      </w:r>
    </w:p>
    <w:p w14:paraId="2B8BE522" w14:textId="77777777" w:rsidR="00D52F94" w:rsidRDefault="00D52F94" w:rsidP="005F688D">
      <w:pPr>
        <w:pStyle w:val="Bullet1"/>
        <w:rPr>
          <w:lang w:eastAsia="en-AU"/>
        </w:rPr>
      </w:pPr>
      <w:r>
        <w:rPr>
          <w:lang w:eastAsia="en-AU"/>
        </w:rPr>
        <w:t>Great Ocean Road Health</w:t>
      </w:r>
    </w:p>
    <w:p w14:paraId="30E223F1" w14:textId="77777777" w:rsidR="00D52F94" w:rsidRDefault="00D52F94" w:rsidP="005F688D">
      <w:pPr>
        <w:pStyle w:val="Bullet1"/>
        <w:rPr>
          <w:lang w:eastAsia="en-AU"/>
        </w:rPr>
      </w:pPr>
      <w:r>
        <w:rPr>
          <w:lang w:eastAsia="en-AU"/>
        </w:rPr>
        <w:t>Health Share Victoria</w:t>
      </w:r>
    </w:p>
    <w:p w14:paraId="6E899F2D" w14:textId="77777777" w:rsidR="00D52F94" w:rsidRDefault="00D52F94" w:rsidP="005F688D">
      <w:pPr>
        <w:pStyle w:val="Bullet1"/>
        <w:rPr>
          <w:lang w:eastAsia="en-AU"/>
        </w:rPr>
      </w:pPr>
      <w:r>
        <w:rPr>
          <w:lang w:eastAsia="en-AU"/>
        </w:rPr>
        <w:t>Heathcote Health</w:t>
      </w:r>
    </w:p>
    <w:p w14:paraId="30AC7E41" w14:textId="77777777" w:rsidR="00D52F94" w:rsidRDefault="00D52F94" w:rsidP="005F688D">
      <w:pPr>
        <w:pStyle w:val="Bullet1"/>
        <w:rPr>
          <w:lang w:eastAsia="en-AU"/>
        </w:rPr>
      </w:pPr>
      <w:r>
        <w:rPr>
          <w:lang w:eastAsia="en-AU"/>
        </w:rPr>
        <w:t>Hesse Rural Health Service</w:t>
      </w:r>
    </w:p>
    <w:p w14:paraId="647455A8" w14:textId="77777777" w:rsidR="00D52F94" w:rsidRDefault="00D52F94" w:rsidP="005F688D">
      <w:pPr>
        <w:pStyle w:val="Bullet1"/>
        <w:rPr>
          <w:lang w:eastAsia="en-AU"/>
        </w:rPr>
      </w:pPr>
      <w:r>
        <w:rPr>
          <w:lang w:eastAsia="en-AU"/>
        </w:rPr>
        <w:t>Heywood Rural Health</w:t>
      </w:r>
    </w:p>
    <w:p w14:paraId="5E070A43" w14:textId="77777777" w:rsidR="00D52F94" w:rsidRDefault="00D52F94" w:rsidP="005F688D">
      <w:pPr>
        <w:pStyle w:val="Bullet1"/>
        <w:rPr>
          <w:lang w:eastAsia="en-AU"/>
        </w:rPr>
      </w:pPr>
      <w:r>
        <w:rPr>
          <w:lang w:eastAsia="en-AU"/>
        </w:rPr>
        <w:t>Inglewood and Districts Health Service</w:t>
      </w:r>
    </w:p>
    <w:p w14:paraId="4F218C53" w14:textId="77777777" w:rsidR="00D52F94" w:rsidRDefault="00D52F94" w:rsidP="005F688D">
      <w:pPr>
        <w:pStyle w:val="Bullet1"/>
        <w:rPr>
          <w:lang w:eastAsia="en-AU"/>
        </w:rPr>
      </w:pPr>
      <w:r>
        <w:rPr>
          <w:lang w:eastAsia="en-AU"/>
        </w:rPr>
        <w:t>Kerang District Health</w:t>
      </w:r>
    </w:p>
    <w:p w14:paraId="551119C7" w14:textId="77777777" w:rsidR="00D52F94" w:rsidRDefault="00D52F94" w:rsidP="005F688D">
      <w:pPr>
        <w:pStyle w:val="Bullet1"/>
        <w:rPr>
          <w:lang w:eastAsia="en-AU"/>
        </w:rPr>
      </w:pPr>
      <w:r>
        <w:rPr>
          <w:lang w:eastAsia="en-AU"/>
        </w:rPr>
        <w:t>Kilmore District Health</w:t>
      </w:r>
    </w:p>
    <w:p w14:paraId="0C16C807" w14:textId="77777777" w:rsidR="00D52F94" w:rsidRDefault="00D52F94" w:rsidP="005F688D">
      <w:pPr>
        <w:pStyle w:val="Bullet1"/>
        <w:rPr>
          <w:lang w:eastAsia="en-AU"/>
        </w:rPr>
      </w:pPr>
      <w:r>
        <w:rPr>
          <w:lang w:eastAsia="en-AU"/>
        </w:rPr>
        <w:t>Kooweerup Regional Health Service</w:t>
      </w:r>
    </w:p>
    <w:p w14:paraId="61047B20" w14:textId="77777777" w:rsidR="00D52F94" w:rsidRDefault="00D52F94" w:rsidP="005F688D">
      <w:pPr>
        <w:pStyle w:val="Bullet1"/>
        <w:rPr>
          <w:lang w:eastAsia="en-AU"/>
        </w:rPr>
      </w:pPr>
      <w:r>
        <w:rPr>
          <w:lang w:eastAsia="en-AU"/>
        </w:rPr>
        <w:t>Kyabram and District Health Service</w:t>
      </w:r>
    </w:p>
    <w:p w14:paraId="03F45884" w14:textId="77777777" w:rsidR="00D52F94" w:rsidRDefault="00D52F94" w:rsidP="005F688D">
      <w:pPr>
        <w:pStyle w:val="Bullet1"/>
        <w:rPr>
          <w:lang w:eastAsia="en-AU"/>
        </w:rPr>
      </w:pPr>
      <w:r>
        <w:rPr>
          <w:lang w:eastAsia="en-AU"/>
        </w:rPr>
        <w:t>Latrobe Regional Hospital</w:t>
      </w:r>
    </w:p>
    <w:p w14:paraId="4FF463EB" w14:textId="77777777" w:rsidR="00D52F94" w:rsidRDefault="00D52F94" w:rsidP="005F688D">
      <w:pPr>
        <w:pStyle w:val="Bullet1"/>
        <w:rPr>
          <w:lang w:eastAsia="en-AU"/>
        </w:rPr>
      </w:pPr>
      <w:r>
        <w:rPr>
          <w:lang w:eastAsia="en-AU"/>
        </w:rPr>
        <w:t>Maldon Hospital</w:t>
      </w:r>
    </w:p>
    <w:p w14:paraId="6DAA0F67" w14:textId="77777777" w:rsidR="00D52F94" w:rsidRDefault="00D52F94" w:rsidP="005F688D">
      <w:pPr>
        <w:pStyle w:val="Bullet1"/>
        <w:rPr>
          <w:lang w:eastAsia="en-AU"/>
        </w:rPr>
      </w:pPr>
      <w:r>
        <w:rPr>
          <w:lang w:eastAsia="en-AU"/>
        </w:rPr>
        <w:t>Mallee Track Health and Community Service</w:t>
      </w:r>
    </w:p>
    <w:p w14:paraId="301DC4E0" w14:textId="77777777" w:rsidR="00D52F94" w:rsidRDefault="00D52F94" w:rsidP="005F688D">
      <w:pPr>
        <w:pStyle w:val="Bullet1"/>
        <w:rPr>
          <w:lang w:eastAsia="en-AU"/>
        </w:rPr>
      </w:pPr>
      <w:r>
        <w:rPr>
          <w:lang w:eastAsia="en-AU"/>
        </w:rPr>
        <w:t>Mansfield District Hospital</w:t>
      </w:r>
    </w:p>
    <w:p w14:paraId="011692EE" w14:textId="77777777" w:rsidR="00D52F94" w:rsidRDefault="00D52F94" w:rsidP="005F688D">
      <w:pPr>
        <w:pStyle w:val="Bullet1"/>
        <w:rPr>
          <w:lang w:eastAsia="en-AU"/>
        </w:rPr>
      </w:pPr>
      <w:r>
        <w:rPr>
          <w:lang w:eastAsia="en-AU"/>
        </w:rPr>
        <w:t>Maryborough District Health Service</w:t>
      </w:r>
    </w:p>
    <w:p w14:paraId="5A0F67DC" w14:textId="77777777" w:rsidR="00D52F94" w:rsidRDefault="00D52F94" w:rsidP="005F688D">
      <w:pPr>
        <w:pStyle w:val="Bullet1"/>
        <w:rPr>
          <w:lang w:eastAsia="en-AU"/>
        </w:rPr>
      </w:pPr>
      <w:r>
        <w:rPr>
          <w:lang w:eastAsia="en-AU"/>
        </w:rPr>
        <w:t>Melbourne Health</w:t>
      </w:r>
    </w:p>
    <w:p w14:paraId="1C1053FE" w14:textId="77777777" w:rsidR="00D52F94" w:rsidRDefault="00D52F94" w:rsidP="005F688D">
      <w:pPr>
        <w:pStyle w:val="Bullet1"/>
        <w:rPr>
          <w:lang w:eastAsia="en-AU"/>
        </w:rPr>
      </w:pPr>
      <w:r>
        <w:rPr>
          <w:lang w:eastAsia="en-AU"/>
        </w:rPr>
        <w:t>Mildura Base Public Hospital</w:t>
      </w:r>
    </w:p>
    <w:p w14:paraId="3972F9E3" w14:textId="77777777" w:rsidR="00D52F94" w:rsidRDefault="00D52F94" w:rsidP="005F688D">
      <w:pPr>
        <w:pStyle w:val="Bullet1"/>
        <w:rPr>
          <w:lang w:eastAsia="en-AU"/>
        </w:rPr>
      </w:pPr>
      <w:r>
        <w:rPr>
          <w:lang w:eastAsia="en-AU"/>
        </w:rPr>
        <w:t>Monash Health</w:t>
      </w:r>
    </w:p>
    <w:p w14:paraId="0AE93F4D" w14:textId="77777777" w:rsidR="00D52F94" w:rsidRDefault="00D52F94" w:rsidP="005F688D">
      <w:pPr>
        <w:pStyle w:val="Bullet1"/>
        <w:rPr>
          <w:lang w:eastAsia="en-AU"/>
        </w:rPr>
      </w:pPr>
      <w:r>
        <w:rPr>
          <w:lang w:eastAsia="en-AU"/>
        </w:rPr>
        <w:t>Moyne Health Services</w:t>
      </w:r>
    </w:p>
    <w:p w14:paraId="312E2B8A" w14:textId="77777777" w:rsidR="00D52F94" w:rsidRDefault="00D52F94" w:rsidP="005F688D">
      <w:pPr>
        <w:pStyle w:val="Bullet1"/>
        <w:rPr>
          <w:lang w:eastAsia="en-AU"/>
        </w:rPr>
      </w:pPr>
      <w:r>
        <w:rPr>
          <w:lang w:eastAsia="en-AU"/>
        </w:rPr>
        <w:t>NCN Health</w:t>
      </w:r>
    </w:p>
    <w:p w14:paraId="53491A4F" w14:textId="77777777" w:rsidR="00D52F94" w:rsidRDefault="00D52F94" w:rsidP="005F688D">
      <w:pPr>
        <w:pStyle w:val="Bullet1"/>
        <w:rPr>
          <w:lang w:eastAsia="en-AU"/>
        </w:rPr>
      </w:pPr>
      <w:r>
        <w:rPr>
          <w:lang w:eastAsia="en-AU"/>
        </w:rPr>
        <w:t>Northeast Health Wangaratta</w:t>
      </w:r>
    </w:p>
    <w:p w14:paraId="368325FC" w14:textId="77777777" w:rsidR="00D52F94" w:rsidRDefault="00D52F94" w:rsidP="005F688D">
      <w:pPr>
        <w:pStyle w:val="Bullet1"/>
        <w:rPr>
          <w:lang w:eastAsia="en-AU"/>
        </w:rPr>
      </w:pPr>
      <w:r>
        <w:rPr>
          <w:lang w:eastAsia="en-AU"/>
        </w:rPr>
        <w:t>Northern Health</w:t>
      </w:r>
    </w:p>
    <w:p w14:paraId="605513DB" w14:textId="77777777" w:rsidR="00D52F94" w:rsidRDefault="00D52F94" w:rsidP="005F688D">
      <w:pPr>
        <w:pStyle w:val="Bullet1"/>
        <w:rPr>
          <w:lang w:eastAsia="en-AU"/>
        </w:rPr>
      </w:pPr>
      <w:r>
        <w:rPr>
          <w:lang w:eastAsia="en-AU"/>
        </w:rPr>
        <w:t>Omeo District Health</w:t>
      </w:r>
    </w:p>
    <w:p w14:paraId="3AE79432" w14:textId="77777777" w:rsidR="00D52F94" w:rsidRDefault="00D52F94" w:rsidP="005F688D">
      <w:pPr>
        <w:pStyle w:val="Bullet1"/>
        <w:rPr>
          <w:lang w:eastAsia="en-AU"/>
        </w:rPr>
      </w:pPr>
      <w:r>
        <w:rPr>
          <w:lang w:eastAsia="en-AU"/>
        </w:rPr>
        <w:t>Oral Health Victoria</w:t>
      </w:r>
    </w:p>
    <w:p w14:paraId="612D219F" w14:textId="77777777" w:rsidR="00D52F94" w:rsidRDefault="00D52F94" w:rsidP="005F688D">
      <w:pPr>
        <w:pStyle w:val="Bullet1"/>
        <w:rPr>
          <w:lang w:eastAsia="en-AU"/>
        </w:rPr>
      </w:pPr>
      <w:r>
        <w:rPr>
          <w:lang w:eastAsia="en-AU"/>
        </w:rPr>
        <w:t>Orbost Regional Health</w:t>
      </w:r>
    </w:p>
    <w:p w14:paraId="1B6FBA57" w14:textId="77777777" w:rsidR="00D52F94" w:rsidRDefault="00D52F94" w:rsidP="005F688D">
      <w:pPr>
        <w:pStyle w:val="Bullet1"/>
        <w:rPr>
          <w:lang w:eastAsia="en-AU"/>
        </w:rPr>
      </w:pPr>
      <w:r>
        <w:rPr>
          <w:lang w:eastAsia="en-AU"/>
        </w:rPr>
        <w:t>Peninsula Health</w:t>
      </w:r>
    </w:p>
    <w:p w14:paraId="284C4C76" w14:textId="77777777" w:rsidR="00D52F94" w:rsidRDefault="00D52F94" w:rsidP="005F688D">
      <w:pPr>
        <w:pStyle w:val="Bullet1"/>
        <w:rPr>
          <w:lang w:eastAsia="en-AU"/>
        </w:rPr>
      </w:pPr>
      <w:r>
        <w:rPr>
          <w:lang w:eastAsia="en-AU"/>
        </w:rPr>
        <w:t>Peter MacCallum Cancer Centre</w:t>
      </w:r>
    </w:p>
    <w:p w14:paraId="121E0ED5" w14:textId="77777777" w:rsidR="00D52F94" w:rsidRDefault="00D52F94" w:rsidP="005F688D">
      <w:pPr>
        <w:pStyle w:val="Bullet1"/>
        <w:rPr>
          <w:lang w:eastAsia="en-AU"/>
        </w:rPr>
      </w:pPr>
      <w:r>
        <w:rPr>
          <w:lang w:eastAsia="en-AU"/>
        </w:rPr>
        <w:t>Portland District Health</w:t>
      </w:r>
    </w:p>
    <w:p w14:paraId="262BAB31" w14:textId="77777777" w:rsidR="00D52F94" w:rsidRDefault="00D52F94" w:rsidP="005F688D">
      <w:pPr>
        <w:pStyle w:val="Bullet1"/>
        <w:rPr>
          <w:lang w:eastAsia="en-AU"/>
        </w:rPr>
      </w:pPr>
      <w:r>
        <w:rPr>
          <w:lang w:eastAsia="en-AU"/>
        </w:rPr>
        <w:t>Robinvale District Health Services</w:t>
      </w:r>
    </w:p>
    <w:p w14:paraId="745337E9" w14:textId="77777777" w:rsidR="00D52F94" w:rsidRDefault="00D52F94" w:rsidP="005F688D">
      <w:pPr>
        <w:pStyle w:val="Bullet1"/>
        <w:rPr>
          <w:lang w:eastAsia="en-AU"/>
        </w:rPr>
      </w:pPr>
      <w:r>
        <w:rPr>
          <w:lang w:eastAsia="en-AU"/>
        </w:rPr>
        <w:t>Rochester and Elmore District Health Service</w:t>
      </w:r>
    </w:p>
    <w:p w14:paraId="3794DFEE" w14:textId="050F5CFB" w:rsidR="00D52F94" w:rsidRDefault="00D52F94" w:rsidP="005F688D">
      <w:pPr>
        <w:pStyle w:val="Bullet1"/>
        <w:rPr>
          <w:lang w:eastAsia="en-AU"/>
        </w:rPr>
      </w:pPr>
      <w:r>
        <w:rPr>
          <w:lang w:eastAsia="en-AU"/>
        </w:rPr>
        <w:t>Royal Children</w:t>
      </w:r>
      <w:r w:rsidR="002F55AB">
        <w:rPr>
          <w:lang w:eastAsia="en-AU"/>
        </w:rPr>
        <w:t>’</w:t>
      </w:r>
      <w:r>
        <w:rPr>
          <w:lang w:eastAsia="en-AU"/>
        </w:rPr>
        <w:t>s Hospital</w:t>
      </w:r>
    </w:p>
    <w:p w14:paraId="655F71B8" w14:textId="77777777" w:rsidR="00D52F94" w:rsidRDefault="00D52F94" w:rsidP="005F688D">
      <w:pPr>
        <w:pStyle w:val="Bullet1"/>
        <w:rPr>
          <w:lang w:eastAsia="en-AU"/>
        </w:rPr>
      </w:pPr>
      <w:r>
        <w:rPr>
          <w:lang w:eastAsia="en-AU"/>
        </w:rPr>
        <w:t>Royal Victorian Eye and Ear Hospital</w:t>
      </w:r>
    </w:p>
    <w:p w14:paraId="199A8BE5" w14:textId="396EB7DD" w:rsidR="00D52F94" w:rsidRDefault="00D52F94" w:rsidP="005F688D">
      <w:pPr>
        <w:pStyle w:val="Bullet1"/>
        <w:rPr>
          <w:lang w:eastAsia="en-AU"/>
        </w:rPr>
      </w:pPr>
      <w:r>
        <w:rPr>
          <w:lang w:eastAsia="en-AU"/>
        </w:rPr>
        <w:t>Royal Women</w:t>
      </w:r>
      <w:r w:rsidR="002F55AB">
        <w:rPr>
          <w:lang w:eastAsia="en-AU"/>
        </w:rPr>
        <w:t>’</w:t>
      </w:r>
      <w:r>
        <w:rPr>
          <w:lang w:eastAsia="en-AU"/>
        </w:rPr>
        <w:t>s Hospital</w:t>
      </w:r>
    </w:p>
    <w:p w14:paraId="58F580D2" w14:textId="77777777" w:rsidR="00D52F94" w:rsidRDefault="00D52F94" w:rsidP="005F688D">
      <w:pPr>
        <w:pStyle w:val="Bullet1"/>
        <w:rPr>
          <w:lang w:eastAsia="en-AU"/>
        </w:rPr>
      </w:pPr>
      <w:r>
        <w:rPr>
          <w:lang w:eastAsia="en-AU"/>
        </w:rPr>
        <w:t>Rural Northwest Health</w:t>
      </w:r>
    </w:p>
    <w:p w14:paraId="5D5BCDB5" w14:textId="77777777" w:rsidR="00D52F94" w:rsidRDefault="00D52F94" w:rsidP="005F688D">
      <w:pPr>
        <w:pStyle w:val="Bullet1"/>
        <w:rPr>
          <w:lang w:eastAsia="en-AU"/>
        </w:rPr>
      </w:pPr>
      <w:r>
        <w:rPr>
          <w:lang w:eastAsia="en-AU"/>
        </w:rPr>
        <w:t>Seymour Health</w:t>
      </w:r>
    </w:p>
    <w:p w14:paraId="25EF754B" w14:textId="77777777" w:rsidR="00D52F94" w:rsidRDefault="00D52F94" w:rsidP="005F688D">
      <w:pPr>
        <w:pStyle w:val="Bullet1"/>
        <w:rPr>
          <w:lang w:eastAsia="en-AU"/>
        </w:rPr>
      </w:pPr>
      <w:r>
        <w:rPr>
          <w:lang w:eastAsia="en-AU"/>
        </w:rPr>
        <w:t>South Gippsland Hospital</w:t>
      </w:r>
    </w:p>
    <w:p w14:paraId="6E737E3B" w14:textId="77777777" w:rsidR="00D52F94" w:rsidRDefault="00D52F94" w:rsidP="005F688D">
      <w:pPr>
        <w:pStyle w:val="Bullet1"/>
        <w:rPr>
          <w:lang w:eastAsia="en-AU"/>
        </w:rPr>
      </w:pPr>
      <w:r>
        <w:rPr>
          <w:lang w:eastAsia="en-AU"/>
        </w:rPr>
        <w:t>South West Healthcare</w:t>
      </w:r>
    </w:p>
    <w:p w14:paraId="5FBEA248" w14:textId="77777777" w:rsidR="00D52F94" w:rsidRDefault="00D52F94" w:rsidP="005F688D">
      <w:pPr>
        <w:pStyle w:val="Bullet1"/>
        <w:rPr>
          <w:lang w:eastAsia="en-AU"/>
        </w:rPr>
      </w:pPr>
      <w:r>
        <w:rPr>
          <w:lang w:eastAsia="en-AU"/>
        </w:rPr>
        <w:t>Stawell Regional Health</w:t>
      </w:r>
    </w:p>
    <w:p w14:paraId="2F647FF2" w14:textId="77777777" w:rsidR="00D52F94" w:rsidRDefault="00D52F94" w:rsidP="005F688D">
      <w:pPr>
        <w:pStyle w:val="Bullet1"/>
        <w:rPr>
          <w:lang w:eastAsia="en-AU"/>
        </w:rPr>
      </w:pPr>
      <w:r>
        <w:rPr>
          <w:lang w:eastAsia="en-AU"/>
        </w:rPr>
        <w:t>Swan Hill District Health</w:t>
      </w:r>
    </w:p>
    <w:p w14:paraId="3D8D2DF2" w14:textId="77777777" w:rsidR="00D52F94" w:rsidRDefault="00D52F94" w:rsidP="005F688D">
      <w:pPr>
        <w:pStyle w:val="Bullet1"/>
        <w:rPr>
          <w:lang w:eastAsia="en-AU"/>
        </w:rPr>
      </w:pPr>
      <w:r>
        <w:rPr>
          <w:lang w:eastAsia="en-AU"/>
        </w:rPr>
        <w:t>Tallangatta Health Service</w:t>
      </w:r>
    </w:p>
    <w:p w14:paraId="6C287E3E" w14:textId="77777777" w:rsidR="00D52F94" w:rsidRDefault="00D52F94" w:rsidP="005F688D">
      <w:pPr>
        <w:pStyle w:val="Bullet1"/>
        <w:rPr>
          <w:lang w:eastAsia="en-AU"/>
        </w:rPr>
      </w:pPr>
      <w:r>
        <w:rPr>
          <w:lang w:eastAsia="en-AU"/>
        </w:rPr>
        <w:t>Terang and Mortlake Health Service</w:t>
      </w:r>
    </w:p>
    <w:p w14:paraId="68800EDA" w14:textId="77777777" w:rsidR="00D52F94" w:rsidRDefault="00D52F94" w:rsidP="005F688D">
      <w:pPr>
        <w:pStyle w:val="Bullet1"/>
        <w:rPr>
          <w:lang w:eastAsia="en-AU"/>
        </w:rPr>
      </w:pPr>
      <w:r>
        <w:rPr>
          <w:lang w:eastAsia="en-AU"/>
        </w:rPr>
        <w:t>The Queen Elizabeth Centre</w:t>
      </w:r>
    </w:p>
    <w:p w14:paraId="13C6A4A1" w14:textId="77777777" w:rsidR="00D52F94" w:rsidRDefault="00D52F94" w:rsidP="005F688D">
      <w:pPr>
        <w:pStyle w:val="Bullet1"/>
        <w:rPr>
          <w:lang w:eastAsia="en-AU"/>
        </w:rPr>
      </w:pPr>
      <w:r>
        <w:rPr>
          <w:lang w:eastAsia="en-AU"/>
        </w:rPr>
        <w:t>Timboon and District Healthcare Service</w:t>
      </w:r>
    </w:p>
    <w:p w14:paraId="46A66963" w14:textId="77777777" w:rsidR="00D52F94" w:rsidRDefault="00D52F94" w:rsidP="005F688D">
      <w:pPr>
        <w:pStyle w:val="Bullet1"/>
        <w:rPr>
          <w:lang w:eastAsia="en-AU"/>
        </w:rPr>
      </w:pPr>
      <w:r>
        <w:rPr>
          <w:lang w:eastAsia="en-AU"/>
        </w:rPr>
        <w:t>Tweddle Child and Family Health Service</w:t>
      </w:r>
    </w:p>
    <w:p w14:paraId="7925DDF1" w14:textId="77777777" w:rsidR="00D52F94" w:rsidRDefault="00D52F94" w:rsidP="005F688D">
      <w:pPr>
        <w:pStyle w:val="Bullet1"/>
        <w:rPr>
          <w:lang w:eastAsia="en-AU"/>
        </w:rPr>
      </w:pPr>
      <w:r>
        <w:rPr>
          <w:lang w:eastAsia="en-AU"/>
        </w:rPr>
        <w:t>Victorian Health Promotion Foundation</w:t>
      </w:r>
    </w:p>
    <w:p w14:paraId="3CC064BB" w14:textId="77777777" w:rsidR="00D52F94" w:rsidRDefault="00D52F94" w:rsidP="005F688D">
      <w:pPr>
        <w:pStyle w:val="Bullet1"/>
        <w:rPr>
          <w:lang w:eastAsia="en-AU"/>
        </w:rPr>
      </w:pPr>
      <w:r>
        <w:rPr>
          <w:lang w:eastAsia="en-AU"/>
        </w:rPr>
        <w:t>Victorian Institute of Forensic Mental Health</w:t>
      </w:r>
    </w:p>
    <w:p w14:paraId="3BE52F47" w14:textId="77777777" w:rsidR="00D52F94" w:rsidRDefault="00D52F94" w:rsidP="005F688D">
      <w:pPr>
        <w:pStyle w:val="Bullet1"/>
        <w:rPr>
          <w:lang w:eastAsia="en-AU"/>
        </w:rPr>
      </w:pPr>
      <w:r>
        <w:rPr>
          <w:lang w:eastAsia="en-AU"/>
        </w:rPr>
        <w:t>West Gippsland Healthcare Group</w:t>
      </w:r>
    </w:p>
    <w:p w14:paraId="62538C5C" w14:textId="77777777" w:rsidR="00D52F94" w:rsidRDefault="00D52F94" w:rsidP="005F688D">
      <w:pPr>
        <w:pStyle w:val="Bullet1"/>
        <w:rPr>
          <w:lang w:eastAsia="en-AU"/>
        </w:rPr>
      </w:pPr>
      <w:r>
        <w:rPr>
          <w:lang w:eastAsia="en-AU"/>
        </w:rPr>
        <w:t>West Wimmera Health Service</w:t>
      </w:r>
    </w:p>
    <w:p w14:paraId="3A3C8FE5" w14:textId="77777777" w:rsidR="00D52F94" w:rsidRDefault="00D52F94" w:rsidP="005F688D">
      <w:pPr>
        <w:pStyle w:val="Bullet1"/>
        <w:rPr>
          <w:lang w:eastAsia="en-AU"/>
        </w:rPr>
      </w:pPr>
      <w:r>
        <w:rPr>
          <w:lang w:eastAsia="en-AU"/>
        </w:rPr>
        <w:t>Western District Health Service</w:t>
      </w:r>
    </w:p>
    <w:p w14:paraId="4069224D" w14:textId="77777777" w:rsidR="00D52F94" w:rsidRDefault="00D52F94" w:rsidP="005F688D">
      <w:pPr>
        <w:pStyle w:val="Bullet1"/>
        <w:rPr>
          <w:lang w:eastAsia="en-AU"/>
        </w:rPr>
      </w:pPr>
      <w:r>
        <w:rPr>
          <w:lang w:eastAsia="en-AU"/>
        </w:rPr>
        <w:t>Western Health</w:t>
      </w:r>
    </w:p>
    <w:p w14:paraId="1C55C336" w14:textId="77777777" w:rsidR="00D52F94" w:rsidRDefault="00D52F94" w:rsidP="005F688D">
      <w:pPr>
        <w:pStyle w:val="Bullet1"/>
        <w:rPr>
          <w:lang w:eastAsia="en-AU"/>
        </w:rPr>
      </w:pPr>
      <w:r>
        <w:rPr>
          <w:lang w:eastAsia="en-AU"/>
        </w:rPr>
        <w:t>Wimmera Health Care Group</w:t>
      </w:r>
    </w:p>
    <w:p w14:paraId="212E9CED" w14:textId="77777777" w:rsidR="00D52F94" w:rsidRDefault="00D52F94" w:rsidP="005F688D">
      <w:pPr>
        <w:pStyle w:val="Bullet1"/>
        <w:rPr>
          <w:lang w:eastAsia="en-AU"/>
        </w:rPr>
      </w:pPr>
      <w:r>
        <w:rPr>
          <w:lang w:eastAsia="en-AU"/>
        </w:rPr>
        <w:t>Yarram and District Health Service</w:t>
      </w:r>
    </w:p>
    <w:p w14:paraId="1446ED51" w14:textId="77777777" w:rsidR="00D52F94" w:rsidRDefault="00D52F94" w:rsidP="005F688D">
      <w:pPr>
        <w:pStyle w:val="Bullet1"/>
        <w:rPr>
          <w:lang w:eastAsia="en-AU"/>
        </w:rPr>
      </w:pPr>
      <w:r>
        <w:rPr>
          <w:lang w:eastAsia="en-AU"/>
        </w:rPr>
        <w:t>Yarrawonga Health</w:t>
      </w:r>
    </w:p>
    <w:p w14:paraId="7AB45B79" w14:textId="000AFF44" w:rsidR="00D52F94" w:rsidRDefault="00D52F94" w:rsidP="00DC1A76">
      <w:pPr>
        <w:pStyle w:val="Bullet1"/>
        <w:rPr>
          <w:lang w:eastAsia="en-AU"/>
        </w:rPr>
      </w:pPr>
      <w:r>
        <w:rPr>
          <w:lang w:eastAsia="en-AU"/>
        </w:rPr>
        <w:t>Yea and District Memorial Hospital</w:t>
      </w:r>
    </w:p>
    <w:p w14:paraId="69C48D42" w14:textId="2037C400" w:rsidR="00D03B33" w:rsidRDefault="00D03B33" w:rsidP="004444B7">
      <w:pPr>
        <w:pStyle w:val="Heading3"/>
        <w:rPr>
          <w:lang w:eastAsia="en-AU"/>
        </w:rPr>
      </w:pPr>
      <w:r>
        <w:rPr>
          <w:lang w:eastAsia="en-AU"/>
        </w:rPr>
        <w:t>TAFE and other education</w:t>
      </w:r>
    </w:p>
    <w:p w14:paraId="694FA36E" w14:textId="77777777" w:rsidR="00D03B33" w:rsidRDefault="00D03B33" w:rsidP="005F688D">
      <w:pPr>
        <w:pStyle w:val="Bullet1"/>
        <w:rPr>
          <w:lang w:eastAsia="en-AU"/>
        </w:rPr>
      </w:pPr>
      <w:r>
        <w:rPr>
          <w:lang w:eastAsia="en-AU"/>
        </w:rPr>
        <w:t>AMES Australia</w:t>
      </w:r>
    </w:p>
    <w:p w14:paraId="2F3D9C8A" w14:textId="77777777" w:rsidR="00D03B33" w:rsidRDefault="00D03B33" w:rsidP="005F688D">
      <w:pPr>
        <w:pStyle w:val="Bullet1"/>
        <w:rPr>
          <w:lang w:eastAsia="en-AU"/>
        </w:rPr>
      </w:pPr>
      <w:r>
        <w:rPr>
          <w:lang w:eastAsia="en-AU"/>
        </w:rPr>
        <w:t>Bendigo Kangan Institute</w:t>
      </w:r>
    </w:p>
    <w:p w14:paraId="69AB21FD" w14:textId="77777777" w:rsidR="00D03B33" w:rsidRDefault="00D03B33" w:rsidP="005F688D">
      <w:pPr>
        <w:pStyle w:val="Bullet1"/>
        <w:rPr>
          <w:lang w:eastAsia="en-AU"/>
        </w:rPr>
      </w:pPr>
      <w:r>
        <w:rPr>
          <w:lang w:eastAsia="en-AU"/>
        </w:rPr>
        <w:t>Box Hill Institute</w:t>
      </w:r>
    </w:p>
    <w:p w14:paraId="6543C82A" w14:textId="77777777" w:rsidR="00D03B33" w:rsidRDefault="00D03B33" w:rsidP="005F688D">
      <w:pPr>
        <w:pStyle w:val="Bullet1"/>
        <w:rPr>
          <w:lang w:eastAsia="en-AU"/>
        </w:rPr>
      </w:pPr>
      <w:r>
        <w:rPr>
          <w:lang w:eastAsia="en-AU"/>
        </w:rPr>
        <w:t>Chisholm Institute</w:t>
      </w:r>
    </w:p>
    <w:p w14:paraId="7462EA9E" w14:textId="77777777" w:rsidR="00D03B33" w:rsidRDefault="00D03B33" w:rsidP="005F688D">
      <w:pPr>
        <w:pStyle w:val="Bullet1"/>
        <w:rPr>
          <w:lang w:eastAsia="en-AU"/>
        </w:rPr>
      </w:pPr>
      <w:r>
        <w:rPr>
          <w:lang w:eastAsia="en-AU"/>
        </w:rPr>
        <w:t>Gippsland Institute of TAFE</w:t>
      </w:r>
    </w:p>
    <w:p w14:paraId="11CF96CD" w14:textId="77777777" w:rsidR="00D03B33" w:rsidRDefault="00D03B33" w:rsidP="005F688D">
      <w:pPr>
        <w:pStyle w:val="Bullet1"/>
        <w:rPr>
          <w:lang w:eastAsia="en-AU"/>
        </w:rPr>
      </w:pPr>
      <w:r>
        <w:rPr>
          <w:lang w:eastAsia="en-AU"/>
        </w:rPr>
        <w:t>Gordon Institute of TAFE</w:t>
      </w:r>
    </w:p>
    <w:p w14:paraId="63D9036C" w14:textId="77777777" w:rsidR="00D03B33" w:rsidRDefault="00D03B33" w:rsidP="005F688D">
      <w:pPr>
        <w:pStyle w:val="Bullet1"/>
        <w:rPr>
          <w:lang w:eastAsia="en-AU"/>
        </w:rPr>
      </w:pPr>
      <w:r>
        <w:rPr>
          <w:lang w:eastAsia="en-AU"/>
        </w:rPr>
        <w:t>Goulburn Ovens Institute of TAFE</w:t>
      </w:r>
    </w:p>
    <w:p w14:paraId="176534FB" w14:textId="77777777" w:rsidR="00D03B33" w:rsidRDefault="00D03B33" w:rsidP="005F688D">
      <w:pPr>
        <w:pStyle w:val="Bullet1"/>
        <w:rPr>
          <w:lang w:eastAsia="en-AU"/>
        </w:rPr>
      </w:pPr>
      <w:r>
        <w:rPr>
          <w:lang w:eastAsia="en-AU"/>
        </w:rPr>
        <w:t>Holmesglen Institute</w:t>
      </w:r>
    </w:p>
    <w:p w14:paraId="20AE467F" w14:textId="77777777" w:rsidR="00D03B33" w:rsidRDefault="00D03B33" w:rsidP="005F688D">
      <w:pPr>
        <w:pStyle w:val="Bullet1"/>
        <w:rPr>
          <w:lang w:eastAsia="en-AU"/>
        </w:rPr>
      </w:pPr>
      <w:r>
        <w:rPr>
          <w:lang w:eastAsia="en-AU"/>
        </w:rPr>
        <w:t>Melbourne Polytechnic</w:t>
      </w:r>
    </w:p>
    <w:p w14:paraId="58D32A49" w14:textId="77777777" w:rsidR="00D03B33" w:rsidRDefault="00D03B33" w:rsidP="005F688D">
      <w:pPr>
        <w:pStyle w:val="Bullet1"/>
        <w:rPr>
          <w:lang w:eastAsia="en-AU"/>
        </w:rPr>
      </w:pPr>
      <w:r>
        <w:rPr>
          <w:lang w:eastAsia="en-AU"/>
        </w:rPr>
        <w:t>South West Institute of TAFE</w:t>
      </w:r>
    </w:p>
    <w:p w14:paraId="380A1C8B" w14:textId="77777777" w:rsidR="00D03B33" w:rsidRDefault="00D03B33" w:rsidP="005F688D">
      <w:pPr>
        <w:pStyle w:val="Bullet1"/>
        <w:rPr>
          <w:lang w:eastAsia="en-AU"/>
        </w:rPr>
      </w:pPr>
      <w:r>
        <w:rPr>
          <w:lang w:eastAsia="en-AU"/>
        </w:rPr>
        <w:t>Sunraysia Institute of TAFE</w:t>
      </w:r>
    </w:p>
    <w:p w14:paraId="76F5DB28" w14:textId="77777777" w:rsidR="00D03B33" w:rsidRDefault="00D03B33" w:rsidP="005F688D">
      <w:pPr>
        <w:pStyle w:val="Bullet1"/>
        <w:rPr>
          <w:lang w:eastAsia="en-AU"/>
        </w:rPr>
      </w:pPr>
      <w:r>
        <w:rPr>
          <w:lang w:eastAsia="en-AU"/>
        </w:rPr>
        <w:t>Victorian Institute of Teaching</w:t>
      </w:r>
    </w:p>
    <w:p w14:paraId="50E5857E" w14:textId="77777777" w:rsidR="00D03B33" w:rsidRDefault="00D03B33" w:rsidP="005F688D">
      <w:pPr>
        <w:pStyle w:val="Bullet1"/>
        <w:rPr>
          <w:lang w:eastAsia="en-AU"/>
        </w:rPr>
      </w:pPr>
      <w:r>
        <w:rPr>
          <w:lang w:eastAsia="en-AU"/>
        </w:rPr>
        <w:t>William Angliss Institute of TAFE</w:t>
      </w:r>
    </w:p>
    <w:p w14:paraId="0552EFAF" w14:textId="103F0546" w:rsidR="00D03B33" w:rsidRDefault="00D03B33" w:rsidP="00DC1A76">
      <w:pPr>
        <w:pStyle w:val="Bullet1"/>
        <w:rPr>
          <w:lang w:eastAsia="en-AU"/>
        </w:rPr>
      </w:pPr>
      <w:r>
        <w:rPr>
          <w:lang w:eastAsia="en-AU"/>
        </w:rPr>
        <w:t>Wodonga Institute of TAFE</w:t>
      </w:r>
    </w:p>
    <w:p w14:paraId="3DA64391" w14:textId="44B9F3E3" w:rsidR="00717B66" w:rsidRDefault="00717B66" w:rsidP="004444B7">
      <w:pPr>
        <w:pStyle w:val="Heading3"/>
        <w:rPr>
          <w:lang w:eastAsia="en-AU"/>
        </w:rPr>
      </w:pPr>
      <w:r>
        <w:rPr>
          <w:lang w:eastAsia="en-AU"/>
        </w:rPr>
        <w:t>Transport</w:t>
      </w:r>
    </w:p>
    <w:p w14:paraId="53EAB746" w14:textId="77777777" w:rsidR="00717B66" w:rsidRDefault="00717B66" w:rsidP="005F688D">
      <w:pPr>
        <w:pStyle w:val="Bullet1"/>
        <w:rPr>
          <w:lang w:eastAsia="en-AU"/>
        </w:rPr>
      </w:pPr>
      <w:r>
        <w:rPr>
          <w:lang w:eastAsia="en-AU"/>
        </w:rPr>
        <w:t>Ports Victoria</w:t>
      </w:r>
    </w:p>
    <w:p w14:paraId="6E85E779" w14:textId="77777777" w:rsidR="00717B66" w:rsidRDefault="00717B66" w:rsidP="005F688D">
      <w:pPr>
        <w:pStyle w:val="Bullet1"/>
        <w:rPr>
          <w:lang w:eastAsia="en-AU"/>
        </w:rPr>
      </w:pPr>
      <w:r>
        <w:rPr>
          <w:lang w:eastAsia="en-AU"/>
        </w:rPr>
        <w:t>V/Line Corporation</w:t>
      </w:r>
    </w:p>
    <w:p w14:paraId="24290C2D" w14:textId="220DEE24" w:rsidR="00717B66" w:rsidRDefault="00717B66" w:rsidP="005F688D">
      <w:pPr>
        <w:pStyle w:val="Bullet1"/>
        <w:rPr>
          <w:lang w:eastAsia="en-AU"/>
        </w:rPr>
      </w:pPr>
      <w:r>
        <w:rPr>
          <w:lang w:eastAsia="en-AU"/>
        </w:rPr>
        <w:t>Victorian Rail Track Corporation</w:t>
      </w:r>
    </w:p>
    <w:p w14:paraId="5F523BDD" w14:textId="58BC5B50" w:rsidR="00717B66" w:rsidRDefault="00717B66" w:rsidP="004444B7">
      <w:pPr>
        <w:pStyle w:val="Heading3"/>
        <w:rPr>
          <w:lang w:eastAsia="en-AU"/>
        </w:rPr>
      </w:pPr>
      <w:r>
        <w:rPr>
          <w:lang w:eastAsia="en-AU"/>
        </w:rPr>
        <w:t>Universities</w:t>
      </w:r>
    </w:p>
    <w:p w14:paraId="56D5D975" w14:textId="77777777" w:rsidR="00886836" w:rsidRDefault="00886836" w:rsidP="005F688D">
      <w:pPr>
        <w:pStyle w:val="Bullet1"/>
        <w:rPr>
          <w:lang w:eastAsia="en-AU"/>
        </w:rPr>
      </w:pPr>
      <w:r>
        <w:rPr>
          <w:lang w:eastAsia="en-AU"/>
        </w:rPr>
        <w:t>Australian Catholic University</w:t>
      </w:r>
    </w:p>
    <w:p w14:paraId="6504414E" w14:textId="77777777" w:rsidR="00886836" w:rsidRDefault="00886836" w:rsidP="005F688D">
      <w:pPr>
        <w:pStyle w:val="Bullet1"/>
        <w:rPr>
          <w:lang w:eastAsia="en-AU"/>
        </w:rPr>
      </w:pPr>
      <w:r>
        <w:rPr>
          <w:lang w:eastAsia="en-AU"/>
        </w:rPr>
        <w:t>Deakin University</w:t>
      </w:r>
    </w:p>
    <w:p w14:paraId="6F4A4B70" w14:textId="77777777" w:rsidR="00886836" w:rsidRDefault="00886836" w:rsidP="005F688D">
      <w:pPr>
        <w:pStyle w:val="Bullet1"/>
        <w:rPr>
          <w:lang w:eastAsia="en-AU"/>
        </w:rPr>
      </w:pPr>
      <w:r>
        <w:rPr>
          <w:lang w:eastAsia="en-AU"/>
        </w:rPr>
        <w:t>Federation University</w:t>
      </w:r>
    </w:p>
    <w:p w14:paraId="103CFC6E" w14:textId="77777777" w:rsidR="00886836" w:rsidRDefault="00886836" w:rsidP="005F688D">
      <w:pPr>
        <w:pStyle w:val="Bullet1"/>
        <w:rPr>
          <w:lang w:eastAsia="en-AU"/>
        </w:rPr>
      </w:pPr>
      <w:r>
        <w:rPr>
          <w:lang w:eastAsia="en-AU"/>
        </w:rPr>
        <w:t>La Trobe University</w:t>
      </w:r>
    </w:p>
    <w:p w14:paraId="0EACBB71" w14:textId="77777777" w:rsidR="00886836" w:rsidRDefault="00886836" w:rsidP="005F688D">
      <w:pPr>
        <w:pStyle w:val="Bullet1"/>
        <w:rPr>
          <w:lang w:eastAsia="en-AU"/>
        </w:rPr>
      </w:pPr>
      <w:r>
        <w:rPr>
          <w:lang w:eastAsia="en-AU"/>
        </w:rPr>
        <w:t>Monash University</w:t>
      </w:r>
    </w:p>
    <w:p w14:paraId="139F895D" w14:textId="77777777" w:rsidR="00886836" w:rsidRDefault="00886836" w:rsidP="005F688D">
      <w:pPr>
        <w:pStyle w:val="Bullet1"/>
        <w:rPr>
          <w:lang w:eastAsia="en-AU"/>
        </w:rPr>
      </w:pPr>
      <w:r>
        <w:rPr>
          <w:lang w:eastAsia="en-AU"/>
        </w:rPr>
        <w:t>RMIT University</w:t>
      </w:r>
    </w:p>
    <w:p w14:paraId="6A6567CF" w14:textId="77777777" w:rsidR="00886836" w:rsidRDefault="00886836" w:rsidP="005F688D">
      <w:pPr>
        <w:pStyle w:val="Bullet1"/>
        <w:rPr>
          <w:lang w:eastAsia="en-AU"/>
        </w:rPr>
      </w:pPr>
      <w:r>
        <w:rPr>
          <w:lang w:eastAsia="en-AU"/>
        </w:rPr>
        <w:t>Swinburne University of Technology</w:t>
      </w:r>
    </w:p>
    <w:p w14:paraId="4F4C64C9" w14:textId="77777777" w:rsidR="00886836" w:rsidRDefault="00886836" w:rsidP="005F688D">
      <w:pPr>
        <w:pStyle w:val="Bullet1"/>
        <w:rPr>
          <w:lang w:eastAsia="en-AU"/>
        </w:rPr>
      </w:pPr>
      <w:r>
        <w:rPr>
          <w:lang w:eastAsia="en-AU"/>
        </w:rPr>
        <w:t>University of Melbourne</w:t>
      </w:r>
    </w:p>
    <w:p w14:paraId="6C4E1557" w14:textId="40C36523" w:rsidR="00717B66" w:rsidRDefault="00886836" w:rsidP="00DC1A76">
      <w:pPr>
        <w:pStyle w:val="Bullet1"/>
        <w:rPr>
          <w:lang w:eastAsia="en-AU"/>
        </w:rPr>
      </w:pPr>
      <w:r>
        <w:rPr>
          <w:lang w:eastAsia="en-AU"/>
        </w:rPr>
        <w:t>Victoria University</w:t>
      </w:r>
    </w:p>
    <w:p w14:paraId="33BC3EAC" w14:textId="68ACB2DB" w:rsidR="00886836" w:rsidRDefault="00886836" w:rsidP="004444B7">
      <w:pPr>
        <w:pStyle w:val="Heading3"/>
        <w:rPr>
          <w:lang w:eastAsia="en-AU"/>
        </w:rPr>
      </w:pPr>
      <w:r>
        <w:rPr>
          <w:lang w:eastAsia="en-AU"/>
        </w:rPr>
        <w:t xml:space="preserve">Victorian </w:t>
      </w:r>
      <w:r w:rsidR="00C40FF6">
        <w:rPr>
          <w:lang w:eastAsia="en-AU"/>
        </w:rPr>
        <w:t>P</w:t>
      </w:r>
      <w:r>
        <w:rPr>
          <w:lang w:eastAsia="en-AU"/>
        </w:rPr>
        <w:t xml:space="preserve">ublic </w:t>
      </w:r>
      <w:r w:rsidR="00C40FF6">
        <w:rPr>
          <w:lang w:eastAsia="en-AU"/>
        </w:rPr>
        <w:t>S</w:t>
      </w:r>
      <w:r>
        <w:rPr>
          <w:lang w:eastAsia="en-AU"/>
        </w:rPr>
        <w:t>ervice</w:t>
      </w:r>
    </w:p>
    <w:p w14:paraId="67AC2EE9" w14:textId="77777777" w:rsidR="00886836" w:rsidRDefault="00886836" w:rsidP="00886836">
      <w:pPr>
        <w:pStyle w:val="Bullet1"/>
        <w:rPr>
          <w:lang w:eastAsia="en-AU"/>
        </w:rPr>
      </w:pPr>
      <w:r>
        <w:rPr>
          <w:lang w:eastAsia="en-AU"/>
        </w:rPr>
        <w:t>CenITex</w:t>
      </w:r>
    </w:p>
    <w:p w14:paraId="53908B44" w14:textId="77777777" w:rsidR="00886836" w:rsidRDefault="00886836" w:rsidP="00886836">
      <w:pPr>
        <w:pStyle w:val="Bullet1"/>
        <w:rPr>
          <w:lang w:eastAsia="en-AU"/>
        </w:rPr>
      </w:pPr>
      <w:r>
        <w:rPr>
          <w:lang w:eastAsia="en-AU"/>
        </w:rPr>
        <w:t>Cladding Safety Victoria</w:t>
      </w:r>
    </w:p>
    <w:p w14:paraId="6B3B9BBF" w14:textId="77777777" w:rsidR="00886836" w:rsidRDefault="00886836" w:rsidP="00886836">
      <w:pPr>
        <w:pStyle w:val="Bullet1"/>
        <w:rPr>
          <w:lang w:eastAsia="en-AU"/>
        </w:rPr>
      </w:pPr>
      <w:r>
        <w:rPr>
          <w:lang w:eastAsia="en-AU"/>
        </w:rPr>
        <w:t>Commercial Passenger Vehicles Victoria</w:t>
      </w:r>
    </w:p>
    <w:p w14:paraId="68D2EBBD" w14:textId="77777777" w:rsidR="00886836" w:rsidRDefault="00886836" w:rsidP="00886836">
      <w:pPr>
        <w:pStyle w:val="Bullet1"/>
        <w:rPr>
          <w:lang w:eastAsia="en-AU"/>
        </w:rPr>
      </w:pPr>
      <w:r>
        <w:rPr>
          <w:lang w:eastAsia="en-AU"/>
        </w:rPr>
        <w:t>Commission for Children and Young People</w:t>
      </w:r>
    </w:p>
    <w:p w14:paraId="7EAAAD83" w14:textId="77777777" w:rsidR="00886836" w:rsidRDefault="00886836" w:rsidP="00886836">
      <w:pPr>
        <w:pStyle w:val="Bullet1"/>
        <w:rPr>
          <w:lang w:eastAsia="en-AU"/>
        </w:rPr>
      </w:pPr>
      <w:r>
        <w:rPr>
          <w:lang w:eastAsia="en-AU"/>
        </w:rPr>
        <w:t>Court Services Victoria</w:t>
      </w:r>
    </w:p>
    <w:p w14:paraId="74CF8474" w14:textId="77777777" w:rsidR="00886836" w:rsidRDefault="00886836" w:rsidP="00886836">
      <w:pPr>
        <w:pStyle w:val="Bullet1"/>
        <w:rPr>
          <w:lang w:eastAsia="en-AU"/>
        </w:rPr>
      </w:pPr>
      <w:r>
        <w:rPr>
          <w:lang w:eastAsia="en-AU"/>
        </w:rPr>
        <w:t>Department of Education</w:t>
      </w:r>
    </w:p>
    <w:p w14:paraId="58195EBC" w14:textId="77777777" w:rsidR="00886836" w:rsidRDefault="00886836" w:rsidP="00886836">
      <w:pPr>
        <w:pStyle w:val="Bullet1"/>
        <w:rPr>
          <w:lang w:eastAsia="en-AU"/>
        </w:rPr>
      </w:pPr>
      <w:r>
        <w:rPr>
          <w:lang w:eastAsia="en-AU"/>
        </w:rPr>
        <w:t>Department of Energy, Environment and Climate Action</w:t>
      </w:r>
    </w:p>
    <w:p w14:paraId="6054313B" w14:textId="77777777" w:rsidR="00886836" w:rsidRDefault="00886836" w:rsidP="00886836">
      <w:pPr>
        <w:pStyle w:val="Bullet1"/>
        <w:rPr>
          <w:lang w:eastAsia="en-AU"/>
        </w:rPr>
      </w:pPr>
      <w:r>
        <w:rPr>
          <w:lang w:eastAsia="en-AU"/>
        </w:rPr>
        <w:t>Department of Families, Fairness and Housing</w:t>
      </w:r>
    </w:p>
    <w:p w14:paraId="18F18398" w14:textId="77777777" w:rsidR="00886836" w:rsidRDefault="00886836" w:rsidP="00886836">
      <w:pPr>
        <w:pStyle w:val="Bullet1"/>
        <w:rPr>
          <w:lang w:eastAsia="en-AU"/>
        </w:rPr>
      </w:pPr>
      <w:r>
        <w:rPr>
          <w:lang w:eastAsia="en-AU"/>
        </w:rPr>
        <w:t>Department of Health</w:t>
      </w:r>
    </w:p>
    <w:p w14:paraId="04522BEC" w14:textId="77777777" w:rsidR="00886836" w:rsidRDefault="00886836" w:rsidP="00886836">
      <w:pPr>
        <w:pStyle w:val="Bullet1"/>
        <w:rPr>
          <w:lang w:eastAsia="en-AU"/>
        </w:rPr>
      </w:pPr>
      <w:r>
        <w:rPr>
          <w:lang w:eastAsia="en-AU"/>
        </w:rPr>
        <w:t>Department of Jobs, Skills, Industry and Regions</w:t>
      </w:r>
    </w:p>
    <w:p w14:paraId="5F6BBE12" w14:textId="77777777" w:rsidR="00886836" w:rsidRDefault="00886836" w:rsidP="00886836">
      <w:pPr>
        <w:pStyle w:val="Bullet1"/>
        <w:rPr>
          <w:lang w:eastAsia="en-AU"/>
        </w:rPr>
      </w:pPr>
      <w:r>
        <w:rPr>
          <w:lang w:eastAsia="en-AU"/>
        </w:rPr>
        <w:t>Department of Justice and Community Safety</w:t>
      </w:r>
    </w:p>
    <w:p w14:paraId="4367A15D" w14:textId="77777777" w:rsidR="00886836" w:rsidRDefault="00886836" w:rsidP="00886836">
      <w:pPr>
        <w:pStyle w:val="Bullet1"/>
        <w:rPr>
          <w:lang w:eastAsia="en-AU"/>
        </w:rPr>
      </w:pPr>
      <w:r>
        <w:rPr>
          <w:lang w:eastAsia="en-AU"/>
        </w:rPr>
        <w:t>Department of Premier and Cabinet</w:t>
      </w:r>
    </w:p>
    <w:p w14:paraId="79A64B0B" w14:textId="77777777" w:rsidR="00886836" w:rsidRDefault="00886836" w:rsidP="00886836">
      <w:pPr>
        <w:pStyle w:val="Bullet1"/>
        <w:rPr>
          <w:lang w:eastAsia="en-AU"/>
        </w:rPr>
      </w:pPr>
      <w:r>
        <w:rPr>
          <w:lang w:eastAsia="en-AU"/>
        </w:rPr>
        <w:t>Department of Transport and Planning</w:t>
      </w:r>
    </w:p>
    <w:p w14:paraId="7B99D22A" w14:textId="77777777" w:rsidR="00886836" w:rsidRDefault="00886836" w:rsidP="00886836">
      <w:pPr>
        <w:pStyle w:val="Bullet1"/>
        <w:rPr>
          <w:lang w:eastAsia="en-AU"/>
        </w:rPr>
      </w:pPr>
      <w:r>
        <w:rPr>
          <w:lang w:eastAsia="en-AU"/>
        </w:rPr>
        <w:t>Department of Treasury and Finance</w:t>
      </w:r>
    </w:p>
    <w:p w14:paraId="5720881F" w14:textId="77777777" w:rsidR="00886836" w:rsidRDefault="00886836" w:rsidP="00886836">
      <w:pPr>
        <w:pStyle w:val="Bullet1"/>
        <w:rPr>
          <w:lang w:eastAsia="en-AU"/>
        </w:rPr>
      </w:pPr>
      <w:r>
        <w:rPr>
          <w:lang w:eastAsia="en-AU"/>
        </w:rPr>
        <w:t>Emergency Services Superannuation Board</w:t>
      </w:r>
    </w:p>
    <w:p w14:paraId="1612F8A3" w14:textId="77777777" w:rsidR="00886836" w:rsidRDefault="00886836" w:rsidP="00886836">
      <w:pPr>
        <w:pStyle w:val="Bullet1"/>
        <w:rPr>
          <w:lang w:eastAsia="en-AU"/>
        </w:rPr>
      </w:pPr>
      <w:r>
        <w:rPr>
          <w:lang w:eastAsia="en-AU"/>
        </w:rPr>
        <w:t>Environment Protection Authority</w:t>
      </w:r>
    </w:p>
    <w:p w14:paraId="70D943DA" w14:textId="77777777" w:rsidR="00886836" w:rsidRDefault="00886836" w:rsidP="00886836">
      <w:pPr>
        <w:pStyle w:val="Bullet1"/>
        <w:rPr>
          <w:lang w:eastAsia="en-AU"/>
        </w:rPr>
      </w:pPr>
      <w:r>
        <w:rPr>
          <w:lang w:eastAsia="en-AU"/>
        </w:rPr>
        <w:t>Essential Services Commission</w:t>
      </w:r>
    </w:p>
    <w:p w14:paraId="5A0CFCB4" w14:textId="77777777" w:rsidR="00886836" w:rsidRDefault="00886836" w:rsidP="00886836">
      <w:pPr>
        <w:pStyle w:val="Bullet1"/>
        <w:rPr>
          <w:lang w:eastAsia="en-AU"/>
        </w:rPr>
      </w:pPr>
      <w:r>
        <w:rPr>
          <w:lang w:eastAsia="en-AU"/>
        </w:rPr>
        <w:t>Independent Broad-based Anti-corruption Commission</w:t>
      </w:r>
    </w:p>
    <w:p w14:paraId="3F475EA1" w14:textId="77777777" w:rsidR="00886836" w:rsidRDefault="00886836" w:rsidP="00886836">
      <w:pPr>
        <w:pStyle w:val="Bullet1"/>
        <w:rPr>
          <w:lang w:eastAsia="en-AU"/>
        </w:rPr>
      </w:pPr>
      <w:r>
        <w:rPr>
          <w:lang w:eastAsia="en-AU"/>
        </w:rPr>
        <w:t>Labour Hire Licensing Authority</w:t>
      </w:r>
    </w:p>
    <w:p w14:paraId="30062D24" w14:textId="77777777" w:rsidR="00886836" w:rsidRDefault="00886836" w:rsidP="00886836">
      <w:pPr>
        <w:pStyle w:val="Bullet1"/>
        <w:rPr>
          <w:lang w:eastAsia="en-AU"/>
        </w:rPr>
      </w:pPr>
      <w:r>
        <w:rPr>
          <w:lang w:eastAsia="en-AU"/>
        </w:rPr>
        <w:t>Office of Public Prosecutions</w:t>
      </w:r>
    </w:p>
    <w:p w14:paraId="77FE9212" w14:textId="77777777" w:rsidR="00886836" w:rsidRDefault="00886836" w:rsidP="00886836">
      <w:pPr>
        <w:pStyle w:val="Bullet1"/>
        <w:rPr>
          <w:lang w:eastAsia="en-AU"/>
        </w:rPr>
      </w:pPr>
      <w:r>
        <w:rPr>
          <w:lang w:eastAsia="en-AU"/>
        </w:rPr>
        <w:t>Office of the Legal Services Commissioner</w:t>
      </w:r>
    </w:p>
    <w:p w14:paraId="7C36AE21" w14:textId="77777777" w:rsidR="00886836" w:rsidRDefault="00886836" w:rsidP="00886836">
      <w:pPr>
        <w:pStyle w:val="Bullet1"/>
        <w:rPr>
          <w:lang w:eastAsia="en-AU"/>
        </w:rPr>
      </w:pPr>
      <w:r>
        <w:rPr>
          <w:lang w:eastAsia="en-AU"/>
        </w:rPr>
        <w:t>Office of the Ombudsman Victoria</w:t>
      </w:r>
    </w:p>
    <w:p w14:paraId="58C30FEA" w14:textId="77777777" w:rsidR="00886836" w:rsidRDefault="00886836" w:rsidP="00886836">
      <w:pPr>
        <w:pStyle w:val="Bullet1"/>
        <w:rPr>
          <w:lang w:eastAsia="en-AU"/>
        </w:rPr>
      </w:pPr>
      <w:r>
        <w:rPr>
          <w:lang w:eastAsia="en-AU"/>
        </w:rPr>
        <w:t>Office of the Victorian Electoral Commissioner</w:t>
      </w:r>
    </w:p>
    <w:p w14:paraId="4E465B73" w14:textId="77777777" w:rsidR="00886836" w:rsidRDefault="00886836" w:rsidP="00886836">
      <w:pPr>
        <w:pStyle w:val="Bullet1"/>
        <w:rPr>
          <w:lang w:eastAsia="en-AU"/>
        </w:rPr>
      </w:pPr>
      <w:r>
        <w:rPr>
          <w:lang w:eastAsia="en-AU"/>
        </w:rPr>
        <w:t>Office of the Victorian Information Commissioner</w:t>
      </w:r>
    </w:p>
    <w:p w14:paraId="7C2F23A4" w14:textId="77777777" w:rsidR="00886836" w:rsidRDefault="00886836" w:rsidP="00886836">
      <w:pPr>
        <w:pStyle w:val="Bullet1"/>
        <w:rPr>
          <w:lang w:eastAsia="en-AU"/>
        </w:rPr>
      </w:pPr>
      <w:r>
        <w:rPr>
          <w:lang w:eastAsia="en-AU"/>
        </w:rPr>
        <w:t>Portable Long Service Authority</w:t>
      </w:r>
    </w:p>
    <w:p w14:paraId="377734C1" w14:textId="77777777" w:rsidR="00886836" w:rsidRDefault="00886836" w:rsidP="00886836">
      <w:pPr>
        <w:pStyle w:val="Bullet1"/>
        <w:rPr>
          <w:lang w:eastAsia="en-AU"/>
        </w:rPr>
      </w:pPr>
      <w:r>
        <w:rPr>
          <w:lang w:eastAsia="en-AU"/>
        </w:rPr>
        <w:t>Public Record Office Victoria</w:t>
      </w:r>
    </w:p>
    <w:p w14:paraId="732F926C" w14:textId="77777777" w:rsidR="00886836" w:rsidRDefault="00886836" w:rsidP="00886836">
      <w:pPr>
        <w:pStyle w:val="Bullet1"/>
        <w:rPr>
          <w:lang w:eastAsia="en-AU"/>
        </w:rPr>
      </w:pPr>
      <w:r>
        <w:rPr>
          <w:lang w:eastAsia="en-AU"/>
        </w:rPr>
        <w:t>Safe Transport Victoria</w:t>
      </w:r>
    </w:p>
    <w:p w14:paraId="03112FED" w14:textId="77777777" w:rsidR="00886836" w:rsidRDefault="00886836" w:rsidP="00886836">
      <w:pPr>
        <w:pStyle w:val="Bullet1"/>
        <w:rPr>
          <w:lang w:eastAsia="en-AU"/>
        </w:rPr>
      </w:pPr>
      <w:r>
        <w:rPr>
          <w:lang w:eastAsia="en-AU"/>
        </w:rPr>
        <w:t>Safer Care Victoria</w:t>
      </w:r>
    </w:p>
    <w:p w14:paraId="45683FC9" w14:textId="77777777" w:rsidR="00886836" w:rsidRDefault="00886836" w:rsidP="00886836">
      <w:pPr>
        <w:pStyle w:val="Bullet1"/>
        <w:rPr>
          <w:lang w:eastAsia="en-AU"/>
        </w:rPr>
      </w:pPr>
      <w:r>
        <w:rPr>
          <w:lang w:eastAsia="en-AU"/>
        </w:rPr>
        <w:t>Service Victoria</w:t>
      </w:r>
    </w:p>
    <w:p w14:paraId="4B63CDB3" w14:textId="77777777" w:rsidR="00886836" w:rsidRDefault="00886836" w:rsidP="00886836">
      <w:pPr>
        <w:pStyle w:val="Bullet1"/>
        <w:rPr>
          <w:lang w:eastAsia="en-AU"/>
        </w:rPr>
      </w:pPr>
      <w:r>
        <w:rPr>
          <w:lang w:eastAsia="en-AU"/>
        </w:rPr>
        <w:t>State Revenue Office</w:t>
      </w:r>
    </w:p>
    <w:p w14:paraId="4ED7280A" w14:textId="77777777" w:rsidR="00886836" w:rsidRDefault="00886836" w:rsidP="00886836">
      <w:pPr>
        <w:pStyle w:val="Bullet1"/>
        <w:rPr>
          <w:lang w:eastAsia="en-AU"/>
        </w:rPr>
      </w:pPr>
      <w:r>
        <w:rPr>
          <w:lang w:eastAsia="en-AU"/>
        </w:rPr>
        <w:t>Suburban Rail Loop Authority</w:t>
      </w:r>
    </w:p>
    <w:p w14:paraId="2F27E392" w14:textId="77777777" w:rsidR="00886836" w:rsidRDefault="00886836" w:rsidP="00886836">
      <w:pPr>
        <w:pStyle w:val="Bullet1"/>
        <w:rPr>
          <w:lang w:eastAsia="en-AU"/>
        </w:rPr>
      </w:pPr>
      <w:r>
        <w:rPr>
          <w:lang w:eastAsia="en-AU"/>
        </w:rPr>
        <w:t>Sustainability Victoria</w:t>
      </w:r>
    </w:p>
    <w:p w14:paraId="28522D02" w14:textId="67907957" w:rsidR="00886836" w:rsidRDefault="00886836" w:rsidP="00886836">
      <w:pPr>
        <w:pStyle w:val="Bullet1"/>
        <w:rPr>
          <w:lang w:eastAsia="en-AU"/>
        </w:rPr>
      </w:pPr>
      <w:r>
        <w:rPr>
          <w:lang w:eastAsia="en-AU"/>
        </w:rPr>
        <w:t>Victorian Auditor-General</w:t>
      </w:r>
      <w:r w:rsidR="002F55AB">
        <w:rPr>
          <w:lang w:eastAsia="en-AU"/>
        </w:rPr>
        <w:t>’</w:t>
      </w:r>
      <w:r>
        <w:rPr>
          <w:lang w:eastAsia="en-AU"/>
        </w:rPr>
        <w:t>s Office</w:t>
      </w:r>
    </w:p>
    <w:p w14:paraId="73957ED0" w14:textId="77777777" w:rsidR="00886836" w:rsidRDefault="00886836" w:rsidP="00886836">
      <w:pPr>
        <w:pStyle w:val="Bullet1"/>
        <w:rPr>
          <w:lang w:eastAsia="en-AU"/>
        </w:rPr>
      </w:pPr>
      <w:r>
        <w:rPr>
          <w:lang w:eastAsia="en-AU"/>
        </w:rPr>
        <w:t>Victorian Commission for Gambling and Liquor Regulation</w:t>
      </w:r>
    </w:p>
    <w:p w14:paraId="492EF0A4" w14:textId="77777777" w:rsidR="00886836" w:rsidRDefault="00886836" w:rsidP="00886836">
      <w:pPr>
        <w:pStyle w:val="Bullet1"/>
        <w:rPr>
          <w:lang w:eastAsia="en-AU"/>
        </w:rPr>
      </w:pPr>
      <w:r>
        <w:rPr>
          <w:lang w:eastAsia="en-AU"/>
        </w:rPr>
        <w:t>Victorian Equal Opportunity and Human Rights Commission</w:t>
      </w:r>
    </w:p>
    <w:p w14:paraId="28D29FD1" w14:textId="77777777" w:rsidR="00886836" w:rsidRDefault="00886836" w:rsidP="00886836">
      <w:pPr>
        <w:pStyle w:val="Bullet1"/>
        <w:rPr>
          <w:lang w:eastAsia="en-AU"/>
        </w:rPr>
      </w:pPr>
      <w:r>
        <w:rPr>
          <w:lang w:eastAsia="en-AU"/>
        </w:rPr>
        <w:t>Victorian Fisheries Authority</w:t>
      </w:r>
    </w:p>
    <w:p w14:paraId="3349DF68" w14:textId="2C8BF990" w:rsidR="00886836" w:rsidRDefault="00886836" w:rsidP="00886836">
      <w:pPr>
        <w:pStyle w:val="Bullet1"/>
        <w:rPr>
          <w:lang w:eastAsia="en-AU"/>
        </w:rPr>
      </w:pPr>
      <w:r>
        <w:rPr>
          <w:lang w:eastAsia="en-AU"/>
        </w:rPr>
        <w:t>Victorian Government Solicitor</w:t>
      </w:r>
      <w:r w:rsidR="002F55AB">
        <w:rPr>
          <w:lang w:eastAsia="en-AU"/>
        </w:rPr>
        <w:t>’</w:t>
      </w:r>
      <w:r>
        <w:rPr>
          <w:lang w:eastAsia="en-AU"/>
        </w:rPr>
        <w:t>s Office</w:t>
      </w:r>
    </w:p>
    <w:p w14:paraId="340C6163" w14:textId="77777777" w:rsidR="00886836" w:rsidRDefault="00886836" w:rsidP="00886836">
      <w:pPr>
        <w:pStyle w:val="Bullet1"/>
        <w:rPr>
          <w:lang w:eastAsia="en-AU"/>
        </w:rPr>
      </w:pPr>
      <w:r>
        <w:rPr>
          <w:lang w:eastAsia="en-AU"/>
        </w:rPr>
        <w:t>Victorian Infrastructure Delivery Authority</w:t>
      </w:r>
    </w:p>
    <w:p w14:paraId="5A00ED2D" w14:textId="77777777" w:rsidR="00886836" w:rsidRDefault="00886836" w:rsidP="00886836">
      <w:pPr>
        <w:pStyle w:val="Bullet1"/>
        <w:rPr>
          <w:lang w:eastAsia="en-AU"/>
        </w:rPr>
      </w:pPr>
      <w:r>
        <w:rPr>
          <w:lang w:eastAsia="en-AU"/>
        </w:rPr>
        <w:t>Victorian Institute of Forensic Medicine</w:t>
      </w:r>
    </w:p>
    <w:p w14:paraId="7097CBDC" w14:textId="77777777" w:rsidR="00886836" w:rsidRDefault="00886836" w:rsidP="00886836">
      <w:pPr>
        <w:pStyle w:val="Bullet1"/>
        <w:rPr>
          <w:lang w:eastAsia="en-AU"/>
        </w:rPr>
      </w:pPr>
      <w:r>
        <w:rPr>
          <w:lang w:eastAsia="en-AU"/>
        </w:rPr>
        <w:t>Victorian Public Sector Commission</w:t>
      </w:r>
    </w:p>
    <w:p w14:paraId="36409109" w14:textId="0A74A213" w:rsidR="00886836" w:rsidRDefault="00886836" w:rsidP="005F688D">
      <w:pPr>
        <w:pStyle w:val="Bullet1"/>
        <w:rPr>
          <w:lang w:eastAsia="en-AU"/>
        </w:rPr>
      </w:pPr>
      <w:r w:rsidRPr="005F688D">
        <w:t>Victorian</w:t>
      </w:r>
      <w:r>
        <w:rPr>
          <w:lang w:eastAsia="en-AU"/>
        </w:rPr>
        <w:t xml:space="preserve"> Responsible Gambling Foundation</w:t>
      </w:r>
    </w:p>
    <w:p w14:paraId="665DFC24" w14:textId="6AD71DDD" w:rsidR="004304E6" w:rsidRDefault="004304E6" w:rsidP="004444B7">
      <w:pPr>
        <w:pStyle w:val="Heading3"/>
        <w:rPr>
          <w:lang w:eastAsia="en-AU"/>
        </w:rPr>
      </w:pPr>
      <w:r>
        <w:rPr>
          <w:lang w:eastAsia="en-AU"/>
        </w:rPr>
        <w:t>Water and land management</w:t>
      </w:r>
    </w:p>
    <w:p w14:paraId="0B7CAEBF" w14:textId="77777777" w:rsidR="004304E6" w:rsidRDefault="004304E6" w:rsidP="004304E6">
      <w:pPr>
        <w:pStyle w:val="Bullet1"/>
        <w:rPr>
          <w:lang w:eastAsia="en-AU"/>
        </w:rPr>
      </w:pPr>
      <w:r>
        <w:rPr>
          <w:lang w:eastAsia="en-AU"/>
        </w:rPr>
        <w:t>Alpine Resorts Victoria</w:t>
      </w:r>
    </w:p>
    <w:p w14:paraId="49489274" w14:textId="77777777" w:rsidR="004304E6" w:rsidRDefault="004304E6" w:rsidP="004304E6">
      <w:pPr>
        <w:pStyle w:val="Bullet1"/>
        <w:rPr>
          <w:lang w:eastAsia="en-AU"/>
        </w:rPr>
      </w:pPr>
      <w:r>
        <w:rPr>
          <w:lang w:eastAsia="en-AU"/>
        </w:rPr>
        <w:t>Barwon Asset Solutions Pty Ltd</w:t>
      </w:r>
    </w:p>
    <w:p w14:paraId="00274768" w14:textId="77777777" w:rsidR="004304E6" w:rsidRDefault="004304E6" w:rsidP="004304E6">
      <w:pPr>
        <w:pStyle w:val="Bullet1"/>
        <w:rPr>
          <w:lang w:eastAsia="en-AU"/>
        </w:rPr>
      </w:pPr>
      <w:r>
        <w:rPr>
          <w:lang w:eastAsia="en-AU"/>
        </w:rPr>
        <w:t>Barwon Coast Committee of Management</w:t>
      </w:r>
    </w:p>
    <w:p w14:paraId="7DEB1D65" w14:textId="77777777" w:rsidR="004304E6" w:rsidRDefault="004304E6" w:rsidP="004304E6">
      <w:pPr>
        <w:pStyle w:val="Bullet1"/>
        <w:rPr>
          <w:lang w:eastAsia="en-AU"/>
        </w:rPr>
      </w:pPr>
      <w:r>
        <w:rPr>
          <w:lang w:eastAsia="en-AU"/>
        </w:rPr>
        <w:t>Barwon Region Water Corporation</w:t>
      </w:r>
    </w:p>
    <w:p w14:paraId="3FD3A9DF" w14:textId="77777777" w:rsidR="004304E6" w:rsidRDefault="004304E6" w:rsidP="004304E6">
      <w:pPr>
        <w:pStyle w:val="Bullet1"/>
        <w:rPr>
          <w:lang w:eastAsia="en-AU"/>
        </w:rPr>
      </w:pPr>
      <w:r>
        <w:rPr>
          <w:lang w:eastAsia="en-AU"/>
        </w:rPr>
        <w:t>Central Gippsland Region Water Corporation</w:t>
      </w:r>
    </w:p>
    <w:p w14:paraId="3628B3BE" w14:textId="77777777" w:rsidR="004304E6" w:rsidRDefault="004304E6" w:rsidP="004304E6">
      <w:pPr>
        <w:pStyle w:val="Bullet1"/>
        <w:rPr>
          <w:lang w:eastAsia="en-AU"/>
        </w:rPr>
      </w:pPr>
      <w:r>
        <w:rPr>
          <w:lang w:eastAsia="en-AU"/>
        </w:rPr>
        <w:t>Central Highlands Region Water Corporation</w:t>
      </w:r>
    </w:p>
    <w:p w14:paraId="528450CC" w14:textId="77777777" w:rsidR="004304E6" w:rsidRDefault="004304E6" w:rsidP="004304E6">
      <w:pPr>
        <w:pStyle w:val="Bullet1"/>
        <w:rPr>
          <w:lang w:eastAsia="en-AU"/>
        </w:rPr>
      </w:pPr>
      <w:r>
        <w:rPr>
          <w:lang w:eastAsia="en-AU"/>
        </w:rPr>
        <w:t>Coliban Region Water Corporation</w:t>
      </w:r>
    </w:p>
    <w:p w14:paraId="391C749B" w14:textId="77777777" w:rsidR="004304E6" w:rsidRDefault="004304E6" w:rsidP="004304E6">
      <w:pPr>
        <w:pStyle w:val="Bullet1"/>
        <w:rPr>
          <w:lang w:eastAsia="en-AU"/>
        </w:rPr>
      </w:pPr>
      <w:r>
        <w:rPr>
          <w:lang w:eastAsia="en-AU"/>
        </w:rPr>
        <w:t>Development Victoria</w:t>
      </w:r>
    </w:p>
    <w:p w14:paraId="13B237A0" w14:textId="77777777" w:rsidR="004304E6" w:rsidRDefault="004304E6" w:rsidP="004304E6">
      <w:pPr>
        <w:pStyle w:val="Bullet1"/>
        <w:rPr>
          <w:lang w:eastAsia="en-AU"/>
        </w:rPr>
      </w:pPr>
      <w:r>
        <w:rPr>
          <w:lang w:eastAsia="en-AU"/>
        </w:rPr>
        <w:t>East Gippsland Region Water Corporation</w:t>
      </w:r>
    </w:p>
    <w:p w14:paraId="370CBC62" w14:textId="77777777" w:rsidR="004304E6" w:rsidRDefault="004304E6" w:rsidP="004304E6">
      <w:pPr>
        <w:pStyle w:val="Bullet1"/>
        <w:rPr>
          <w:lang w:eastAsia="en-AU"/>
        </w:rPr>
      </w:pPr>
      <w:r>
        <w:rPr>
          <w:lang w:eastAsia="en-AU"/>
        </w:rPr>
        <w:t>Falls Creek Alpine Resort Management Board</w:t>
      </w:r>
    </w:p>
    <w:p w14:paraId="7EA3CB79" w14:textId="77777777" w:rsidR="004304E6" w:rsidRDefault="004304E6" w:rsidP="004304E6">
      <w:pPr>
        <w:pStyle w:val="Bullet1"/>
        <w:rPr>
          <w:lang w:eastAsia="en-AU"/>
        </w:rPr>
      </w:pPr>
      <w:r>
        <w:rPr>
          <w:lang w:eastAsia="en-AU"/>
        </w:rPr>
        <w:t>Gippsland and Southern Rural Water Corporation</w:t>
      </w:r>
    </w:p>
    <w:p w14:paraId="6CC1D2EC" w14:textId="77777777" w:rsidR="004304E6" w:rsidRDefault="004304E6" w:rsidP="004304E6">
      <w:pPr>
        <w:pStyle w:val="Bullet1"/>
        <w:rPr>
          <w:lang w:eastAsia="en-AU"/>
        </w:rPr>
      </w:pPr>
      <w:r>
        <w:rPr>
          <w:lang w:eastAsia="en-AU"/>
        </w:rPr>
        <w:t>Gippsland Ports Committee of Management</w:t>
      </w:r>
    </w:p>
    <w:p w14:paraId="62C58C36" w14:textId="77777777" w:rsidR="004304E6" w:rsidRDefault="004304E6" w:rsidP="004304E6">
      <w:pPr>
        <w:pStyle w:val="Bullet1"/>
        <w:rPr>
          <w:lang w:eastAsia="en-AU"/>
        </w:rPr>
      </w:pPr>
      <w:r>
        <w:rPr>
          <w:lang w:eastAsia="en-AU"/>
        </w:rPr>
        <w:t>Goulburn Broken Catchment Management Authority</w:t>
      </w:r>
    </w:p>
    <w:p w14:paraId="4FA0E3C9" w14:textId="77777777" w:rsidR="004304E6" w:rsidRDefault="004304E6" w:rsidP="004304E6">
      <w:pPr>
        <w:pStyle w:val="Bullet1"/>
        <w:rPr>
          <w:lang w:eastAsia="en-AU"/>
        </w:rPr>
      </w:pPr>
      <w:r>
        <w:rPr>
          <w:lang w:eastAsia="en-AU"/>
        </w:rPr>
        <w:t>Goulburn Murray Rural Water Corporation</w:t>
      </w:r>
    </w:p>
    <w:p w14:paraId="6A4F6CA2" w14:textId="77777777" w:rsidR="004304E6" w:rsidRDefault="004304E6" w:rsidP="004304E6">
      <w:pPr>
        <w:pStyle w:val="Bullet1"/>
        <w:rPr>
          <w:lang w:eastAsia="en-AU"/>
        </w:rPr>
      </w:pPr>
      <w:r>
        <w:rPr>
          <w:lang w:eastAsia="en-AU"/>
        </w:rPr>
        <w:t>Goulburn Valley Region Water Corporation</w:t>
      </w:r>
    </w:p>
    <w:p w14:paraId="04078229" w14:textId="77777777" w:rsidR="004304E6" w:rsidRDefault="004304E6" w:rsidP="004304E6">
      <w:pPr>
        <w:pStyle w:val="Bullet1"/>
        <w:rPr>
          <w:lang w:eastAsia="en-AU"/>
        </w:rPr>
      </w:pPr>
      <w:r>
        <w:rPr>
          <w:lang w:eastAsia="en-AU"/>
        </w:rPr>
        <w:t>Grampians Wimmera Mallee Water Corporation</w:t>
      </w:r>
    </w:p>
    <w:p w14:paraId="2F190350" w14:textId="77777777" w:rsidR="004304E6" w:rsidRDefault="004304E6" w:rsidP="004304E6">
      <w:pPr>
        <w:pStyle w:val="Bullet1"/>
        <w:rPr>
          <w:lang w:eastAsia="en-AU"/>
        </w:rPr>
      </w:pPr>
      <w:r>
        <w:rPr>
          <w:lang w:eastAsia="en-AU"/>
        </w:rPr>
        <w:t>Great Ocean Road Coast and Parks Authority</w:t>
      </w:r>
    </w:p>
    <w:p w14:paraId="6DA0D22D" w14:textId="77777777" w:rsidR="004304E6" w:rsidRDefault="004304E6" w:rsidP="004304E6">
      <w:pPr>
        <w:pStyle w:val="Bullet1"/>
        <w:rPr>
          <w:lang w:eastAsia="en-AU"/>
        </w:rPr>
      </w:pPr>
      <w:r>
        <w:rPr>
          <w:lang w:eastAsia="en-AU"/>
        </w:rPr>
        <w:t>Greater Western Water</w:t>
      </w:r>
    </w:p>
    <w:p w14:paraId="4DABF871" w14:textId="77777777" w:rsidR="004304E6" w:rsidRDefault="004304E6" w:rsidP="004304E6">
      <w:pPr>
        <w:pStyle w:val="Bullet1"/>
        <w:rPr>
          <w:lang w:eastAsia="en-AU"/>
        </w:rPr>
      </w:pPr>
      <w:r>
        <w:rPr>
          <w:lang w:eastAsia="en-AU"/>
        </w:rPr>
        <w:t>Lower Murray Urban and Rural Water Corporation</w:t>
      </w:r>
    </w:p>
    <w:p w14:paraId="5966D6B3" w14:textId="77777777" w:rsidR="004304E6" w:rsidRDefault="004304E6" w:rsidP="004304E6">
      <w:pPr>
        <w:pStyle w:val="Bullet1"/>
        <w:rPr>
          <w:lang w:eastAsia="en-AU"/>
        </w:rPr>
      </w:pPr>
      <w:r>
        <w:rPr>
          <w:lang w:eastAsia="en-AU"/>
        </w:rPr>
        <w:t>Mallee Catchment Management Authority</w:t>
      </w:r>
    </w:p>
    <w:p w14:paraId="59476E16" w14:textId="77777777" w:rsidR="004304E6" w:rsidRDefault="004304E6" w:rsidP="004304E6">
      <w:pPr>
        <w:pStyle w:val="Bullet1"/>
        <w:rPr>
          <w:lang w:eastAsia="en-AU"/>
        </w:rPr>
      </w:pPr>
      <w:r>
        <w:rPr>
          <w:lang w:eastAsia="en-AU"/>
        </w:rPr>
        <w:t>Melbourne Water Corporation</w:t>
      </w:r>
    </w:p>
    <w:p w14:paraId="245732C3" w14:textId="77777777" w:rsidR="004304E6" w:rsidRDefault="004304E6" w:rsidP="004304E6">
      <w:pPr>
        <w:pStyle w:val="Bullet1"/>
        <w:rPr>
          <w:lang w:eastAsia="en-AU"/>
        </w:rPr>
      </w:pPr>
      <w:r>
        <w:rPr>
          <w:lang w:eastAsia="en-AU"/>
        </w:rPr>
        <w:t>Mount Buller and Mount Stirling Alpine Resort Management Board</w:t>
      </w:r>
    </w:p>
    <w:p w14:paraId="4043247A" w14:textId="77777777" w:rsidR="004304E6" w:rsidRDefault="004304E6" w:rsidP="004304E6">
      <w:pPr>
        <w:pStyle w:val="Bullet1"/>
        <w:rPr>
          <w:lang w:eastAsia="en-AU"/>
        </w:rPr>
      </w:pPr>
      <w:r>
        <w:rPr>
          <w:lang w:eastAsia="en-AU"/>
        </w:rPr>
        <w:t>Mount Hotham Resort Management Board</w:t>
      </w:r>
    </w:p>
    <w:p w14:paraId="6ADB3AA7" w14:textId="77777777" w:rsidR="004304E6" w:rsidRDefault="004304E6" w:rsidP="004304E6">
      <w:pPr>
        <w:pStyle w:val="Bullet1"/>
        <w:rPr>
          <w:lang w:eastAsia="en-AU"/>
        </w:rPr>
      </w:pPr>
      <w:r>
        <w:rPr>
          <w:lang w:eastAsia="en-AU"/>
        </w:rPr>
        <w:t>North Central Catchment Management Authority</w:t>
      </w:r>
    </w:p>
    <w:p w14:paraId="77660CCE" w14:textId="77777777" w:rsidR="004304E6" w:rsidRDefault="004304E6" w:rsidP="004304E6">
      <w:pPr>
        <w:pStyle w:val="Bullet1"/>
        <w:rPr>
          <w:lang w:eastAsia="en-AU"/>
        </w:rPr>
      </w:pPr>
      <w:r>
        <w:rPr>
          <w:lang w:eastAsia="en-AU"/>
        </w:rPr>
        <w:t>North East Region Water Corporation</w:t>
      </w:r>
    </w:p>
    <w:p w14:paraId="210629A8" w14:textId="77777777" w:rsidR="004304E6" w:rsidRDefault="004304E6" w:rsidP="004304E6">
      <w:pPr>
        <w:pStyle w:val="Bullet1"/>
        <w:rPr>
          <w:lang w:eastAsia="en-AU"/>
        </w:rPr>
      </w:pPr>
      <w:r>
        <w:rPr>
          <w:lang w:eastAsia="en-AU"/>
        </w:rPr>
        <w:t>Parks Victoria</w:t>
      </w:r>
    </w:p>
    <w:p w14:paraId="0478DE63" w14:textId="77777777" w:rsidR="004304E6" w:rsidRDefault="004304E6" w:rsidP="004304E6">
      <w:pPr>
        <w:pStyle w:val="Bullet1"/>
        <w:rPr>
          <w:lang w:eastAsia="en-AU"/>
        </w:rPr>
      </w:pPr>
      <w:r>
        <w:rPr>
          <w:lang w:eastAsia="en-AU"/>
        </w:rPr>
        <w:t>South East Water Corporation</w:t>
      </w:r>
    </w:p>
    <w:p w14:paraId="2BF832F7" w14:textId="77777777" w:rsidR="004304E6" w:rsidRDefault="004304E6" w:rsidP="004304E6">
      <w:pPr>
        <w:pStyle w:val="Bullet1"/>
        <w:rPr>
          <w:lang w:eastAsia="en-AU"/>
        </w:rPr>
      </w:pPr>
      <w:r>
        <w:rPr>
          <w:lang w:eastAsia="en-AU"/>
        </w:rPr>
        <w:t>South Gippsland Region Water Corporation</w:t>
      </w:r>
    </w:p>
    <w:p w14:paraId="6BC7EDA4" w14:textId="77777777" w:rsidR="004304E6" w:rsidRDefault="004304E6" w:rsidP="004304E6">
      <w:pPr>
        <w:pStyle w:val="Bullet1"/>
        <w:rPr>
          <w:lang w:eastAsia="en-AU"/>
        </w:rPr>
      </w:pPr>
      <w:r>
        <w:rPr>
          <w:lang w:eastAsia="en-AU"/>
        </w:rPr>
        <w:t>Southern Alpine Resort Management Board</w:t>
      </w:r>
    </w:p>
    <w:p w14:paraId="6FF4AA74" w14:textId="77777777" w:rsidR="004304E6" w:rsidRDefault="004304E6" w:rsidP="004304E6">
      <w:pPr>
        <w:pStyle w:val="Bullet1"/>
        <w:rPr>
          <w:lang w:eastAsia="en-AU"/>
        </w:rPr>
      </w:pPr>
      <w:r>
        <w:rPr>
          <w:lang w:eastAsia="en-AU"/>
        </w:rPr>
        <w:t>Trust for Nature (Victoria)</w:t>
      </w:r>
    </w:p>
    <w:p w14:paraId="183C2A57" w14:textId="77777777" w:rsidR="004304E6" w:rsidRDefault="004304E6" w:rsidP="004304E6">
      <w:pPr>
        <w:pStyle w:val="Bullet1"/>
        <w:rPr>
          <w:lang w:eastAsia="en-AU"/>
        </w:rPr>
      </w:pPr>
      <w:r>
        <w:rPr>
          <w:lang w:eastAsia="en-AU"/>
        </w:rPr>
        <w:t>VicForests</w:t>
      </w:r>
    </w:p>
    <w:p w14:paraId="57310B5E" w14:textId="77777777" w:rsidR="004304E6" w:rsidRDefault="004304E6" w:rsidP="004304E6">
      <w:pPr>
        <w:pStyle w:val="Bullet1"/>
        <w:rPr>
          <w:lang w:eastAsia="en-AU"/>
        </w:rPr>
      </w:pPr>
      <w:r>
        <w:rPr>
          <w:lang w:eastAsia="en-AU"/>
        </w:rPr>
        <w:t>Victorian Planning Authority</w:t>
      </w:r>
    </w:p>
    <w:p w14:paraId="0F8E0518" w14:textId="77777777" w:rsidR="004304E6" w:rsidRDefault="004304E6" w:rsidP="004304E6">
      <w:pPr>
        <w:pStyle w:val="Bullet1"/>
        <w:rPr>
          <w:lang w:eastAsia="en-AU"/>
        </w:rPr>
      </w:pPr>
      <w:r>
        <w:rPr>
          <w:lang w:eastAsia="en-AU"/>
        </w:rPr>
        <w:t>Wannon Region Water Corporation</w:t>
      </w:r>
    </w:p>
    <w:p w14:paraId="56662B6E" w14:textId="77777777" w:rsidR="004304E6" w:rsidRDefault="004304E6" w:rsidP="004304E6">
      <w:pPr>
        <w:pStyle w:val="Bullet1"/>
        <w:rPr>
          <w:lang w:eastAsia="en-AU"/>
        </w:rPr>
      </w:pPr>
      <w:r>
        <w:rPr>
          <w:lang w:eastAsia="en-AU"/>
        </w:rPr>
        <w:t>Westernport Region Water Corporation</w:t>
      </w:r>
    </w:p>
    <w:p w14:paraId="3AB85A98" w14:textId="289D0044" w:rsidR="004304E6" w:rsidRDefault="004304E6" w:rsidP="00DC1A76">
      <w:pPr>
        <w:pStyle w:val="Bullet1"/>
        <w:rPr>
          <w:lang w:eastAsia="en-AU"/>
        </w:rPr>
      </w:pPr>
      <w:r>
        <w:rPr>
          <w:lang w:eastAsia="en-AU"/>
        </w:rPr>
        <w:t xml:space="preserve">Yarra Valley </w:t>
      </w:r>
      <w:r w:rsidRPr="005F688D">
        <w:t>Water</w:t>
      </w:r>
      <w:r>
        <w:rPr>
          <w:lang w:eastAsia="en-AU"/>
        </w:rPr>
        <w:t xml:space="preserve"> Corporation</w:t>
      </w:r>
    </w:p>
    <w:p w14:paraId="3D496467" w14:textId="77777777" w:rsidR="004304E6" w:rsidRPr="004304E6" w:rsidRDefault="004304E6" w:rsidP="005F688D">
      <w:pPr>
        <w:pStyle w:val="BodyText"/>
        <w:rPr>
          <w:lang w:eastAsia="en-AU"/>
        </w:rPr>
      </w:pPr>
    </w:p>
    <w:tbl>
      <w:tblPr>
        <w:tblStyle w:val="TableGrid"/>
        <w:tblW w:w="0" w:type="auto"/>
        <w:tblLook w:val="04A0" w:firstRow="1" w:lastRow="0" w:firstColumn="1" w:lastColumn="0" w:noHBand="0" w:noVBand="1"/>
      </w:tblPr>
      <w:tblGrid>
        <w:gridCol w:w="9288"/>
      </w:tblGrid>
      <w:tr w:rsidR="00744A7F" w14:paraId="68B1E257" w14:textId="77777777" w:rsidTr="005F688D">
        <w:tc>
          <w:tcPr>
            <w:tcW w:w="9288" w:type="dxa"/>
            <w:tcBorders>
              <w:top w:val="nil"/>
              <w:left w:val="nil"/>
              <w:bottom w:val="nil"/>
              <w:right w:val="nil"/>
            </w:tcBorders>
            <w:shd w:val="clear" w:color="auto" w:fill="E3F3F9"/>
          </w:tcPr>
          <w:p w14:paraId="7AB76530" w14:textId="3955D411" w:rsidR="00C062C1" w:rsidRDefault="00744A7F" w:rsidP="0078531C">
            <w:pPr>
              <w:pStyle w:val="BodyText"/>
              <w:rPr>
                <w:lang w:eastAsia="en-AU"/>
              </w:rPr>
            </w:pPr>
            <w:r>
              <w:rPr>
                <w:lang w:eastAsia="en-AU"/>
              </w:rPr>
              <w:t>T</w:t>
            </w:r>
            <w:r w:rsidRPr="00C27278">
              <w:rPr>
                <w:lang w:eastAsia="en-AU"/>
              </w:rPr>
              <w:t xml:space="preserve">his report categorises industries </w:t>
            </w:r>
            <w:r>
              <w:rPr>
                <w:lang w:eastAsia="en-AU"/>
              </w:rPr>
              <w:t>within the sector slightly</w:t>
            </w:r>
            <w:r w:rsidRPr="00C27278">
              <w:rPr>
                <w:lang w:eastAsia="en-AU"/>
              </w:rPr>
              <w:t xml:space="preserve"> differently to the Commission</w:t>
            </w:r>
            <w:r w:rsidR="002F55AB">
              <w:rPr>
                <w:lang w:eastAsia="en-AU"/>
              </w:rPr>
              <w:t>’</w:t>
            </w:r>
            <w:r w:rsidRPr="00C27278">
              <w:rPr>
                <w:lang w:eastAsia="en-AU"/>
              </w:rPr>
              <w:t xml:space="preserve">s previous </w:t>
            </w:r>
            <w:r w:rsidRPr="00793A0B">
              <w:t xml:space="preserve">reporting. </w:t>
            </w:r>
            <w:r w:rsidR="00B467FC">
              <w:t xml:space="preserve">This report separates </w:t>
            </w:r>
            <w:r w:rsidR="00465218">
              <w:rPr>
                <w:lang w:eastAsia="en-AU"/>
              </w:rPr>
              <w:t>several industries</w:t>
            </w:r>
            <w:r w:rsidR="0053110D">
              <w:rPr>
                <w:lang w:eastAsia="en-AU"/>
              </w:rPr>
              <w:t xml:space="preserve"> – community and cultural services, finance and insurance, other and transport – </w:t>
            </w:r>
            <w:r w:rsidR="00465218">
              <w:rPr>
                <w:lang w:eastAsia="en-AU"/>
              </w:rPr>
              <w:t xml:space="preserve">that </w:t>
            </w:r>
            <w:r w:rsidR="0053110D">
              <w:rPr>
                <w:lang w:eastAsia="en-AU"/>
              </w:rPr>
              <w:t>were grouped together as ‘c</w:t>
            </w:r>
            <w:r w:rsidR="0053110D" w:rsidRPr="00990888">
              <w:rPr>
                <w:lang w:eastAsia="en-AU"/>
              </w:rPr>
              <w:t>reative industries, finance, transport and other</w:t>
            </w:r>
            <w:r w:rsidR="0053110D">
              <w:rPr>
                <w:lang w:eastAsia="en-AU"/>
              </w:rPr>
              <w:t>’</w:t>
            </w:r>
            <w:r w:rsidR="00465218">
              <w:rPr>
                <w:lang w:eastAsia="en-AU"/>
              </w:rPr>
              <w:t xml:space="preserve"> in previous </w:t>
            </w:r>
            <w:r w:rsidR="00C02A18">
              <w:rPr>
                <w:lang w:eastAsia="en-AU"/>
              </w:rPr>
              <w:t>reports</w:t>
            </w:r>
            <w:r w:rsidR="0053110D">
              <w:rPr>
                <w:lang w:eastAsia="en-AU"/>
              </w:rPr>
              <w:t xml:space="preserve">. </w:t>
            </w:r>
            <w:r>
              <w:t xml:space="preserve">This change was made to ensure that </w:t>
            </w:r>
            <w:r w:rsidR="00AB3E3A">
              <w:t xml:space="preserve">where possible, </w:t>
            </w:r>
            <w:r>
              <w:t xml:space="preserve">smaller industry groups contain similar types of organisations, </w:t>
            </w:r>
            <w:r w:rsidR="000D0F8D">
              <w:t>which</w:t>
            </w:r>
            <w:r>
              <w:t xml:space="preserve"> experience similar gender equality challenges</w:t>
            </w:r>
            <w:r>
              <w:rPr>
                <w:lang w:eastAsia="en-AU"/>
              </w:rPr>
              <w:t>.</w:t>
            </w:r>
          </w:p>
        </w:tc>
      </w:tr>
    </w:tbl>
    <w:p w14:paraId="0D5E9AE3" w14:textId="0D798842" w:rsidR="00BA2DE2" w:rsidRDefault="00364EEB" w:rsidP="00CD5A5E">
      <w:pPr>
        <w:pStyle w:val="Heading1"/>
        <w:rPr>
          <w:lang w:eastAsia="en-AU"/>
        </w:rPr>
      </w:pPr>
      <w:bookmarkStart w:id="74" w:name="_Toc237259561"/>
      <w:r>
        <w:rPr>
          <w:lang w:eastAsia="en-AU"/>
        </w:rPr>
        <w:t>References</w:t>
      </w:r>
      <w:bookmarkEnd w:id="74"/>
    </w:p>
    <w:p w14:paraId="443DAC11" w14:textId="19B03AB6" w:rsidR="009D4D12" w:rsidRDefault="0060565D" w:rsidP="0078531C">
      <w:pPr>
        <w:pStyle w:val="BodyText"/>
      </w:pPr>
      <w:r>
        <w:t>ABS (</w:t>
      </w:r>
      <w:r w:rsidRPr="0060565D">
        <w:t>Australian Bureau of Statistics</w:t>
      </w:r>
      <w:r>
        <w:t xml:space="preserve">) </w:t>
      </w:r>
      <w:r w:rsidRPr="0060565D">
        <w:t>(</w:t>
      </w:r>
      <w:r w:rsidR="00F703C8">
        <w:t>November 2022)</w:t>
      </w:r>
      <w:r w:rsidR="00590D7F">
        <w:t xml:space="preserve"> </w:t>
      </w:r>
      <w:r w:rsidR="00B9296C" w:rsidDel="002F55AB">
        <w:t>‘</w:t>
      </w:r>
      <w:r w:rsidR="00590D7F">
        <w:t>Conceptual basis of ANZSCO</w:t>
      </w:r>
      <w:r w:rsidR="00B9296C" w:rsidDel="002F55AB">
        <w:t>’</w:t>
      </w:r>
      <w:r w:rsidR="00B9296C">
        <w:t xml:space="preserve">, </w:t>
      </w:r>
      <w:hyperlink r:id="rId67" w:history="1">
        <w:r w:rsidR="00B9296C" w:rsidRPr="008F7C79">
          <w:rPr>
            <w:rStyle w:val="Hyperlink"/>
            <w:rFonts w:cs="Times New Roman"/>
          </w:rPr>
          <w:t>ANZSCO – Australian and New Zealand Standard Classification of Occupations, 2022</w:t>
        </w:r>
      </w:hyperlink>
      <w:r w:rsidR="00A40B8A">
        <w:t xml:space="preserve">, accessed 18 June 2026. </w:t>
      </w:r>
    </w:p>
    <w:p w14:paraId="58063CAF" w14:textId="18C91A48" w:rsidR="00576746" w:rsidRDefault="00576746" w:rsidP="0078531C">
      <w:pPr>
        <w:pStyle w:val="BodyText"/>
      </w:pPr>
      <w:r>
        <w:t xml:space="preserve">ABS </w:t>
      </w:r>
      <w:r w:rsidRPr="0060565D">
        <w:t>(</w:t>
      </w:r>
      <w:r w:rsidR="00724C7A">
        <w:t>December 2024</w:t>
      </w:r>
      <w:r w:rsidRPr="0060565D">
        <w:t xml:space="preserve">) </w:t>
      </w:r>
      <w:r w:rsidR="004E1CE6" w:rsidDel="002F55AB">
        <w:t>‘</w:t>
      </w:r>
      <w:r w:rsidR="00F24443" w:rsidRPr="004E1CE6">
        <w:t>Summary of major changes between</w:t>
      </w:r>
      <w:r w:rsidR="00F24443">
        <w:rPr>
          <w:b/>
          <w:bCs/>
        </w:rPr>
        <w:t xml:space="preserve"> </w:t>
      </w:r>
      <w:r w:rsidR="004E1CE6" w:rsidRPr="00E87182">
        <w:t xml:space="preserve">ANZSCO v1.3/2021/2022 and OSCA 2024 v1.0, </w:t>
      </w:r>
      <w:hyperlink r:id="rId68" w:history="1">
        <w:r w:rsidR="004D0799" w:rsidRPr="00E87182">
          <w:rPr>
            <w:rStyle w:val="Hyperlink"/>
            <w:rFonts w:cs="Times New Roman"/>
          </w:rPr>
          <w:t>OSCA – Occupation Standard Classification for Australia, 2024</w:t>
        </w:r>
      </w:hyperlink>
      <w:r w:rsidR="004D0799" w:rsidRPr="00E87182">
        <w:t>, Version 1.0</w:t>
      </w:r>
      <w:r w:rsidRPr="0060565D">
        <w:t>, accessed 1</w:t>
      </w:r>
      <w:r w:rsidR="00C27E21">
        <w:t xml:space="preserve">8 </w:t>
      </w:r>
      <w:r w:rsidRPr="0060565D">
        <w:t>June 2026.</w:t>
      </w:r>
    </w:p>
    <w:p w14:paraId="3DB78916" w14:textId="245812DB" w:rsidR="0060565D" w:rsidRDefault="0060565D" w:rsidP="0078531C">
      <w:pPr>
        <w:pStyle w:val="BodyText"/>
      </w:pPr>
      <w:r>
        <w:t xml:space="preserve">ABS </w:t>
      </w:r>
      <w:r w:rsidRPr="0060565D">
        <w:t xml:space="preserve">(April 2026) </w:t>
      </w:r>
      <w:r w:rsidR="002F55AB">
        <w:t>‘</w:t>
      </w:r>
      <w:r w:rsidRPr="0060565D">
        <w:t xml:space="preserve">Table 3: Labour force status by Sex, Victoria </w:t>
      </w:r>
      <w:r w:rsidR="00791729">
        <w:t>–</w:t>
      </w:r>
      <w:r w:rsidRPr="0060565D">
        <w:t xml:space="preserve"> Trend, Seasonally adjusted and Original’, </w:t>
      </w:r>
      <w:hyperlink r:id="rId69" w:history="1">
        <w:r w:rsidRPr="0060565D">
          <w:rPr>
            <w:rStyle w:val="Hyperlink"/>
            <w:rFonts w:cs="Times New Roman"/>
            <w:i/>
            <w:iCs/>
          </w:rPr>
          <w:t>Labour Force, Australia</w:t>
        </w:r>
      </w:hyperlink>
      <w:r w:rsidRPr="0060565D">
        <w:t>, accessed 14 June 2026.</w:t>
      </w:r>
    </w:p>
    <w:p w14:paraId="22BEC6B3" w14:textId="77777777" w:rsidR="00B95950" w:rsidRDefault="00B95950" w:rsidP="0078531C">
      <w:pPr>
        <w:pStyle w:val="BodyText"/>
      </w:pPr>
      <w:r>
        <w:t>Adamecz-V</w:t>
      </w:r>
      <w:r w:rsidRPr="00FD7C5F">
        <w:t>ö</w:t>
      </w:r>
      <w:r>
        <w:t xml:space="preserve">lgyi A and Shure N (2022) </w:t>
      </w:r>
      <w:hyperlink r:id="rId70" w:history="1">
        <w:r w:rsidRPr="006F7F57">
          <w:rPr>
            <w:rStyle w:val="Hyperlink"/>
            <w:rFonts w:cs="Times New Roman"/>
          </w:rPr>
          <w:t>The gender gap in top jobs – the role of overconfidence</w:t>
        </w:r>
      </w:hyperlink>
      <w:r>
        <w:t xml:space="preserve">, </w:t>
      </w:r>
      <w:r w:rsidRPr="00325832">
        <w:rPr>
          <w:i/>
        </w:rPr>
        <w:t>Labour Economics</w:t>
      </w:r>
      <w:r>
        <w:t xml:space="preserve">, 79:1-29. </w:t>
      </w:r>
    </w:p>
    <w:p w14:paraId="56F8CBE4" w14:textId="3F343209" w:rsidR="007D1D92" w:rsidRDefault="00D06428" w:rsidP="0078531C">
      <w:pPr>
        <w:pStyle w:val="BodyText"/>
      </w:pPr>
      <w:r>
        <w:t xml:space="preserve">AHRC </w:t>
      </w:r>
      <w:r w:rsidR="002660FD">
        <w:t>(</w:t>
      </w:r>
      <w:r w:rsidRPr="00D06428">
        <w:t>Australian Human Rights Commission</w:t>
      </w:r>
      <w:r>
        <w:t>)</w:t>
      </w:r>
      <w:r w:rsidRPr="00D06428">
        <w:t xml:space="preserve"> (</w:t>
      </w:r>
      <w:r w:rsidR="007D1D92" w:rsidRPr="00D06428">
        <w:t>202</w:t>
      </w:r>
      <w:r w:rsidR="007D1D92">
        <w:t>0</w:t>
      </w:r>
      <w:r w:rsidR="007D1D92" w:rsidRPr="00D06428">
        <w:t xml:space="preserve">) </w:t>
      </w:r>
      <w:hyperlink r:id="rId71" w:history="1">
        <w:r w:rsidR="007D1D92" w:rsidRPr="00B16ABC">
          <w:rPr>
            <w:rStyle w:val="Hyperlink"/>
            <w:rFonts w:cs="Times New Roman"/>
          </w:rPr>
          <w:t xml:space="preserve">Respect@Work: Sexual </w:t>
        </w:r>
        <w:r w:rsidR="002660FD">
          <w:rPr>
            <w:rStyle w:val="Hyperlink"/>
            <w:rFonts w:cs="Times New Roman"/>
          </w:rPr>
          <w:t>h</w:t>
        </w:r>
        <w:r w:rsidR="007D1D92" w:rsidRPr="00B16ABC">
          <w:rPr>
            <w:rStyle w:val="Hyperlink"/>
            <w:rFonts w:cs="Times New Roman"/>
          </w:rPr>
          <w:t xml:space="preserve">arassment </w:t>
        </w:r>
        <w:r w:rsidR="002660FD">
          <w:rPr>
            <w:rStyle w:val="Hyperlink"/>
            <w:rFonts w:cs="Times New Roman"/>
          </w:rPr>
          <w:t>n</w:t>
        </w:r>
        <w:r w:rsidR="007D1D92" w:rsidRPr="00B16ABC">
          <w:rPr>
            <w:rStyle w:val="Hyperlink"/>
            <w:rFonts w:cs="Times New Roman"/>
          </w:rPr>
          <w:t xml:space="preserve">ational </w:t>
        </w:r>
        <w:r w:rsidR="002660FD">
          <w:rPr>
            <w:rStyle w:val="Hyperlink"/>
            <w:rFonts w:cs="Times New Roman"/>
          </w:rPr>
          <w:t>i</w:t>
        </w:r>
        <w:r w:rsidR="007D1D92" w:rsidRPr="00B16ABC">
          <w:rPr>
            <w:rStyle w:val="Hyperlink"/>
            <w:rFonts w:cs="Times New Roman"/>
          </w:rPr>
          <w:t xml:space="preserve">nquiry </w:t>
        </w:r>
        <w:r w:rsidR="002660FD">
          <w:rPr>
            <w:rStyle w:val="Hyperlink"/>
            <w:rFonts w:cs="Times New Roman"/>
          </w:rPr>
          <w:t>r</w:t>
        </w:r>
        <w:r w:rsidR="007D1D92" w:rsidRPr="00B16ABC">
          <w:rPr>
            <w:rStyle w:val="Hyperlink"/>
            <w:rFonts w:cs="Times New Roman"/>
          </w:rPr>
          <w:t>eport</w:t>
        </w:r>
      </w:hyperlink>
      <w:r w:rsidR="007D1D92" w:rsidRPr="00D06428">
        <w:t xml:space="preserve">, </w:t>
      </w:r>
      <w:r w:rsidR="007D1D92">
        <w:t xml:space="preserve">AHRC website, accessed 18 June 2026. </w:t>
      </w:r>
    </w:p>
    <w:p w14:paraId="71AB3905" w14:textId="55FCBA56" w:rsidR="00C772FA" w:rsidRDefault="00C772FA" w:rsidP="0078531C">
      <w:pPr>
        <w:pStyle w:val="BodyText"/>
      </w:pPr>
      <w:r w:rsidRPr="00C772FA">
        <w:t>AHRC (2022) </w:t>
      </w:r>
      <w:hyperlink r:id="rId72" w:tgtFrame="_blank" w:history="1">
        <w:r w:rsidRPr="00C772FA">
          <w:rPr>
            <w:rStyle w:val="Hyperlink"/>
            <w:rFonts w:cs="Times New Roman"/>
            <w:i/>
            <w:iCs/>
          </w:rPr>
          <w:t>Time for respect: Fifth national survey sexual harassment workplaces</w:t>
        </w:r>
      </w:hyperlink>
      <w:r w:rsidRPr="00C772FA">
        <w:t>, AHRC</w:t>
      </w:r>
      <w:r>
        <w:t xml:space="preserve"> website</w:t>
      </w:r>
      <w:r w:rsidRPr="00C772FA">
        <w:t xml:space="preserve">, accessed </w:t>
      </w:r>
      <w:r>
        <w:t xml:space="preserve">19 June 2026. </w:t>
      </w:r>
    </w:p>
    <w:p w14:paraId="25B30F3E" w14:textId="507063ED" w:rsidR="00D06428" w:rsidRDefault="00D06428" w:rsidP="0078531C">
      <w:pPr>
        <w:pStyle w:val="BodyText"/>
      </w:pPr>
      <w:r>
        <w:t>AHRC</w:t>
      </w:r>
      <w:r w:rsidRPr="00D06428">
        <w:t xml:space="preserve"> (2025) </w:t>
      </w:r>
      <w:hyperlink r:id="rId73" w:history="1">
        <w:r w:rsidRPr="00D06428">
          <w:rPr>
            <w:rStyle w:val="Hyperlink"/>
            <w:rFonts w:cs="Times New Roman"/>
          </w:rPr>
          <w:t xml:space="preserve">Speaking from </w:t>
        </w:r>
        <w:r>
          <w:rPr>
            <w:rStyle w:val="Hyperlink"/>
            <w:rFonts w:cs="Times New Roman"/>
          </w:rPr>
          <w:t>e</w:t>
        </w:r>
        <w:r w:rsidRPr="00D06428">
          <w:rPr>
            <w:rStyle w:val="Hyperlink"/>
            <w:rFonts w:cs="Times New Roman"/>
          </w:rPr>
          <w:t>xperience: What needs to change to address workplace sexual harassment</w:t>
        </w:r>
      </w:hyperlink>
      <w:r w:rsidRPr="00D06428">
        <w:t xml:space="preserve">, </w:t>
      </w:r>
      <w:r>
        <w:t xml:space="preserve">AHRC website, accessed 15 June 2026. </w:t>
      </w:r>
    </w:p>
    <w:p w14:paraId="209099A3" w14:textId="0496EA09" w:rsidR="00814BD6" w:rsidRDefault="00593D80" w:rsidP="0078531C">
      <w:pPr>
        <w:pStyle w:val="BodyText"/>
      </w:pPr>
      <w:r w:rsidRPr="00E526BA">
        <w:t>Aletraris</w:t>
      </w:r>
      <w:r>
        <w:t xml:space="preserve"> L (2010)</w:t>
      </w:r>
      <w:r w:rsidR="00E44DB8" w:rsidRPr="00E44DB8">
        <w:t xml:space="preserve"> </w:t>
      </w:r>
      <w:hyperlink r:id="rId74" w:history="1">
        <w:r w:rsidR="00E44DB8" w:rsidRPr="008A631E">
          <w:rPr>
            <w:rStyle w:val="Hyperlink"/>
            <w:rFonts w:cs="Times New Roman"/>
          </w:rPr>
          <w:t>How satisfied are they and why? A study of job satisfaction, job rewards, gender and temporary agency workers in Australia</w:t>
        </w:r>
      </w:hyperlink>
      <w:r>
        <w:t>,</w:t>
      </w:r>
      <w:r w:rsidRPr="00E526BA">
        <w:t xml:space="preserve"> </w:t>
      </w:r>
      <w:r w:rsidR="0035371C" w:rsidRPr="00325832">
        <w:rPr>
          <w:i/>
        </w:rPr>
        <w:t>Human relations</w:t>
      </w:r>
      <w:r w:rsidR="0035371C">
        <w:t>,</w:t>
      </w:r>
      <w:r w:rsidR="0035371C" w:rsidRPr="00E526BA">
        <w:t xml:space="preserve"> </w:t>
      </w:r>
      <w:r w:rsidRPr="00E526BA">
        <w:t>63(8</w:t>
      </w:r>
      <w:r w:rsidR="00CD1900">
        <w:t>):</w:t>
      </w:r>
      <w:r w:rsidRPr="00E526BA">
        <w:t>1129</w:t>
      </w:r>
      <w:r w:rsidR="00D30DEB">
        <w:t>-1155</w:t>
      </w:r>
      <w:r w:rsidR="0035371C">
        <w:t>.</w:t>
      </w:r>
    </w:p>
    <w:p w14:paraId="5E1EA778" w14:textId="27CA8D04" w:rsidR="00D06428" w:rsidRDefault="00D06428" w:rsidP="0078531C">
      <w:pPr>
        <w:pStyle w:val="BodyText"/>
      </w:pPr>
      <w:r>
        <w:t xml:space="preserve">Artz B, Goodall AH and Oswald AJ (2016) </w:t>
      </w:r>
      <w:hyperlink r:id="rId75" w:history="1">
        <w:r w:rsidRPr="001D265F">
          <w:rPr>
            <w:rStyle w:val="Hyperlink"/>
            <w:rFonts w:cs="Times New Roman"/>
          </w:rPr>
          <w:t>“Do women ask?”,</w:t>
        </w:r>
      </w:hyperlink>
      <w:r>
        <w:t xml:space="preserve"> IZA Institute of Labor Economics, No. 10183. </w:t>
      </w:r>
    </w:p>
    <w:p w14:paraId="5C51C7AC" w14:textId="6B879006" w:rsidR="00434F4C" w:rsidRDefault="00434F4C" w:rsidP="0078531C">
      <w:pPr>
        <w:pStyle w:val="BodyText"/>
      </w:pPr>
      <w:r w:rsidRPr="00434F4C">
        <w:t>ASFA (Association of Superannuation Funds Australia) (2023) </w:t>
      </w:r>
      <w:hyperlink r:id="rId76" w:tgtFrame="_blank" w:history="1">
        <w:r w:rsidRPr="004444B7">
          <w:rPr>
            <w:rStyle w:val="Hyperlink"/>
            <w:rFonts w:cs="Times New Roman"/>
          </w:rPr>
          <w:t>Retirement savings improving but still a savings gap for many</w:t>
        </w:r>
      </w:hyperlink>
      <w:r w:rsidRPr="00434F4C">
        <w:t xml:space="preserve">, ASFA website, accessed </w:t>
      </w:r>
      <w:r>
        <w:t>30 June 2026</w:t>
      </w:r>
      <w:r w:rsidRPr="00434F4C">
        <w:t>.</w:t>
      </w:r>
    </w:p>
    <w:p w14:paraId="7787E858" w14:textId="4000AD17" w:rsidR="008F5959" w:rsidRDefault="008F5959" w:rsidP="0078531C">
      <w:pPr>
        <w:pStyle w:val="BodyText"/>
        <w:rPr>
          <w:lang w:eastAsia="en-AU"/>
        </w:rPr>
      </w:pPr>
      <w:r w:rsidRPr="0030279C">
        <w:t>Burns</w:t>
      </w:r>
      <w:r>
        <w:t xml:space="preserve"> </w:t>
      </w:r>
      <w:r w:rsidRPr="0030279C">
        <w:t>L, Clark</w:t>
      </w:r>
      <w:r>
        <w:t xml:space="preserve"> </w:t>
      </w:r>
      <w:r w:rsidRPr="0030279C">
        <w:t>J</w:t>
      </w:r>
      <w:r>
        <w:t xml:space="preserve"> and</w:t>
      </w:r>
      <w:r w:rsidRPr="0030279C">
        <w:t xml:space="preserve"> Willis J</w:t>
      </w:r>
      <w:r>
        <w:t xml:space="preserve"> </w:t>
      </w:r>
      <w:r w:rsidRPr="0030279C">
        <w:t xml:space="preserve">(2015) </w:t>
      </w:r>
      <w:r w:rsidR="00B00E79">
        <w:t>‘</w:t>
      </w:r>
      <w:hyperlink r:id="rId77" w:history="1">
        <w:r w:rsidRPr="00B431AC">
          <w:rPr>
            <w:rStyle w:val="Hyperlink"/>
            <w:rFonts w:cs="Times New Roman"/>
            <w:szCs w:val="21"/>
          </w:rPr>
          <w:t xml:space="preserve">Mapping the (invisible) salaried woman architect: The Australian parlour research </w:t>
        </w:r>
        <w:r w:rsidRPr="0094387E">
          <w:rPr>
            <w:rStyle w:val="Hyperlink"/>
            <w:rFonts w:cs="Times New Roman"/>
            <w:szCs w:val="21"/>
          </w:rPr>
          <w:t>project</w:t>
        </w:r>
        <w:r w:rsidR="00B00E79" w:rsidRPr="0094387E">
          <w:rPr>
            <w:rStyle w:val="Hyperlink"/>
            <w:rFonts w:cs="Times New Roman"/>
          </w:rPr>
          <w:t>’</w:t>
        </w:r>
      </w:hyperlink>
      <w:r w:rsidR="00B00E79">
        <w:t>,</w:t>
      </w:r>
      <w:r w:rsidRPr="0030279C">
        <w:t xml:space="preserve"> </w:t>
      </w:r>
      <w:r w:rsidRPr="00325832">
        <w:rPr>
          <w:i/>
        </w:rPr>
        <w:t>Footprint</w:t>
      </w:r>
      <w:r w:rsidRPr="0030279C">
        <w:t>, 9(2)</w:t>
      </w:r>
      <w:r w:rsidR="00B00E79">
        <w:t>:</w:t>
      </w:r>
      <w:r w:rsidRPr="0030279C">
        <w:t xml:space="preserve">143-160. </w:t>
      </w:r>
    </w:p>
    <w:p w14:paraId="12919A07" w14:textId="27021846" w:rsidR="006F3CA9" w:rsidRPr="00574396" w:rsidRDefault="006F3CA9" w:rsidP="0078531C">
      <w:pPr>
        <w:pStyle w:val="BodyText"/>
        <w:rPr>
          <w:lang w:eastAsia="en-AU"/>
        </w:rPr>
      </w:pPr>
      <w:r w:rsidRPr="006F3CA9">
        <w:rPr>
          <w:lang w:eastAsia="en-AU"/>
        </w:rPr>
        <w:t>Carson A</w:t>
      </w:r>
      <w:r>
        <w:rPr>
          <w:lang w:eastAsia="en-AU"/>
        </w:rPr>
        <w:t xml:space="preserve"> and</w:t>
      </w:r>
      <w:r w:rsidRPr="006F3CA9">
        <w:rPr>
          <w:lang w:eastAsia="en-AU"/>
        </w:rPr>
        <w:t xml:space="preserve"> Ruppanner L</w:t>
      </w:r>
      <w:r>
        <w:rPr>
          <w:lang w:eastAsia="en-AU"/>
        </w:rPr>
        <w:t xml:space="preserve"> </w:t>
      </w:r>
      <w:r w:rsidRPr="006F3CA9">
        <w:rPr>
          <w:lang w:eastAsia="en-AU"/>
        </w:rPr>
        <w:t>(2024)</w:t>
      </w:r>
      <w:r w:rsidR="00B50509">
        <w:rPr>
          <w:lang w:eastAsia="en-AU"/>
        </w:rPr>
        <w:t xml:space="preserve"> </w:t>
      </w:r>
      <w:hyperlink r:id="rId78" w:history="1">
        <w:r w:rsidR="00B50509">
          <w:rPr>
            <w:rStyle w:val="Hyperlink"/>
            <w:rFonts w:cs="Times New Roman"/>
            <w:lang w:eastAsia="en-AU"/>
          </w:rPr>
          <w:t>B</w:t>
        </w:r>
        <w:r w:rsidR="00B00E79" w:rsidRPr="00A911D8">
          <w:rPr>
            <w:rStyle w:val="Hyperlink"/>
            <w:rFonts w:cs="Times New Roman"/>
            <w:lang w:eastAsia="en-AU"/>
          </w:rPr>
          <w:t xml:space="preserve">reaking </w:t>
        </w:r>
        <w:r w:rsidR="00B00E79">
          <w:rPr>
            <w:rStyle w:val="Hyperlink"/>
            <w:rFonts w:cs="Times New Roman"/>
            <w:lang w:eastAsia="en-AU"/>
          </w:rPr>
          <w:t>b</w:t>
        </w:r>
        <w:r w:rsidR="00B00E79" w:rsidRPr="00A911D8">
          <w:rPr>
            <w:rStyle w:val="Hyperlink"/>
            <w:rFonts w:cs="Times New Roman"/>
            <w:lang w:eastAsia="en-AU"/>
          </w:rPr>
          <w:t xml:space="preserve">arriers: </w:t>
        </w:r>
        <w:r w:rsidR="00B00E79">
          <w:rPr>
            <w:rStyle w:val="Hyperlink"/>
            <w:rFonts w:cs="Times New Roman"/>
            <w:lang w:eastAsia="en-AU"/>
          </w:rPr>
          <w:t>A</w:t>
        </w:r>
        <w:r w:rsidR="00B00E79" w:rsidRPr="00A911D8">
          <w:rPr>
            <w:rStyle w:val="Hyperlink"/>
            <w:rFonts w:cs="Times New Roman"/>
            <w:lang w:eastAsia="en-AU"/>
          </w:rPr>
          <w:t xml:space="preserve"> study of women</w:t>
        </w:r>
        <w:r w:rsidR="00B00E79">
          <w:rPr>
            <w:rStyle w:val="Hyperlink"/>
            <w:rFonts w:cs="Times New Roman"/>
            <w:lang w:eastAsia="en-AU"/>
          </w:rPr>
          <w:t>’</w:t>
        </w:r>
        <w:r w:rsidR="00B00E79" w:rsidRPr="00A911D8">
          <w:rPr>
            <w:rStyle w:val="Hyperlink"/>
            <w:rFonts w:cs="Times New Roman"/>
            <w:lang w:eastAsia="en-AU"/>
          </w:rPr>
          <w:t>s participation and representation in local government</w:t>
        </w:r>
      </w:hyperlink>
      <w:r w:rsidR="00A911D8">
        <w:rPr>
          <w:lang w:eastAsia="en-AU"/>
        </w:rPr>
        <w:t>,</w:t>
      </w:r>
      <w:r w:rsidRPr="006F3CA9">
        <w:rPr>
          <w:lang w:eastAsia="en-AU"/>
        </w:rPr>
        <w:t xml:space="preserve"> La Trobe University</w:t>
      </w:r>
      <w:r w:rsidR="00B001FC">
        <w:rPr>
          <w:lang w:eastAsia="en-AU"/>
        </w:rPr>
        <w:t xml:space="preserve"> website</w:t>
      </w:r>
      <w:r w:rsidR="00A911D8">
        <w:rPr>
          <w:lang w:eastAsia="en-AU"/>
        </w:rPr>
        <w:t xml:space="preserve">, accessed </w:t>
      </w:r>
      <w:r w:rsidR="000F6BB0">
        <w:rPr>
          <w:lang w:eastAsia="en-AU"/>
        </w:rPr>
        <w:t>29 April 202</w:t>
      </w:r>
      <w:r w:rsidR="00486638">
        <w:rPr>
          <w:lang w:eastAsia="en-AU"/>
        </w:rPr>
        <w:t xml:space="preserve">6. </w:t>
      </w:r>
    </w:p>
    <w:p w14:paraId="7EAE1B68" w14:textId="41B9F3C3" w:rsidR="00136FC4" w:rsidRPr="00574396" w:rsidRDefault="00FF15BD" w:rsidP="0078531C">
      <w:pPr>
        <w:pStyle w:val="BodyText"/>
        <w:rPr>
          <w:lang w:eastAsia="en-AU"/>
        </w:rPr>
      </w:pPr>
      <w:r w:rsidRPr="00A023DD">
        <w:t>Carvajal MJ</w:t>
      </w:r>
      <w:r>
        <w:t>,</w:t>
      </w:r>
      <w:r w:rsidRPr="00A023DD">
        <w:t xml:space="preserve"> Popovici I</w:t>
      </w:r>
      <w:r>
        <w:t xml:space="preserve"> and</w:t>
      </w:r>
      <w:r w:rsidRPr="00A023DD">
        <w:t xml:space="preserve"> Hardigan PC</w:t>
      </w:r>
      <w:r w:rsidR="00C72364">
        <w:t xml:space="preserve"> (2021)</w:t>
      </w:r>
      <w:r w:rsidRPr="00A023DD">
        <w:t xml:space="preserve"> </w:t>
      </w:r>
      <w:r w:rsidR="00B00E79">
        <w:t>‘</w:t>
      </w:r>
      <w:hyperlink r:id="rId79" w:history="1">
        <w:r w:rsidRPr="00C72364">
          <w:rPr>
            <w:rStyle w:val="Hyperlink"/>
            <w:rFonts w:cs="Times New Roman"/>
            <w:szCs w:val="21"/>
          </w:rPr>
          <w:t xml:space="preserve">Gender and </w:t>
        </w:r>
        <w:r w:rsidR="00B00E79" w:rsidRPr="00C72364">
          <w:rPr>
            <w:rStyle w:val="Hyperlink"/>
            <w:rFonts w:cs="Times New Roman"/>
            <w:szCs w:val="21"/>
          </w:rPr>
          <w:t>pharmacists</w:t>
        </w:r>
        <w:r w:rsidR="00B00E79" w:rsidRPr="00C72364" w:rsidDel="002F55AB">
          <w:rPr>
            <w:rStyle w:val="Hyperlink"/>
            <w:rFonts w:cs="Times New Roman"/>
            <w:szCs w:val="21"/>
          </w:rPr>
          <w:t>’</w:t>
        </w:r>
        <w:r w:rsidR="00B00E79" w:rsidRPr="00C72364">
          <w:rPr>
            <w:rStyle w:val="Hyperlink"/>
            <w:rFonts w:cs="Times New Roman"/>
            <w:szCs w:val="21"/>
          </w:rPr>
          <w:t xml:space="preserve"> career satisfaction</w:t>
        </w:r>
        <w:r w:rsidRPr="00C72364">
          <w:rPr>
            <w:rStyle w:val="Hyperlink"/>
            <w:rFonts w:cs="Times New Roman"/>
            <w:szCs w:val="21"/>
          </w:rPr>
          <w:t xml:space="preserve"> in the United States</w:t>
        </w:r>
      </w:hyperlink>
      <w:r w:rsidR="00B00E79">
        <w:t>’</w:t>
      </w:r>
      <w:r w:rsidR="00DE3D1A">
        <w:t>,</w:t>
      </w:r>
      <w:r w:rsidRPr="00A023DD">
        <w:t xml:space="preserve"> </w:t>
      </w:r>
      <w:r w:rsidRPr="00325832">
        <w:rPr>
          <w:i/>
        </w:rPr>
        <w:t>Pharmacy</w:t>
      </w:r>
      <w:r w:rsidRPr="00A023DD">
        <w:t>, 9</w:t>
      </w:r>
      <w:r w:rsidR="002440DA">
        <w:t>(4)</w:t>
      </w:r>
      <w:r w:rsidRPr="00A023DD">
        <w:t>, 173</w:t>
      </w:r>
      <w:r w:rsidR="00BF1DE8">
        <w:t>-189</w:t>
      </w:r>
      <w:r w:rsidRPr="00A023DD">
        <w:t>.</w:t>
      </w:r>
    </w:p>
    <w:p w14:paraId="7D839E2C" w14:textId="4C34B3FA" w:rsidR="007F5B9C" w:rsidRDefault="007F5B9C" w:rsidP="007F5B9C">
      <w:pPr>
        <w:pStyle w:val="BodyText"/>
        <w:rPr>
          <w:lang w:eastAsia="en-AU"/>
        </w:rPr>
      </w:pPr>
      <w:r>
        <w:rPr>
          <w:lang w:eastAsia="en-AU"/>
        </w:rPr>
        <w:t xml:space="preserve">Cassells R and Duncan A (2020) </w:t>
      </w:r>
      <w:hyperlink r:id="rId80" w:history="1">
        <w:r w:rsidRPr="006E6EB9">
          <w:rPr>
            <w:rStyle w:val="Hyperlink"/>
            <w:rFonts w:cs="Times New Roman"/>
            <w:lang w:eastAsia="en-AU"/>
          </w:rPr>
          <w:t>Gender equity insights 2020: Delivering the business outcomes</w:t>
        </w:r>
      </w:hyperlink>
      <w:r>
        <w:rPr>
          <w:lang w:eastAsia="en-AU"/>
        </w:rPr>
        <w:t xml:space="preserve">, </w:t>
      </w:r>
      <w:r w:rsidRPr="004444B7">
        <w:rPr>
          <w:i/>
          <w:lang w:eastAsia="en-AU"/>
        </w:rPr>
        <w:t>BCEC</w:t>
      </w:r>
      <w:r w:rsidR="00AA7C05" w:rsidRPr="004444B7">
        <w:rPr>
          <w:i/>
          <w:lang w:eastAsia="en-AU"/>
        </w:rPr>
        <w:t>|WGEA Gender Equity Series</w:t>
      </w:r>
      <w:r w:rsidR="00AA7C05">
        <w:rPr>
          <w:lang w:eastAsia="en-AU"/>
        </w:rPr>
        <w:t xml:space="preserve">, Issue #5, accessed </w:t>
      </w:r>
      <w:r w:rsidR="006E6EB9">
        <w:rPr>
          <w:lang w:eastAsia="en-AU"/>
        </w:rPr>
        <w:t xml:space="preserve">1 July 2026. </w:t>
      </w:r>
    </w:p>
    <w:p w14:paraId="0DC57EF9" w14:textId="7DF7D185" w:rsidR="00BA2DE2" w:rsidRDefault="00BA2DE2" w:rsidP="0078531C">
      <w:pPr>
        <w:pStyle w:val="BodyText"/>
        <w:rPr>
          <w:lang w:eastAsia="en-AU"/>
        </w:rPr>
      </w:pPr>
      <w:r w:rsidRPr="00BA2DE2">
        <w:rPr>
          <w:lang w:eastAsia="en-AU"/>
        </w:rPr>
        <w:t>Commission for Gender Equality in the Public Sector (202</w:t>
      </w:r>
      <w:r>
        <w:rPr>
          <w:lang w:eastAsia="en-AU"/>
        </w:rPr>
        <w:t>1</w:t>
      </w:r>
      <w:r w:rsidRPr="00BA2DE2">
        <w:rPr>
          <w:lang w:eastAsia="en-AU"/>
        </w:rPr>
        <w:t>) </w:t>
      </w:r>
      <w:hyperlink r:id="rId81" w:history="1">
        <w:r w:rsidR="0036019D" w:rsidRPr="00325832">
          <w:rPr>
            <w:rStyle w:val="Hyperlink"/>
            <w:rFonts w:cs="Times New Roman"/>
            <w:lang w:eastAsia="en-AU"/>
          </w:rPr>
          <w:t>Baseline report:</w:t>
        </w:r>
        <w:r w:rsidR="0036019D" w:rsidRPr="0036019D">
          <w:rPr>
            <w:rStyle w:val="Hyperlink"/>
            <w:rFonts w:cs="Times New Roman"/>
            <w:lang w:eastAsia="en-AU"/>
          </w:rPr>
          <w:t>2021 workplace gender audit data analysis</w:t>
        </w:r>
      </w:hyperlink>
      <w:r w:rsidRPr="00BA2DE2">
        <w:rPr>
          <w:lang w:eastAsia="en-AU"/>
        </w:rPr>
        <w:t xml:space="preserve">, </w:t>
      </w:r>
      <w:r w:rsidR="009D3367" w:rsidRPr="00BA2DE2">
        <w:rPr>
          <w:lang w:eastAsia="en-AU"/>
        </w:rPr>
        <w:t>Commission for Gender Equality in the Public Sector</w:t>
      </w:r>
      <w:r w:rsidR="009D3367" w:rsidRPr="00BA2DE2" w:rsidDel="009D3367">
        <w:rPr>
          <w:lang w:eastAsia="en-AU"/>
        </w:rPr>
        <w:t xml:space="preserve"> </w:t>
      </w:r>
      <w:r w:rsidR="00D946F2">
        <w:rPr>
          <w:lang w:eastAsia="en-AU"/>
        </w:rPr>
        <w:t>website</w:t>
      </w:r>
      <w:r w:rsidRPr="00BA2DE2">
        <w:rPr>
          <w:lang w:eastAsia="en-AU"/>
        </w:rPr>
        <w:t xml:space="preserve">, accessed </w:t>
      </w:r>
      <w:r w:rsidR="00F2040A">
        <w:rPr>
          <w:lang w:eastAsia="en-AU"/>
        </w:rPr>
        <w:t xml:space="preserve">25 February 2026. </w:t>
      </w:r>
    </w:p>
    <w:p w14:paraId="60B40405" w14:textId="60C8DCF7" w:rsidR="0000406F" w:rsidRDefault="00E875A9" w:rsidP="0078531C">
      <w:pPr>
        <w:pStyle w:val="BodyText"/>
        <w:rPr>
          <w:lang w:eastAsia="en-AU"/>
        </w:rPr>
      </w:pPr>
      <w:r w:rsidRPr="00BA2DE2">
        <w:rPr>
          <w:lang w:eastAsia="en-AU"/>
        </w:rPr>
        <w:t>Commission for Gender Equality in the Public Sector</w:t>
      </w:r>
      <w:r w:rsidRPr="00BA2DE2" w:rsidDel="00E875A9">
        <w:rPr>
          <w:lang w:eastAsia="en-AU"/>
        </w:rPr>
        <w:t xml:space="preserve"> </w:t>
      </w:r>
      <w:r w:rsidR="00BA2DE2" w:rsidRPr="00BA2DE2">
        <w:rPr>
          <w:lang w:eastAsia="en-AU"/>
        </w:rPr>
        <w:t>(2023) </w:t>
      </w:r>
      <w:hyperlink r:id="rId82" w:history="1">
        <w:r w:rsidR="00BA2DE2" w:rsidRPr="00325832">
          <w:rPr>
            <w:rStyle w:val="Hyperlink"/>
            <w:rFonts w:cs="Times New Roman"/>
            <w:lang w:eastAsia="en-AU"/>
          </w:rPr>
          <w:t>Intersectionality at work: Building a baseline on compounded gender inequality in the Victorian public secto</w:t>
        </w:r>
        <w:r w:rsidR="00BA2DE2" w:rsidRPr="00BA2DE2">
          <w:rPr>
            <w:rStyle w:val="Hyperlink"/>
            <w:rFonts w:cs="Times New Roman"/>
            <w:i/>
            <w:iCs/>
            <w:lang w:eastAsia="en-AU"/>
          </w:rPr>
          <w:t>r</w:t>
        </w:r>
      </w:hyperlink>
      <w:r w:rsidR="00BA2DE2" w:rsidRPr="00BA2DE2">
        <w:rPr>
          <w:lang w:eastAsia="en-AU"/>
        </w:rPr>
        <w:t xml:space="preserve">, </w:t>
      </w:r>
      <w:r w:rsidR="009D3367" w:rsidRPr="00BA2DE2">
        <w:rPr>
          <w:lang w:eastAsia="en-AU"/>
        </w:rPr>
        <w:t>Commission for Gender Equality in the Public Sector</w:t>
      </w:r>
      <w:r w:rsidR="009D3367" w:rsidRPr="00BA2DE2" w:rsidDel="009D3367">
        <w:rPr>
          <w:lang w:eastAsia="en-AU"/>
        </w:rPr>
        <w:t xml:space="preserve"> </w:t>
      </w:r>
      <w:r w:rsidR="00D946F2">
        <w:rPr>
          <w:lang w:eastAsia="en-AU"/>
        </w:rPr>
        <w:t>website</w:t>
      </w:r>
      <w:r w:rsidR="00BA2DE2" w:rsidRPr="00BA2DE2">
        <w:rPr>
          <w:lang w:eastAsia="en-AU"/>
        </w:rPr>
        <w:t xml:space="preserve">, accessed </w:t>
      </w:r>
      <w:r w:rsidR="00F2040A">
        <w:rPr>
          <w:lang w:eastAsia="en-AU"/>
        </w:rPr>
        <w:t xml:space="preserve">25 February 2026. </w:t>
      </w:r>
    </w:p>
    <w:p w14:paraId="1AAAF581" w14:textId="2B2CD809" w:rsidR="00170572" w:rsidRDefault="00E875A9" w:rsidP="0078531C">
      <w:pPr>
        <w:pStyle w:val="BodyText"/>
        <w:rPr>
          <w:lang w:eastAsia="en-AU"/>
        </w:rPr>
      </w:pPr>
      <w:r w:rsidRPr="00BA2DE2">
        <w:rPr>
          <w:lang w:eastAsia="en-AU"/>
        </w:rPr>
        <w:t>Commission for Gender Equality in the Public Sector</w:t>
      </w:r>
      <w:r w:rsidRPr="00BA2DE2" w:rsidDel="00E875A9">
        <w:rPr>
          <w:lang w:eastAsia="en-AU"/>
        </w:rPr>
        <w:t xml:space="preserve"> </w:t>
      </w:r>
      <w:r w:rsidR="0000406F" w:rsidRPr="00BA2DE2">
        <w:rPr>
          <w:lang w:eastAsia="en-AU"/>
        </w:rPr>
        <w:t>(202</w:t>
      </w:r>
      <w:r w:rsidR="0000406F">
        <w:rPr>
          <w:lang w:eastAsia="en-AU"/>
        </w:rPr>
        <w:t>5</w:t>
      </w:r>
      <w:r w:rsidR="007F72AA">
        <w:rPr>
          <w:lang w:eastAsia="en-AU"/>
        </w:rPr>
        <w:t xml:space="preserve">) </w:t>
      </w:r>
      <w:hyperlink r:id="rId83" w:history="1">
        <w:r w:rsidR="007F72AA" w:rsidRPr="005A2309">
          <w:rPr>
            <w:rStyle w:val="Hyperlink"/>
            <w:rFonts w:cs="Times New Roman"/>
            <w:lang w:eastAsia="en-AU"/>
          </w:rPr>
          <w:t xml:space="preserve">Insights report: </w:t>
        </w:r>
        <w:r w:rsidR="0075506A">
          <w:rPr>
            <w:rStyle w:val="Hyperlink"/>
            <w:rFonts w:cs="Times New Roman"/>
            <w:lang w:eastAsia="en-AU"/>
          </w:rPr>
          <w:t xml:space="preserve">Gender </w:t>
        </w:r>
        <w:r w:rsidR="007F72AA" w:rsidRPr="005A2309">
          <w:rPr>
            <w:rStyle w:val="Hyperlink"/>
            <w:rFonts w:cs="Times New Roman"/>
            <w:lang w:eastAsia="en-AU"/>
          </w:rPr>
          <w:t>pay gap</w:t>
        </w:r>
      </w:hyperlink>
      <w:r w:rsidR="0000406F" w:rsidRPr="00BA2DE2">
        <w:rPr>
          <w:lang w:eastAsia="en-AU"/>
        </w:rPr>
        <w:t xml:space="preserve">, </w:t>
      </w:r>
      <w:r w:rsidR="009D3367" w:rsidRPr="00BA2DE2">
        <w:rPr>
          <w:lang w:eastAsia="en-AU"/>
        </w:rPr>
        <w:t>Commission for Gender Equality in the Public Sector</w:t>
      </w:r>
      <w:r w:rsidR="009D3367" w:rsidRPr="00BA2DE2" w:rsidDel="009D3367">
        <w:rPr>
          <w:lang w:eastAsia="en-AU"/>
        </w:rPr>
        <w:t xml:space="preserve"> </w:t>
      </w:r>
      <w:r w:rsidR="00D946F2">
        <w:rPr>
          <w:lang w:eastAsia="en-AU"/>
        </w:rPr>
        <w:t>website</w:t>
      </w:r>
      <w:r w:rsidR="0000406F" w:rsidRPr="00BA2DE2">
        <w:rPr>
          <w:lang w:eastAsia="en-AU"/>
        </w:rPr>
        <w:t xml:space="preserve">, accessed </w:t>
      </w:r>
      <w:r w:rsidR="0000406F">
        <w:rPr>
          <w:lang w:eastAsia="en-AU"/>
        </w:rPr>
        <w:t>25 February 2026.</w:t>
      </w:r>
    </w:p>
    <w:p w14:paraId="2579864C" w14:textId="355F35E8" w:rsidR="00870E53" w:rsidRDefault="00E875A9" w:rsidP="0078531C">
      <w:pPr>
        <w:pStyle w:val="BodyText"/>
        <w:rPr>
          <w:lang w:eastAsia="en-AU"/>
        </w:rPr>
      </w:pPr>
      <w:r w:rsidRPr="00BA2DE2">
        <w:rPr>
          <w:lang w:eastAsia="en-AU"/>
        </w:rPr>
        <w:t>Commission for Gender Equality in the Public Sector</w:t>
      </w:r>
      <w:r w:rsidRPr="00BA2DE2" w:rsidDel="00E875A9">
        <w:rPr>
          <w:lang w:eastAsia="en-AU"/>
        </w:rPr>
        <w:t xml:space="preserve"> </w:t>
      </w:r>
      <w:r w:rsidR="009D3367">
        <w:rPr>
          <w:lang w:eastAsia="en-AU"/>
        </w:rPr>
        <w:t>(</w:t>
      </w:r>
      <w:r w:rsidR="0000406F" w:rsidRPr="00BA2DE2">
        <w:rPr>
          <w:lang w:eastAsia="en-AU"/>
        </w:rPr>
        <w:t>202</w:t>
      </w:r>
      <w:r w:rsidR="0000406F">
        <w:rPr>
          <w:lang w:eastAsia="en-AU"/>
        </w:rPr>
        <w:t>5</w:t>
      </w:r>
      <w:r w:rsidR="0000406F" w:rsidRPr="00BA2DE2">
        <w:rPr>
          <w:lang w:eastAsia="en-AU"/>
        </w:rPr>
        <w:t>)</w:t>
      </w:r>
      <w:r w:rsidR="00A32E84">
        <w:rPr>
          <w:lang w:eastAsia="en-AU"/>
        </w:rPr>
        <w:t xml:space="preserve"> </w:t>
      </w:r>
      <w:hyperlink r:id="rId84" w:history="1">
        <w:r w:rsidR="00744758" w:rsidRPr="00CD5A5E">
          <w:rPr>
            <w:rStyle w:val="Hyperlink"/>
            <w:rFonts w:cs="Times New Roman"/>
            <w:lang w:eastAsia="en-AU"/>
          </w:rPr>
          <w:t>Insights</w:t>
        </w:r>
        <w:r w:rsidR="007F72AA" w:rsidRPr="00CD5A5E">
          <w:rPr>
            <w:rStyle w:val="Hyperlink"/>
            <w:rFonts w:cs="Times New Roman"/>
            <w:lang w:eastAsia="en-AU"/>
          </w:rPr>
          <w:t xml:space="preserve"> report: </w:t>
        </w:r>
        <w:r w:rsidR="0075506A">
          <w:rPr>
            <w:rStyle w:val="Hyperlink"/>
            <w:rFonts w:cs="Times New Roman"/>
            <w:lang w:eastAsia="en-AU"/>
          </w:rPr>
          <w:t>S</w:t>
        </w:r>
        <w:r w:rsidR="007F72AA" w:rsidRPr="00CD5A5E">
          <w:rPr>
            <w:rStyle w:val="Hyperlink"/>
            <w:rFonts w:cs="Times New Roman"/>
            <w:lang w:eastAsia="en-AU"/>
          </w:rPr>
          <w:t>exual harassment</w:t>
        </w:r>
      </w:hyperlink>
      <w:r w:rsidR="0000406F" w:rsidRPr="005A2309">
        <w:rPr>
          <w:lang w:eastAsia="en-AU"/>
        </w:rPr>
        <w:t>,</w:t>
      </w:r>
      <w:r w:rsidR="0000406F" w:rsidRPr="00BA2DE2">
        <w:rPr>
          <w:lang w:eastAsia="en-AU"/>
        </w:rPr>
        <w:t xml:space="preserve"> </w:t>
      </w:r>
      <w:r w:rsidR="009D3367" w:rsidRPr="00BA2DE2">
        <w:rPr>
          <w:lang w:eastAsia="en-AU"/>
        </w:rPr>
        <w:t>Commission for Gender Equality in the Public Sector</w:t>
      </w:r>
      <w:r w:rsidR="009D3367" w:rsidRPr="00BA2DE2" w:rsidDel="009D3367">
        <w:rPr>
          <w:lang w:eastAsia="en-AU"/>
        </w:rPr>
        <w:t xml:space="preserve"> </w:t>
      </w:r>
      <w:r w:rsidR="00D946F2">
        <w:rPr>
          <w:lang w:eastAsia="en-AU"/>
        </w:rPr>
        <w:t>website</w:t>
      </w:r>
      <w:r w:rsidR="0000406F" w:rsidRPr="00BA2DE2">
        <w:rPr>
          <w:lang w:eastAsia="en-AU"/>
        </w:rPr>
        <w:t xml:space="preserve">, </w:t>
      </w:r>
      <w:r w:rsidR="00744758">
        <w:rPr>
          <w:lang w:eastAsia="en-AU"/>
        </w:rPr>
        <w:t xml:space="preserve">accessed 25 February 2026. </w:t>
      </w:r>
    </w:p>
    <w:p w14:paraId="16F3194B" w14:textId="1FF758BF" w:rsidR="001E6DF4" w:rsidRDefault="001E6DF4" w:rsidP="0078531C">
      <w:pPr>
        <w:pStyle w:val="BodyText"/>
        <w:rPr>
          <w:lang w:eastAsia="en-AU"/>
        </w:rPr>
      </w:pPr>
      <w:r w:rsidRPr="001E6DF4">
        <w:t>Chilazi</w:t>
      </w:r>
      <w:r w:rsidR="00D23C46">
        <w:t xml:space="preserve"> S</w:t>
      </w:r>
      <w:r w:rsidRPr="001E6DF4">
        <w:t>, Bohnet</w:t>
      </w:r>
      <w:r w:rsidR="004F2A2B">
        <w:t xml:space="preserve"> I</w:t>
      </w:r>
      <w:r w:rsidRPr="001E6DF4">
        <w:t xml:space="preserve"> and Hauser</w:t>
      </w:r>
      <w:r w:rsidR="004F2A2B">
        <w:t xml:space="preserve"> </w:t>
      </w:r>
      <w:r w:rsidR="00E962D0">
        <w:t>O</w:t>
      </w:r>
      <w:r w:rsidRPr="001E6DF4">
        <w:t xml:space="preserve"> </w:t>
      </w:r>
      <w:r w:rsidR="00E962D0">
        <w:t>(</w:t>
      </w:r>
      <w:r w:rsidRPr="001E6DF4">
        <w:t>2021</w:t>
      </w:r>
      <w:r w:rsidR="00E962D0">
        <w:t xml:space="preserve">) </w:t>
      </w:r>
      <w:hyperlink r:id="rId85" w:history="1">
        <w:r w:rsidR="009307AE" w:rsidRPr="007A315A">
          <w:rPr>
            <w:rStyle w:val="Hyperlink"/>
            <w:rFonts w:cs="Times New Roman"/>
          </w:rPr>
          <w:t>Achieving gender balance at all levels of your company</w:t>
        </w:r>
      </w:hyperlink>
      <w:r w:rsidR="009307AE">
        <w:t>, Harvard Business Review</w:t>
      </w:r>
      <w:r w:rsidR="006B22B4">
        <w:t xml:space="preserve"> website</w:t>
      </w:r>
      <w:r w:rsidR="001B4672">
        <w:t xml:space="preserve">, </w:t>
      </w:r>
      <w:r w:rsidR="006B22B4">
        <w:t xml:space="preserve">accessed 18 June 2026. </w:t>
      </w:r>
    </w:p>
    <w:p w14:paraId="223F8BA6" w14:textId="56081891" w:rsidR="008D1BCA" w:rsidRDefault="008D1BCA" w:rsidP="0078531C">
      <w:pPr>
        <w:pStyle w:val="BodyText"/>
        <w:rPr>
          <w:lang w:eastAsia="en-AU"/>
        </w:rPr>
      </w:pPr>
      <w:r w:rsidRPr="008D1BCA">
        <w:rPr>
          <w:lang w:eastAsia="en-AU"/>
        </w:rPr>
        <w:t>Dangar K, Gunawansa M, Blackham A, Ruppanner L, Gaze B, Ainsworth S, Churchill B, Acosta Rueda L and Patrick C</w:t>
      </w:r>
      <w:r>
        <w:rPr>
          <w:lang w:eastAsia="en-AU"/>
        </w:rPr>
        <w:t xml:space="preserve"> (2023)</w:t>
      </w:r>
      <w:r w:rsidRPr="008D1BCA">
        <w:rPr>
          <w:lang w:eastAsia="en-AU"/>
        </w:rPr>
        <w:t xml:space="preserve"> </w:t>
      </w:r>
      <w:r w:rsidR="002F55AB">
        <w:rPr>
          <w:lang w:eastAsia="en-AU"/>
        </w:rPr>
        <w:t>‘</w:t>
      </w:r>
      <w:hyperlink r:id="rId86" w:history="1">
        <w:r w:rsidRPr="00444188">
          <w:rPr>
            <w:rStyle w:val="Hyperlink"/>
            <w:rFonts w:cs="Times New Roman"/>
            <w:lang w:eastAsia="en-AU"/>
          </w:rPr>
          <w:t>Caring and workplace gender equality in the Public Sector in Victoria: Final Project Report’</w:t>
        </w:r>
      </w:hyperlink>
      <w:r w:rsidRPr="008D1BCA">
        <w:rPr>
          <w:lang w:eastAsia="en-AU"/>
        </w:rPr>
        <w:t>, University of Melbourne</w:t>
      </w:r>
      <w:r w:rsidR="00444188">
        <w:rPr>
          <w:lang w:eastAsia="en-AU"/>
        </w:rPr>
        <w:t xml:space="preserve">, accessed 15 April 2025. </w:t>
      </w:r>
    </w:p>
    <w:p w14:paraId="6E0F919C" w14:textId="1B54CBC4" w:rsidR="00863739" w:rsidRDefault="00863739" w:rsidP="0078531C">
      <w:pPr>
        <w:pStyle w:val="BodyText"/>
        <w:rPr>
          <w:lang w:eastAsia="en-AU"/>
        </w:rPr>
      </w:pPr>
      <w:r w:rsidRPr="00863739">
        <w:rPr>
          <w:lang w:eastAsia="en-AU"/>
        </w:rPr>
        <w:t>Dockery AM</w:t>
      </w:r>
      <w:r w:rsidR="00AB1313">
        <w:rPr>
          <w:lang w:eastAsia="en-AU"/>
        </w:rPr>
        <w:t xml:space="preserve"> and </w:t>
      </w:r>
      <w:r w:rsidRPr="00863739">
        <w:rPr>
          <w:lang w:eastAsia="en-AU"/>
        </w:rPr>
        <w:t xml:space="preserve">Buchler S (2023) </w:t>
      </w:r>
      <w:r w:rsidR="005C30DE">
        <w:rPr>
          <w:lang w:eastAsia="en-AU"/>
        </w:rPr>
        <w:t>‘</w:t>
      </w:r>
      <w:hyperlink r:id="rId87" w:history="1">
        <w:r w:rsidRPr="00AB1313">
          <w:rPr>
            <w:rStyle w:val="Hyperlink"/>
            <w:rFonts w:cs="Times New Roman"/>
            <w:lang w:eastAsia="en-AU"/>
          </w:rPr>
          <w:t>Women</w:t>
        </w:r>
        <w:r w:rsidR="002F55AB">
          <w:rPr>
            <w:rStyle w:val="Hyperlink"/>
            <w:rFonts w:cs="Times New Roman"/>
            <w:lang w:eastAsia="en-AU"/>
          </w:rPr>
          <w:t>’</w:t>
        </w:r>
        <w:r w:rsidRPr="00AB1313">
          <w:rPr>
            <w:rStyle w:val="Hyperlink"/>
            <w:rFonts w:cs="Times New Roman"/>
            <w:lang w:eastAsia="en-AU"/>
          </w:rPr>
          <w:t>s work: Myth or reality? occupational feminisation and women</w:t>
        </w:r>
        <w:r w:rsidR="002F55AB">
          <w:rPr>
            <w:rStyle w:val="Hyperlink"/>
            <w:rFonts w:cs="Times New Roman"/>
            <w:lang w:eastAsia="en-AU"/>
          </w:rPr>
          <w:t>’</w:t>
        </w:r>
        <w:r w:rsidRPr="00AB1313">
          <w:rPr>
            <w:rStyle w:val="Hyperlink"/>
            <w:rFonts w:cs="Times New Roman"/>
            <w:lang w:eastAsia="en-AU"/>
          </w:rPr>
          <w:t>s job satisfaction in Australia</w:t>
        </w:r>
      </w:hyperlink>
      <w:r w:rsidR="005C30DE">
        <w:t>’,</w:t>
      </w:r>
      <w:r w:rsidRPr="00863739">
        <w:rPr>
          <w:lang w:eastAsia="en-AU"/>
        </w:rPr>
        <w:t xml:space="preserve"> </w:t>
      </w:r>
      <w:r w:rsidRPr="00325832">
        <w:rPr>
          <w:i/>
          <w:lang w:eastAsia="en-AU"/>
        </w:rPr>
        <w:t>Australian Journal of Labour Economics</w:t>
      </w:r>
      <w:r w:rsidRPr="00863739">
        <w:rPr>
          <w:lang w:eastAsia="en-AU"/>
        </w:rPr>
        <w:t>, 26(1)</w:t>
      </w:r>
      <w:r w:rsidR="005C30DE">
        <w:rPr>
          <w:lang w:eastAsia="en-AU"/>
        </w:rPr>
        <w:t>:</w:t>
      </w:r>
      <w:r w:rsidRPr="00863739">
        <w:rPr>
          <w:lang w:eastAsia="en-AU"/>
        </w:rPr>
        <w:t>51-83.</w:t>
      </w:r>
    </w:p>
    <w:p w14:paraId="76390514" w14:textId="1BF05592" w:rsidR="005834CB" w:rsidRDefault="005834CB" w:rsidP="0078531C">
      <w:pPr>
        <w:pStyle w:val="BodyText"/>
        <w:rPr>
          <w:lang w:eastAsia="en-AU"/>
        </w:rPr>
      </w:pPr>
      <w:r>
        <w:rPr>
          <w:lang w:eastAsia="en-AU"/>
        </w:rPr>
        <w:t xml:space="preserve">Eikhof DR (2012) </w:t>
      </w:r>
      <w:hyperlink r:id="rId88" w:history="1">
        <w:r w:rsidRPr="00D53819">
          <w:rPr>
            <w:rStyle w:val="Hyperlink"/>
            <w:rFonts w:cs="Times New Roman"/>
            <w:lang w:eastAsia="en-AU"/>
          </w:rPr>
          <w:t>“A double-edged sword”: Twenty-first century workplace trends and gender equality</w:t>
        </w:r>
      </w:hyperlink>
      <w:r>
        <w:rPr>
          <w:lang w:eastAsia="en-AU"/>
        </w:rPr>
        <w:t xml:space="preserve">, </w:t>
      </w:r>
      <w:r w:rsidRPr="009545A0">
        <w:rPr>
          <w:i/>
          <w:iCs/>
          <w:lang w:eastAsia="en-AU"/>
        </w:rPr>
        <w:t>Gender in Management: An International Journal</w:t>
      </w:r>
      <w:r>
        <w:rPr>
          <w:lang w:eastAsia="en-AU"/>
        </w:rPr>
        <w:t xml:space="preserve">, 27(1):7-22. </w:t>
      </w:r>
    </w:p>
    <w:p w14:paraId="7CF5E53F" w14:textId="2E3207D9" w:rsidR="005834CB" w:rsidRDefault="005834CB" w:rsidP="0078531C">
      <w:pPr>
        <w:pStyle w:val="BodyText"/>
        <w:rPr>
          <w:lang w:eastAsia="en-AU"/>
        </w:rPr>
      </w:pPr>
      <w:r>
        <w:rPr>
          <w:lang w:eastAsia="en-AU"/>
        </w:rPr>
        <w:t xml:space="preserve">Elson D (2017) </w:t>
      </w:r>
      <w:r w:rsidR="005C30DE">
        <w:rPr>
          <w:lang w:eastAsia="en-AU"/>
        </w:rPr>
        <w:t>‘</w:t>
      </w:r>
      <w:hyperlink r:id="rId89" w:history="1">
        <w:r w:rsidRPr="001B4902">
          <w:rPr>
            <w:rStyle w:val="Hyperlink"/>
            <w:rFonts w:cs="Times New Roman"/>
            <w:lang w:eastAsia="en-AU"/>
          </w:rPr>
          <w:t xml:space="preserve">Recognize, reduce, and redistribute unpaid care work: </w:t>
        </w:r>
        <w:r>
          <w:rPr>
            <w:rStyle w:val="Hyperlink"/>
            <w:rFonts w:cs="Times New Roman"/>
            <w:lang w:eastAsia="en-AU"/>
          </w:rPr>
          <w:t>H</w:t>
        </w:r>
        <w:r w:rsidRPr="001B4902">
          <w:rPr>
            <w:rStyle w:val="Hyperlink"/>
            <w:rFonts w:cs="Times New Roman"/>
            <w:lang w:eastAsia="en-AU"/>
          </w:rPr>
          <w:t>ow to close the gender gap</w:t>
        </w:r>
      </w:hyperlink>
      <w:r w:rsidR="005C30DE">
        <w:t>’</w:t>
      </w:r>
      <w:r>
        <w:rPr>
          <w:lang w:eastAsia="en-AU"/>
        </w:rPr>
        <w:t xml:space="preserve">, </w:t>
      </w:r>
      <w:r w:rsidRPr="00325832">
        <w:rPr>
          <w:i/>
          <w:lang w:eastAsia="en-AU"/>
        </w:rPr>
        <w:t>New Labor Forum</w:t>
      </w:r>
      <w:r>
        <w:rPr>
          <w:lang w:eastAsia="en-AU"/>
        </w:rPr>
        <w:t>, 26(2):52-61.</w:t>
      </w:r>
    </w:p>
    <w:p w14:paraId="59AAA6CE" w14:textId="41399C15" w:rsidR="009874E1" w:rsidRDefault="009874E1" w:rsidP="0078531C">
      <w:pPr>
        <w:pStyle w:val="BodyText"/>
        <w:rPr>
          <w:lang w:eastAsia="en-AU"/>
        </w:rPr>
      </w:pPr>
      <w:r>
        <w:rPr>
          <w:lang w:eastAsia="en-AU"/>
        </w:rPr>
        <w:t>Fleming C and K</w:t>
      </w:r>
      <w:r w:rsidR="00440D6D">
        <w:rPr>
          <w:lang w:eastAsia="en-AU"/>
        </w:rPr>
        <w:t>ler P (</w:t>
      </w:r>
      <w:r w:rsidR="00AD3C5E">
        <w:rPr>
          <w:lang w:eastAsia="en-AU"/>
        </w:rPr>
        <w:t xml:space="preserve">2014) </w:t>
      </w:r>
      <w:r w:rsidR="005C30DE">
        <w:rPr>
          <w:lang w:eastAsia="en-AU"/>
        </w:rPr>
        <w:t>‘</w:t>
      </w:r>
      <w:hyperlink r:id="rId90" w:history="1">
        <w:r w:rsidR="00AD3C5E" w:rsidRPr="00CC3816">
          <w:rPr>
            <w:rStyle w:val="Hyperlink"/>
            <w:rFonts w:cs="Times New Roman"/>
            <w:lang w:eastAsia="en-AU"/>
          </w:rPr>
          <w:t>Female overeducation, job satisfaction and the impact of children at home in Australia</w:t>
        </w:r>
      </w:hyperlink>
      <w:r w:rsidR="005C30DE">
        <w:t>’</w:t>
      </w:r>
      <w:r w:rsidR="00DE3D1A">
        <w:rPr>
          <w:lang w:eastAsia="en-AU"/>
        </w:rPr>
        <w:t xml:space="preserve">, </w:t>
      </w:r>
      <w:r w:rsidR="00E970E2" w:rsidRPr="00325832">
        <w:rPr>
          <w:i/>
          <w:lang w:eastAsia="en-AU"/>
        </w:rPr>
        <w:t>Economic Analysis and Policy</w:t>
      </w:r>
      <w:r w:rsidR="00E970E2">
        <w:rPr>
          <w:lang w:eastAsia="en-AU"/>
        </w:rPr>
        <w:t>, 44(2)</w:t>
      </w:r>
      <w:r w:rsidR="005C30DE">
        <w:rPr>
          <w:lang w:eastAsia="en-AU"/>
        </w:rPr>
        <w:t>:</w:t>
      </w:r>
      <w:r w:rsidR="00CC3816">
        <w:rPr>
          <w:lang w:eastAsia="en-AU"/>
        </w:rPr>
        <w:t>143-155.</w:t>
      </w:r>
    </w:p>
    <w:p w14:paraId="2D2C21A2" w14:textId="73EA9859" w:rsidR="00FA152B" w:rsidRDefault="00FA152B" w:rsidP="0078531C">
      <w:pPr>
        <w:pStyle w:val="BodyText"/>
        <w:rPr>
          <w:lang w:eastAsia="en-AU"/>
        </w:rPr>
      </w:pPr>
      <w:r w:rsidRPr="00FA152B">
        <w:rPr>
          <w:lang w:eastAsia="en-AU"/>
        </w:rPr>
        <w:t>Gerson</w:t>
      </w:r>
      <w:r w:rsidR="00C774B7">
        <w:rPr>
          <w:lang w:eastAsia="en-AU"/>
        </w:rPr>
        <w:t xml:space="preserve"> LB</w:t>
      </w:r>
      <w:r w:rsidRPr="00FA152B">
        <w:rPr>
          <w:lang w:eastAsia="en-AU"/>
        </w:rPr>
        <w:t>, Twomey</w:t>
      </w:r>
      <w:r w:rsidR="00C774B7">
        <w:rPr>
          <w:lang w:eastAsia="en-AU"/>
        </w:rPr>
        <w:t xml:space="preserve"> K</w:t>
      </w:r>
      <w:r w:rsidRPr="00FA152B">
        <w:rPr>
          <w:lang w:eastAsia="en-AU"/>
        </w:rPr>
        <w:t>, Hecht</w:t>
      </w:r>
      <w:r w:rsidR="00C774B7">
        <w:rPr>
          <w:lang w:eastAsia="en-AU"/>
        </w:rPr>
        <w:t xml:space="preserve"> G</w:t>
      </w:r>
      <w:r w:rsidRPr="00FA152B">
        <w:rPr>
          <w:lang w:eastAsia="en-AU"/>
        </w:rPr>
        <w:t>, Lee</w:t>
      </w:r>
      <w:r w:rsidR="00C774B7">
        <w:rPr>
          <w:lang w:eastAsia="en-AU"/>
        </w:rPr>
        <w:t xml:space="preserve"> L</w:t>
      </w:r>
      <w:r w:rsidRPr="00FA152B">
        <w:rPr>
          <w:lang w:eastAsia="en-AU"/>
        </w:rPr>
        <w:t>, McQuaid</w:t>
      </w:r>
      <w:r w:rsidR="00C774B7">
        <w:rPr>
          <w:lang w:eastAsia="en-AU"/>
        </w:rPr>
        <w:t xml:space="preserve"> K</w:t>
      </w:r>
      <w:r w:rsidRPr="00FA152B">
        <w:rPr>
          <w:lang w:eastAsia="en-AU"/>
        </w:rPr>
        <w:t>, Pizarro</w:t>
      </w:r>
      <w:r w:rsidR="00C774B7">
        <w:rPr>
          <w:lang w:eastAsia="en-AU"/>
        </w:rPr>
        <w:t xml:space="preserve"> TT</w:t>
      </w:r>
      <w:r w:rsidRPr="00FA152B">
        <w:rPr>
          <w:lang w:eastAsia="en-AU"/>
        </w:rPr>
        <w:t>, Street</w:t>
      </w:r>
      <w:r w:rsidR="00C774B7">
        <w:rPr>
          <w:lang w:eastAsia="en-AU"/>
        </w:rPr>
        <w:t xml:space="preserve"> S</w:t>
      </w:r>
      <w:r w:rsidRPr="00FA152B">
        <w:rPr>
          <w:lang w:eastAsia="en-AU"/>
        </w:rPr>
        <w:t>, Yoshida</w:t>
      </w:r>
      <w:r w:rsidR="00C774B7">
        <w:rPr>
          <w:lang w:eastAsia="en-AU"/>
        </w:rPr>
        <w:t xml:space="preserve"> C</w:t>
      </w:r>
      <w:r w:rsidR="00E14F80">
        <w:rPr>
          <w:lang w:eastAsia="en-AU"/>
        </w:rPr>
        <w:t xml:space="preserve"> and</w:t>
      </w:r>
      <w:r w:rsidRPr="00FA152B">
        <w:rPr>
          <w:lang w:eastAsia="en-AU"/>
        </w:rPr>
        <w:t xml:space="preserve"> Early</w:t>
      </w:r>
      <w:r w:rsidR="00C774B7">
        <w:rPr>
          <w:lang w:eastAsia="en-AU"/>
        </w:rPr>
        <w:t xml:space="preserve"> D</w:t>
      </w:r>
      <w:r w:rsidR="00E14F80">
        <w:rPr>
          <w:lang w:eastAsia="en-AU"/>
        </w:rPr>
        <w:t xml:space="preserve"> (2007)</w:t>
      </w:r>
      <w:r w:rsidRPr="00FA152B">
        <w:rPr>
          <w:lang w:eastAsia="en-AU"/>
        </w:rPr>
        <w:t xml:space="preserve"> </w:t>
      </w:r>
      <w:r w:rsidR="00BF1666">
        <w:rPr>
          <w:lang w:eastAsia="en-AU"/>
        </w:rPr>
        <w:t>‘</w:t>
      </w:r>
      <w:hyperlink r:id="rId91" w:history="1">
        <w:r w:rsidRPr="00BF1666">
          <w:rPr>
            <w:rStyle w:val="Hyperlink"/>
            <w:rFonts w:cs="Times New Roman"/>
            <w:lang w:eastAsia="en-AU"/>
          </w:rPr>
          <w:t xml:space="preserve">Does Gender </w:t>
        </w:r>
        <w:r w:rsidR="009F7DA5" w:rsidRPr="00BF1666">
          <w:rPr>
            <w:rStyle w:val="Hyperlink"/>
            <w:rFonts w:cs="Times New Roman"/>
            <w:lang w:eastAsia="en-AU"/>
          </w:rPr>
          <w:t>affect career satisfaction and advancement in gastroenterology? Results of an aga institute–sponsored surve</w:t>
        </w:r>
        <w:r w:rsidRPr="00BF1666">
          <w:rPr>
            <w:rStyle w:val="Hyperlink"/>
            <w:rFonts w:cs="Times New Roman"/>
            <w:lang w:eastAsia="en-AU"/>
          </w:rPr>
          <w:t>y</w:t>
        </w:r>
      </w:hyperlink>
      <w:r w:rsidR="00BF1666">
        <w:rPr>
          <w:lang w:eastAsia="en-AU"/>
        </w:rPr>
        <w:t>’</w:t>
      </w:r>
      <w:r w:rsidRPr="00FA152B">
        <w:rPr>
          <w:lang w:eastAsia="en-AU"/>
        </w:rPr>
        <w:t xml:space="preserve">, </w:t>
      </w:r>
      <w:r w:rsidRPr="00325832">
        <w:rPr>
          <w:i/>
          <w:lang w:eastAsia="en-AU"/>
        </w:rPr>
        <w:t>Gastroenterology</w:t>
      </w:r>
      <w:r w:rsidRPr="00FA152B">
        <w:rPr>
          <w:lang w:eastAsia="en-AU"/>
        </w:rPr>
        <w:t>, 132</w:t>
      </w:r>
      <w:r w:rsidR="00E14F80">
        <w:rPr>
          <w:lang w:eastAsia="en-AU"/>
        </w:rPr>
        <w:t>(</w:t>
      </w:r>
      <w:r w:rsidRPr="00FA152B">
        <w:rPr>
          <w:lang w:eastAsia="en-AU"/>
        </w:rPr>
        <w:t>4</w:t>
      </w:r>
      <w:r w:rsidR="00E14F80">
        <w:rPr>
          <w:lang w:eastAsia="en-AU"/>
        </w:rPr>
        <w:t>)</w:t>
      </w:r>
      <w:r w:rsidR="005C30DE">
        <w:rPr>
          <w:lang w:eastAsia="en-AU"/>
        </w:rPr>
        <w:t>:</w:t>
      </w:r>
      <w:r w:rsidRPr="00FA152B">
        <w:rPr>
          <w:lang w:eastAsia="en-AU"/>
        </w:rPr>
        <w:t>1598-1606</w:t>
      </w:r>
      <w:r w:rsidR="00C774B7">
        <w:rPr>
          <w:lang w:eastAsia="en-AU"/>
        </w:rPr>
        <w:t>.</w:t>
      </w:r>
    </w:p>
    <w:p w14:paraId="365CDC4E" w14:textId="35BA264F" w:rsidR="00B94C27" w:rsidRPr="00AC2028" w:rsidRDefault="00B94C27" w:rsidP="0078531C">
      <w:pPr>
        <w:pStyle w:val="BodyText"/>
        <w:rPr>
          <w:lang w:val="en-US" w:eastAsia="en-AU"/>
        </w:rPr>
      </w:pPr>
      <w:r>
        <w:rPr>
          <w:lang w:eastAsia="en-AU"/>
        </w:rPr>
        <w:t xml:space="preserve">Ghalebeigi </w:t>
      </w:r>
      <w:r w:rsidR="00E859F5" w:rsidRPr="00E859F5">
        <w:rPr>
          <w:lang w:val="en-US" w:eastAsia="en-AU"/>
        </w:rPr>
        <w:t>A</w:t>
      </w:r>
      <w:r w:rsidR="00E859F5">
        <w:rPr>
          <w:lang w:val="en-US" w:eastAsia="en-AU"/>
        </w:rPr>
        <w:t xml:space="preserve">, </w:t>
      </w:r>
      <w:r w:rsidR="00E859F5" w:rsidRPr="00E859F5">
        <w:rPr>
          <w:lang w:val="en-US" w:eastAsia="en-AU"/>
        </w:rPr>
        <w:t>Gekara</w:t>
      </w:r>
      <w:r w:rsidR="00E859F5">
        <w:rPr>
          <w:lang w:val="en-US" w:eastAsia="en-AU"/>
        </w:rPr>
        <w:t xml:space="preserve"> V, </w:t>
      </w:r>
      <w:r w:rsidR="00E859F5" w:rsidRPr="00E859F5">
        <w:rPr>
          <w:lang w:val="en-US" w:eastAsia="en-AU"/>
        </w:rPr>
        <w:t>Douglas</w:t>
      </w:r>
      <w:r w:rsidR="00E859F5">
        <w:rPr>
          <w:lang w:val="en-US" w:eastAsia="en-AU"/>
        </w:rPr>
        <w:t xml:space="preserve"> K,</w:t>
      </w:r>
      <w:r w:rsidR="00E859F5" w:rsidRPr="00E859F5">
        <w:rPr>
          <w:lang w:val="en-US" w:eastAsia="en-AU"/>
        </w:rPr>
        <w:t xml:space="preserve"> Ferraro</w:t>
      </w:r>
      <w:r w:rsidR="00E859F5">
        <w:rPr>
          <w:lang w:val="en-US" w:eastAsia="en-AU"/>
        </w:rPr>
        <w:t xml:space="preserve"> S, </w:t>
      </w:r>
      <w:r w:rsidR="00E859F5" w:rsidRPr="00E859F5">
        <w:rPr>
          <w:lang w:val="en-US" w:eastAsia="en-AU"/>
        </w:rPr>
        <w:t>Wang</w:t>
      </w:r>
      <w:r w:rsidR="00E859F5">
        <w:rPr>
          <w:lang w:val="en-US" w:eastAsia="en-AU"/>
        </w:rPr>
        <w:t xml:space="preserve"> L and</w:t>
      </w:r>
      <w:r w:rsidR="00E859F5" w:rsidRPr="00E859F5">
        <w:rPr>
          <w:lang w:val="en-US" w:eastAsia="en-AU"/>
        </w:rPr>
        <w:t xml:space="preserve"> Safari</w:t>
      </w:r>
      <w:r w:rsidR="00E859F5">
        <w:rPr>
          <w:lang w:val="en-US" w:eastAsia="en-AU"/>
        </w:rPr>
        <w:t xml:space="preserve"> M (2022)</w:t>
      </w:r>
      <w:r w:rsidR="00ED57D0">
        <w:rPr>
          <w:lang w:val="en-US" w:eastAsia="en-AU"/>
        </w:rPr>
        <w:t xml:space="preserve"> </w:t>
      </w:r>
      <w:r w:rsidR="002F55AB">
        <w:rPr>
          <w:lang w:val="en-US" w:eastAsia="en-AU"/>
        </w:rPr>
        <w:t>‘</w:t>
      </w:r>
      <w:hyperlink r:id="rId92" w:history="1">
        <w:r w:rsidR="00ED57D0" w:rsidRPr="00AC2028">
          <w:rPr>
            <w:rStyle w:val="Hyperlink"/>
            <w:rFonts w:cs="Times New Roman"/>
            <w:lang w:val="en-US" w:eastAsia="en-AU"/>
          </w:rPr>
          <w:t>Assessing progress in implementing the Gender Equality Act 2020</w:t>
        </w:r>
        <w:r w:rsidR="00A026CA" w:rsidRPr="00AC2028" w:rsidDel="002F55AB">
          <w:rPr>
            <w:rStyle w:val="Hyperlink"/>
            <w:rFonts w:cs="Times New Roman"/>
            <w:lang w:val="en-US" w:eastAsia="en-AU"/>
          </w:rPr>
          <w:t>’</w:t>
        </w:r>
      </w:hyperlink>
      <w:r w:rsidR="00A026CA">
        <w:rPr>
          <w:lang w:val="en-US" w:eastAsia="en-AU"/>
        </w:rPr>
        <w:t xml:space="preserve">, RMIT University, accessed 1 June 2026. </w:t>
      </w:r>
    </w:p>
    <w:p w14:paraId="2F673B88" w14:textId="78A29819" w:rsidR="00C94499" w:rsidRDefault="000F4F8B" w:rsidP="0078531C">
      <w:pPr>
        <w:pStyle w:val="BodyText"/>
        <w:rPr>
          <w:lang w:eastAsia="en-AU"/>
        </w:rPr>
      </w:pPr>
      <w:r>
        <w:rPr>
          <w:lang w:eastAsia="en-AU"/>
        </w:rPr>
        <w:t>Gould JA, Kulik CT and Sardeshmukh</w:t>
      </w:r>
      <w:r w:rsidR="00620AF0">
        <w:rPr>
          <w:lang w:eastAsia="en-AU"/>
        </w:rPr>
        <w:t xml:space="preserve"> SR (201</w:t>
      </w:r>
      <w:r w:rsidR="00C12E51">
        <w:rPr>
          <w:lang w:eastAsia="en-AU"/>
        </w:rPr>
        <w:t>8</w:t>
      </w:r>
      <w:r w:rsidR="00620AF0">
        <w:rPr>
          <w:lang w:eastAsia="en-AU"/>
        </w:rPr>
        <w:t xml:space="preserve">) </w:t>
      </w:r>
      <w:r w:rsidR="009F7DA5">
        <w:rPr>
          <w:lang w:eastAsia="en-AU"/>
        </w:rPr>
        <w:t>‘</w:t>
      </w:r>
      <w:hyperlink r:id="rId93" w:history="1">
        <w:r w:rsidR="00524BC6" w:rsidRPr="00731944">
          <w:rPr>
            <w:rStyle w:val="Hyperlink"/>
            <w:rFonts w:cs="Times New Roman"/>
            <w:lang w:eastAsia="en-AU"/>
          </w:rPr>
          <w:t>Gender diversity from the top: the trickle-down effect in the Australian public sector</w:t>
        </w:r>
      </w:hyperlink>
      <w:r w:rsidR="009F7DA5">
        <w:t>’</w:t>
      </w:r>
      <w:r w:rsidR="00620AF0">
        <w:rPr>
          <w:lang w:eastAsia="en-AU"/>
        </w:rPr>
        <w:t xml:space="preserve">, </w:t>
      </w:r>
      <w:r w:rsidR="00524BC6" w:rsidRPr="00CD5A5E">
        <w:rPr>
          <w:i/>
          <w:iCs/>
          <w:lang w:eastAsia="en-AU"/>
        </w:rPr>
        <w:t>Asia Pacific Journal of Human Resources</w:t>
      </w:r>
      <w:r w:rsidR="00524BC6">
        <w:rPr>
          <w:lang w:eastAsia="en-AU"/>
        </w:rPr>
        <w:t xml:space="preserve">, </w:t>
      </w:r>
      <w:r w:rsidR="00804097">
        <w:rPr>
          <w:lang w:eastAsia="en-AU"/>
        </w:rPr>
        <w:t>56(1):6-30.</w:t>
      </w:r>
    </w:p>
    <w:p w14:paraId="54FB751C" w14:textId="723D51F1" w:rsidR="00CF7875" w:rsidRDefault="000E37D4" w:rsidP="0078531C">
      <w:pPr>
        <w:pStyle w:val="BodyText"/>
      </w:pPr>
      <w:r>
        <w:t>JSA (Jobs and Skills Australia) (2025)</w:t>
      </w:r>
      <w:r w:rsidDel="00BB20F1">
        <w:t xml:space="preserve"> </w:t>
      </w:r>
      <w:hyperlink r:id="rId94" w:history="1">
        <w:r w:rsidR="00BB20F1" w:rsidRPr="00BB20F1">
          <w:rPr>
            <w:rStyle w:val="Hyperlink"/>
            <w:rFonts w:cs="Times New Roman"/>
          </w:rPr>
          <w:t>Gender economic equality study</w:t>
        </w:r>
      </w:hyperlink>
      <w:r w:rsidR="00F2040A">
        <w:t>, JSA, Australian Government</w:t>
      </w:r>
      <w:r w:rsidR="00A00F03">
        <w:t xml:space="preserve"> website</w:t>
      </w:r>
      <w:r w:rsidR="00F2040A">
        <w:t>, accessed 25 February 2026.</w:t>
      </w:r>
    </w:p>
    <w:p w14:paraId="3B888CB5" w14:textId="0C773C7E" w:rsidR="001D6B1A" w:rsidRDefault="001D6B1A" w:rsidP="0078531C">
      <w:pPr>
        <w:pStyle w:val="BodyText"/>
      </w:pPr>
      <w:r>
        <w:t>Keenan C, von Hi</w:t>
      </w:r>
      <w:r w:rsidR="00AB2E45">
        <w:t xml:space="preserve">ppel C, </w:t>
      </w:r>
      <w:r w:rsidR="00996578">
        <w:t>Neall</w:t>
      </w:r>
      <w:r w:rsidR="0082123C">
        <w:t xml:space="preserve"> A</w:t>
      </w:r>
      <w:r w:rsidR="00BF33FA">
        <w:t>, Barlow FK (20</w:t>
      </w:r>
      <w:r w:rsidR="00AD560A">
        <w:t xml:space="preserve">24) </w:t>
      </w:r>
      <w:r w:rsidR="00D132B6">
        <w:t>‘</w:t>
      </w:r>
      <w:hyperlink r:id="rId95" w:history="1">
        <w:r w:rsidR="00AD560A" w:rsidRPr="00DA3A86">
          <w:rPr>
            <w:rStyle w:val="Hyperlink"/>
            <w:rFonts w:cs="Times New Roman"/>
          </w:rPr>
          <w:t>Blurred ideas: How perpetrator behaviour, target response, and observer gender can influence perceptions of workplace sexual harassment</w:t>
        </w:r>
      </w:hyperlink>
      <w:r w:rsidR="00D132B6">
        <w:t>’</w:t>
      </w:r>
      <w:r w:rsidR="00174509">
        <w:t xml:space="preserve">, </w:t>
      </w:r>
      <w:r w:rsidR="004E0DFD" w:rsidRPr="00325832">
        <w:rPr>
          <w:i/>
        </w:rPr>
        <w:t>Journal of Interpersonal Violence</w:t>
      </w:r>
      <w:r w:rsidR="004E0DFD">
        <w:t xml:space="preserve">, </w:t>
      </w:r>
      <w:r w:rsidR="00023F5C">
        <w:t>40(13-14):</w:t>
      </w:r>
      <w:r w:rsidR="00DA3A86">
        <w:t>3132-3161.</w:t>
      </w:r>
    </w:p>
    <w:p w14:paraId="6193D072" w14:textId="58F5BE5E" w:rsidR="0033225E" w:rsidRDefault="00A10EB0" w:rsidP="0078531C">
      <w:pPr>
        <w:pStyle w:val="BodyText"/>
      </w:pPr>
      <w:r w:rsidRPr="00A10EB0">
        <w:t xml:space="preserve">Kifle, T, Kler, P, &amp; Shankar, S (2014). </w:t>
      </w:r>
      <w:r w:rsidR="00D132B6">
        <w:t>‘</w:t>
      </w:r>
      <w:hyperlink r:id="rId96" w:history="1">
        <w:r w:rsidRPr="00A10EB0">
          <w:rPr>
            <w:rStyle w:val="Hyperlink"/>
            <w:rFonts w:cs="Times New Roman"/>
          </w:rPr>
          <w:t>The power of the pram: do young children determine female job satisfaction?</w:t>
        </w:r>
      </w:hyperlink>
      <w:r w:rsidR="00D132B6">
        <w:t>’</w:t>
      </w:r>
      <w:r>
        <w:t>,</w:t>
      </w:r>
      <w:r w:rsidRPr="00A10EB0">
        <w:t> </w:t>
      </w:r>
      <w:r w:rsidRPr="00325832">
        <w:rPr>
          <w:i/>
        </w:rPr>
        <w:t>Applied Economics Letters</w:t>
      </w:r>
      <w:r w:rsidRPr="00A10EB0">
        <w:t>, 21(4)</w:t>
      </w:r>
      <w:r w:rsidR="00365391">
        <w:t>:</w:t>
      </w:r>
      <w:r w:rsidRPr="00A10EB0">
        <w:t>289</w:t>
      </w:r>
      <w:r>
        <w:t>-</w:t>
      </w:r>
      <w:r w:rsidRPr="00A10EB0">
        <w:t>292.</w:t>
      </w:r>
    </w:p>
    <w:p w14:paraId="12AA9732" w14:textId="48D7025D" w:rsidR="009836C7" w:rsidRDefault="009836C7" w:rsidP="0078531C">
      <w:pPr>
        <w:pStyle w:val="BodyText"/>
      </w:pPr>
      <w:r w:rsidRPr="00FA16D5">
        <w:t>Lind G</w:t>
      </w:r>
      <w:r w:rsidR="00D0628B">
        <w:t xml:space="preserve"> and</w:t>
      </w:r>
      <w:r w:rsidRPr="00FA16D5">
        <w:t xml:space="preserve"> Colquhoun R</w:t>
      </w:r>
      <w:r w:rsidR="00D0628B">
        <w:t xml:space="preserve"> </w:t>
      </w:r>
      <w:r w:rsidRPr="00FA16D5">
        <w:t xml:space="preserve">(2021) </w:t>
      </w:r>
      <w:hyperlink r:id="rId97" w:history="1">
        <w:r w:rsidRPr="006364DF">
          <w:rPr>
            <w:rStyle w:val="Hyperlink"/>
            <w:rFonts w:cs="Times New Roman"/>
            <w:szCs w:val="21"/>
          </w:rPr>
          <w:t>Analysis of gender segregation within detailed occupations and industries in Australia</w:t>
        </w:r>
      </w:hyperlink>
      <w:r w:rsidR="00D0628B">
        <w:t>,</w:t>
      </w:r>
      <w:r w:rsidRPr="00FA16D5">
        <w:t xml:space="preserve"> </w:t>
      </w:r>
      <w:r w:rsidRPr="00D0628B">
        <w:rPr>
          <w:i/>
        </w:rPr>
        <w:t>Australian Journal of Labour Economics</w:t>
      </w:r>
      <w:r w:rsidRPr="00FA16D5">
        <w:t>, 24(1)</w:t>
      </w:r>
      <w:r w:rsidR="00656123">
        <w:t>:</w:t>
      </w:r>
      <w:r w:rsidRPr="00FA16D5">
        <w:t xml:space="preserve">47-69. </w:t>
      </w:r>
    </w:p>
    <w:p w14:paraId="07E6232A" w14:textId="7A708365" w:rsidR="0076035F" w:rsidRDefault="0076035F" w:rsidP="0078531C">
      <w:pPr>
        <w:pStyle w:val="BodyText"/>
      </w:pPr>
      <w:r w:rsidRPr="0076035F">
        <w:t xml:space="preserve">Long A (2005) </w:t>
      </w:r>
      <w:hyperlink r:id="rId98" w:history="1">
        <w:r w:rsidRPr="0076035F">
          <w:rPr>
            <w:rStyle w:val="Hyperlink"/>
            <w:rFonts w:cs="Times New Roman"/>
            <w:szCs w:val="21"/>
          </w:rPr>
          <w:t xml:space="preserve">Happily </w:t>
        </w:r>
        <w:r w:rsidR="00365391">
          <w:rPr>
            <w:rStyle w:val="Hyperlink"/>
            <w:rFonts w:cs="Times New Roman"/>
            <w:szCs w:val="21"/>
          </w:rPr>
          <w:t>e</w:t>
        </w:r>
        <w:r w:rsidR="00365391" w:rsidRPr="0076035F">
          <w:rPr>
            <w:rStyle w:val="Hyperlink"/>
            <w:rFonts w:cs="Times New Roman"/>
            <w:szCs w:val="21"/>
          </w:rPr>
          <w:t xml:space="preserve">ver </w:t>
        </w:r>
        <w:r w:rsidR="00365391">
          <w:rPr>
            <w:rStyle w:val="Hyperlink"/>
            <w:rFonts w:cs="Times New Roman"/>
            <w:szCs w:val="21"/>
          </w:rPr>
          <w:t>a</w:t>
        </w:r>
        <w:r w:rsidR="00365391" w:rsidRPr="0076035F">
          <w:rPr>
            <w:rStyle w:val="Hyperlink"/>
            <w:rFonts w:cs="Times New Roman"/>
            <w:szCs w:val="21"/>
          </w:rPr>
          <w:t>fter</w:t>
        </w:r>
        <w:r w:rsidRPr="0076035F">
          <w:rPr>
            <w:rStyle w:val="Hyperlink"/>
            <w:rFonts w:cs="Times New Roman"/>
            <w:szCs w:val="21"/>
          </w:rPr>
          <w:t xml:space="preserve">? A </w:t>
        </w:r>
        <w:r w:rsidR="00365391">
          <w:rPr>
            <w:rStyle w:val="Hyperlink"/>
            <w:rFonts w:cs="Times New Roman"/>
            <w:szCs w:val="21"/>
          </w:rPr>
          <w:t>s</w:t>
        </w:r>
        <w:r w:rsidR="00365391" w:rsidRPr="0076035F">
          <w:rPr>
            <w:rStyle w:val="Hyperlink"/>
            <w:rFonts w:cs="Times New Roman"/>
            <w:szCs w:val="21"/>
          </w:rPr>
          <w:t>tudy</w:t>
        </w:r>
        <w:r w:rsidRPr="0076035F">
          <w:rPr>
            <w:rStyle w:val="Hyperlink"/>
            <w:rFonts w:cs="Times New Roman"/>
            <w:szCs w:val="21"/>
          </w:rPr>
          <w:t xml:space="preserve"> of </w:t>
        </w:r>
        <w:r w:rsidR="00365391">
          <w:rPr>
            <w:rStyle w:val="Hyperlink"/>
            <w:rFonts w:cs="Times New Roman"/>
            <w:szCs w:val="21"/>
          </w:rPr>
          <w:t>j</w:t>
        </w:r>
        <w:r w:rsidRPr="0076035F">
          <w:rPr>
            <w:rStyle w:val="Hyperlink"/>
            <w:rFonts w:cs="Times New Roman"/>
            <w:szCs w:val="21"/>
          </w:rPr>
          <w:t xml:space="preserve">ob </w:t>
        </w:r>
        <w:r w:rsidR="00365391">
          <w:rPr>
            <w:rStyle w:val="Hyperlink"/>
            <w:rFonts w:cs="Times New Roman"/>
            <w:szCs w:val="21"/>
          </w:rPr>
          <w:t>s</w:t>
        </w:r>
        <w:r w:rsidRPr="0076035F">
          <w:rPr>
            <w:rStyle w:val="Hyperlink"/>
            <w:rFonts w:cs="Times New Roman"/>
            <w:szCs w:val="21"/>
          </w:rPr>
          <w:t>atisfaction in Australia</w:t>
        </w:r>
      </w:hyperlink>
      <w:r>
        <w:t>,</w:t>
      </w:r>
      <w:r w:rsidRPr="0076035F">
        <w:t xml:space="preserve"> </w:t>
      </w:r>
      <w:r w:rsidRPr="00325832">
        <w:rPr>
          <w:i/>
        </w:rPr>
        <w:t>Economic Record</w:t>
      </w:r>
      <w:r w:rsidRPr="0076035F">
        <w:t>, 81</w:t>
      </w:r>
      <w:r w:rsidR="00AA2C68">
        <w:t>(255)</w:t>
      </w:r>
      <w:r w:rsidR="00365391">
        <w:t>:</w:t>
      </w:r>
      <w:r w:rsidRPr="0076035F">
        <w:t>303-321.</w:t>
      </w:r>
    </w:p>
    <w:p w14:paraId="19F8327A" w14:textId="05512715" w:rsidR="00B83675" w:rsidRDefault="000A6B13" w:rsidP="0078531C">
      <w:pPr>
        <w:pStyle w:val="BodyText"/>
      </w:pPr>
      <w:r w:rsidRPr="009D1993">
        <w:t>McDonald</w:t>
      </w:r>
      <w:r>
        <w:t xml:space="preserve"> P</w:t>
      </w:r>
      <w:r w:rsidRPr="009D1993">
        <w:t xml:space="preserve"> and Charlesworth</w:t>
      </w:r>
      <w:r>
        <w:t xml:space="preserve"> S (201</w:t>
      </w:r>
      <w:r w:rsidR="00B83675">
        <w:t>6)</w:t>
      </w:r>
      <w:r w:rsidRPr="009D1993">
        <w:t xml:space="preserve"> </w:t>
      </w:r>
      <w:r w:rsidR="00365391">
        <w:t>‘</w:t>
      </w:r>
      <w:hyperlink r:id="rId99" w:history="1">
        <w:r w:rsidRPr="00200180">
          <w:rPr>
            <w:rStyle w:val="Hyperlink"/>
            <w:rFonts w:cs="Times New Roman"/>
            <w:szCs w:val="21"/>
          </w:rPr>
          <w:t xml:space="preserve">Workplace </w:t>
        </w:r>
        <w:r w:rsidR="00B83675" w:rsidRPr="00200180">
          <w:rPr>
            <w:rStyle w:val="Hyperlink"/>
            <w:rFonts w:cs="Times New Roman"/>
            <w:szCs w:val="21"/>
          </w:rPr>
          <w:t>s</w:t>
        </w:r>
        <w:r w:rsidRPr="00200180">
          <w:rPr>
            <w:rStyle w:val="Hyperlink"/>
            <w:rFonts w:cs="Times New Roman"/>
            <w:szCs w:val="21"/>
          </w:rPr>
          <w:t xml:space="preserve">exual </w:t>
        </w:r>
        <w:r w:rsidR="00B83675" w:rsidRPr="00200180">
          <w:rPr>
            <w:rStyle w:val="Hyperlink"/>
            <w:rFonts w:cs="Times New Roman"/>
            <w:szCs w:val="21"/>
          </w:rPr>
          <w:t>h</w:t>
        </w:r>
        <w:r w:rsidRPr="00200180">
          <w:rPr>
            <w:rStyle w:val="Hyperlink"/>
            <w:rFonts w:cs="Times New Roman"/>
            <w:szCs w:val="21"/>
          </w:rPr>
          <w:t xml:space="preserve">arassment at the </w:t>
        </w:r>
        <w:r w:rsidR="00B83675" w:rsidRPr="00200180">
          <w:rPr>
            <w:rStyle w:val="Hyperlink"/>
            <w:rFonts w:cs="Times New Roman"/>
            <w:szCs w:val="21"/>
          </w:rPr>
          <w:t>m</w:t>
        </w:r>
        <w:r w:rsidRPr="00200180">
          <w:rPr>
            <w:rStyle w:val="Hyperlink"/>
            <w:rFonts w:cs="Times New Roman"/>
            <w:szCs w:val="21"/>
          </w:rPr>
          <w:t>argins</w:t>
        </w:r>
      </w:hyperlink>
      <w:r w:rsidR="00365391">
        <w:t>’</w:t>
      </w:r>
      <w:r w:rsidR="00200180">
        <w:t>,</w:t>
      </w:r>
      <w:r w:rsidR="00B83675">
        <w:t xml:space="preserve"> </w:t>
      </w:r>
      <w:r w:rsidRPr="009D1993">
        <w:rPr>
          <w:i/>
          <w:iCs/>
        </w:rPr>
        <w:t xml:space="preserve">Work, </w:t>
      </w:r>
      <w:r w:rsidR="00200180">
        <w:rPr>
          <w:i/>
          <w:iCs/>
        </w:rPr>
        <w:t>E</w:t>
      </w:r>
      <w:r w:rsidRPr="009D1993">
        <w:rPr>
          <w:i/>
          <w:iCs/>
        </w:rPr>
        <w:t xml:space="preserve">mployment and </w:t>
      </w:r>
      <w:r w:rsidR="00200180">
        <w:rPr>
          <w:i/>
          <w:iCs/>
        </w:rPr>
        <w:t>S</w:t>
      </w:r>
      <w:r w:rsidRPr="009D1993">
        <w:rPr>
          <w:i/>
          <w:iCs/>
        </w:rPr>
        <w:t>ociety</w:t>
      </w:r>
      <w:r w:rsidR="00B83675">
        <w:rPr>
          <w:i/>
          <w:iCs/>
        </w:rPr>
        <w:t xml:space="preserve"> </w:t>
      </w:r>
      <w:r w:rsidR="00B83675" w:rsidRPr="009D1993">
        <w:t>30(1)</w:t>
      </w:r>
      <w:r w:rsidR="00200180">
        <w:t>:</w:t>
      </w:r>
      <w:r w:rsidRPr="009D1993">
        <w:t>118</w:t>
      </w:r>
      <w:r w:rsidR="00200180">
        <w:t xml:space="preserve">-134. </w:t>
      </w:r>
    </w:p>
    <w:p w14:paraId="587673BE" w14:textId="6B31DCD8" w:rsidR="00A55991" w:rsidRDefault="00A55991" w:rsidP="0078531C">
      <w:pPr>
        <w:pStyle w:val="BodyText"/>
      </w:pPr>
      <w:r w:rsidRPr="00875697">
        <w:t>Nielsen, MB, Bjørkelo</w:t>
      </w:r>
      <w:r>
        <w:t xml:space="preserve"> </w:t>
      </w:r>
      <w:r w:rsidRPr="00875697">
        <w:t>B, Notelaer G</w:t>
      </w:r>
      <w:r w:rsidR="00C70D34">
        <w:t xml:space="preserve"> and</w:t>
      </w:r>
      <w:r w:rsidRPr="00875697">
        <w:t xml:space="preserve"> Einarsen S (2010) </w:t>
      </w:r>
      <w:r w:rsidR="000E1DEC">
        <w:t>‘</w:t>
      </w:r>
      <w:hyperlink r:id="rId100" w:history="1">
        <w:r w:rsidRPr="00C70D34">
          <w:rPr>
            <w:rStyle w:val="Hyperlink"/>
            <w:rFonts w:cs="Times New Roman"/>
            <w:szCs w:val="21"/>
          </w:rPr>
          <w:t xml:space="preserve">Sexual </w:t>
        </w:r>
        <w:r w:rsidR="00C70D34" w:rsidRPr="00C70D34">
          <w:rPr>
            <w:rStyle w:val="Hyperlink"/>
            <w:rFonts w:cs="Times New Roman"/>
            <w:szCs w:val="21"/>
          </w:rPr>
          <w:t>h</w:t>
        </w:r>
        <w:r w:rsidRPr="00C70D34">
          <w:rPr>
            <w:rStyle w:val="Hyperlink"/>
            <w:rFonts w:cs="Times New Roman"/>
            <w:szCs w:val="21"/>
          </w:rPr>
          <w:t xml:space="preserve">arassment: Prevalence, </w:t>
        </w:r>
        <w:r w:rsidR="00C70D34" w:rsidRPr="00C70D34">
          <w:rPr>
            <w:rStyle w:val="Hyperlink"/>
            <w:rFonts w:cs="Times New Roman"/>
            <w:szCs w:val="21"/>
          </w:rPr>
          <w:t>o</w:t>
        </w:r>
        <w:r w:rsidRPr="00C70D34">
          <w:rPr>
            <w:rStyle w:val="Hyperlink"/>
            <w:rFonts w:cs="Times New Roman"/>
            <w:szCs w:val="21"/>
          </w:rPr>
          <w:t xml:space="preserve">utcomes, and </w:t>
        </w:r>
        <w:r w:rsidR="00C70D34" w:rsidRPr="00C70D34">
          <w:rPr>
            <w:rStyle w:val="Hyperlink"/>
            <w:rFonts w:cs="Times New Roman"/>
            <w:szCs w:val="21"/>
          </w:rPr>
          <w:t>g</w:t>
        </w:r>
        <w:r w:rsidRPr="00C70D34">
          <w:rPr>
            <w:rStyle w:val="Hyperlink"/>
            <w:rFonts w:cs="Times New Roman"/>
            <w:szCs w:val="21"/>
          </w:rPr>
          <w:t xml:space="preserve">ender </w:t>
        </w:r>
        <w:r w:rsidR="00C70D34" w:rsidRPr="00C70D34">
          <w:rPr>
            <w:rStyle w:val="Hyperlink"/>
            <w:rFonts w:cs="Times New Roman"/>
            <w:szCs w:val="21"/>
          </w:rPr>
          <w:t>d</w:t>
        </w:r>
        <w:r w:rsidRPr="00C70D34">
          <w:rPr>
            <w:rStyle w:val="Hyperlink"/>
            <w:rFonts w:cs="Times New Roman"/>
            <w:szCs w:val="21"/>
          </w:rPr>
          <w:t xml:space="preserve">ifferences </w:t>
        </w:r>
        <w:r w:rsidR="00C70D34" w:rsidRPr="00C70D34">
          <w:rPr>
            <w:rStyle w:val="Hyperlink"/>
            <w:rFonts w:cs="Times New Roman"/>
            <w:szCs w:val="21"/>
          </w:rPr>
          <w:t>a</w:t>
        </w:r>
        <w:r w:rsidRPr="00C70D34">
          <w:rPr>
            <w:rStyle w:val="Hyperlink"/>
            <w:rFonts w:cs="Times New Roman"/>
            <w:szCs w:val="21"/>
          </w:rPr>
          <w:t xml:space="preserve">ssessed by </w:t>
        </w:r>
        <w:r w:rsidR="00C70D34" w:rsidRPr="00C70D34">
          <w:rPr>
            <w:rStyle w:val="Hyperlink"/>
            <w:rFonts w:cs="Times New Roman"/>
            <w:szCs w:val="21"/>
          </w:rPr>
          <w:t>t</w:t>
        </w:r>
        <w:r w:rsidRPr="00C70D34">
          <w:rPr>
            <w:rStyle w:val="Hyperlink"/>
            <w:rFonts w:cs="Times New Roman"/>
            <w:szCs w:val="21"/>
          </w:rPr>
          <w:t xml:space="preserve">hree </w:t>
        </w:r>
        <w:r w:rsidR="00C70D34" w:rsidRPr="00C70D34">
          <w:rPr>
            <w:rStyle w:val="Hyperlink"/>
            <w:rFonts w:cs="Times New Roman"/>
            <w:szCs w:val="21"/>
          </w:rPr>
          <w:t>d</w:t>
        </w:r>
        <w:r w:rsidRPr="00C70D34">
          <w:rPr>
            <w:rStyle w:val="Hyperlink"/>
            <w:rFonts w:cs="Times New Roman"/>
            <w:szCs w:val="21"/>
          </w:rPr>
          <w:t xml:space="preserve">ifferent </w:t>
        </w:r>
        <w:r w:rsidR="00C70D34" w:rsidRPr="00C70D34">
          <w:rPr>
            <w:rStyle w:val="Hyperlink"/>
            <w:rFonts w:cs="Times New Roman"/>
            <w:szCs w:val="21"/>
          </w:rPr>
          <w:t>e</w:t>
        </w:r>
        <w:r w:rsidRPr="00C70D34">
          <w:rPr>
            <w:rStyle w:val="Hyperlink"/>
            <w:rFonts w:cs="Times New Roman"/>
            <w:szCs w:val="21"/>
          </w:rPr>
          <w:t xml:space="preserve">stimation </w:t>
        </w:r>
        <w:r w:rsidR="00C70D34" w:rsidRPr="00C70D34">
          <w:rPr>
            <w:rStyle w:val="Hyperlink"/>
            <w:rFonts w:cs="Times New Roman"/>
            <w:szCs w:val="21"/>
          </w:rPr>
          <w:t>m</w:t>
        </w:r>
        <w:r w:rsidRPr="00C70D34">
          <w:rPr>
            <w:rStyle w:val="Hyperlink"/>
            <w:rFonts w:cs="Times New Roman"/>
            <w:szCs w:val="21"/>
          </w:rPr>
          <w:t>ethods</w:t>
        </w:r>
      </w:hyperlink>
      <w:r w:rsidR="000E1DEC">
        <w:t>’</w:t>
      </w:r>
      <w:r w:rsidR="00C70D34">
        <w:t>,</w:t>
      </w:r>
      <w:r w:rsidRPr="00875697">
        <w:t xml:space="preserve"> </w:t>
      </w:r>
      <w:r w:rsidRPr="00C70D34">
        <w:rPr>
          <w:i/>
          <w:iCs/>
        </w:rPr>
        <w:t>Journal of Aggression, Maltreatment &amp; Trauma</w:t>
      </w:r>
      <w:r w:rsidRPr="00875697">
        <w:t>, 19(3)</w:t>
      </w:r>
      <w:r w:rsidR="00C70D34">
        <w:t>:</w:t>
      </w:r>
      <w:r w:rsidRPr="00875697">
        <w:t xml:space="preserve"> 252–274</w:t>
      </w:r>
    </w:p>
    <w:p w14:paraId="10DC99FC" w14:textId="496DBA6B" w:rsidR="00900C23" w:rsidRDefault="00900C23" w:rsidP="0078531C">
      <w:pPr>
        <w:pStyle w:val="BodyText"/>
      </w:pPr>
      <w:r w:rsidRPr="00900C23">
        <w:t>Petersen M</w:t>
      </w:r>
      <w:r w:rsidR="001F69DA">
        <w:t xml:space="preserve"> and</w:t>
      </w:r>
      <w:r w:rsidRPr="00900C23">
        <w:t xml:space="preserve"> Tilse C</w:t>
      </w:r>
      <w:r w:rsidR="001F69DA">
        <w:t xml:space="preserve"> </w:t>
      </w:r>
      <w:r w:rsidRPr="00900C23">
        <w:t xml:space="preserve">(2024) </w:t>
      </w:r>
      <w:r w:rsidR="000E1DEC">
        <w:t>‘</w:t>
      </w:r>
      <w:hyperlink r:id="rId101" w:history="1">
        <w:r w:rsidRPr="00603EE1">
          <w:rPr>
            <w:rStyle w:val="Hyperlink"/>
            <w:rFonts w:cs="Times New Roman"/>
          </w:rPr>
          <w:t>Women’s life course and precarious housing in older age: an Australian qualitative study</w:t>
        </w:r>
      </w:hyperlink>
      <w:r w:rsidR="000E1DEC">
        <w:t>’</w:t>
      </w:r>
      <w:r w:rsidR="00603EE1">
        <w:t>,</w:t>
      </w:r>
      <w:r w:rsidRPr="00900C23">
        <w:t> </w:t>
      </w:r>
      <w:r w:rsidRPr="00900C23">
        <w:rPr>
          <w:i/>
          <w:iCs/>
        </w:rPr>
        <w:t>Housing Studies</w:t>
      </w:r>
      <w:r w:rsidRPr="00603EE1">
        <w:t>, </w:t>
      </w:r>
      <w:r w:rsidRPr="004444B7">
        <w:t>39</w:t>
      </w:r>
      <w:r w:rsidRPr="00603EE1">
        <w:t>(</w:t>
      </w:r>
      <w:r w:rsidRPr="00900C23">
        <w:t>12)</w:t>
      </w:r>
      <w:r w:rsidR="001F69DA">
        <w:t>:</w:t>
      </w:r>
      <w:r w:rsidRPr="00900C23">
        <w:t>3245–3267</w:t>
      </w:r>
      <w:r w:rsidR="001F69DA">
        <w:t>.</w:t>
      </w:r>
    </w:p>
    <w:p w14:paraId="5932FBF3" w14:textId="11086268" w:rsidR="004578DE" w:rsidRDefault="004578DE" w:rsidP="0078531C">
      <w:pPr>
        <w:pStyle w:val="BodyText"/>
      </w:pPr>
      <w:r>
        <w:t xml:space="preserve">Prime Minister and Cabinet (July 2024) </w:t>
      </w:r>
      <w:hyperlink r:id="rId102" w:history="1">
        <w:r w:rsidRPr="006E7DAE">
          <w:rPr>
            <w:rStyle w:val="Hyperlink"/>
            <w:rFonts w:cs="Times New Roman"/>
            <w:szCs w:val="21"/>
          </w:rPr>
          <w:t>More paid parental leave for Australian families than ever before</w:t>
        </w:r>
      </w:hyperlink>
      <w:r w:rsidR="00A04C67">
        <w:t xml:space="preserve">, </w:t>
      </w:r>
      <w:r w:rsidR="006E7DAE">
        <w:t xml:space="preserve">Australian Government website, accessed 18 June 2016. </w:t>
      </w:r>
    </w:p>
    <w:p w14:paraId="5E8F5695" w14:textId="4D3247B1" w:rsidR="00B73139" w:rsidRDefault="00B73139" w:rsidP="0078531C">
      <w:pPr>
        <w:pStyle w:val="BodyText"/>
        <w:rPr>
          <w:i/>
        </w:rPr>
      </w:pPr>
      <w:r w:rsidRPr="008249C6">
        <w:t>Risse</w:t>
      </w:r>
      <w:r w:rsidR="00345CD3" w:rsidRPr="008249C6">
        <w:t xml:space="preserve"> L (2025)</w:t>
      </w:r>
      <w:r w:rsidRPr="008249C6">
        <w:t xml:space="preserve"> </w:t>
      </w:r>
      <w:hyperlink r:id="rId103" w:history="1">
        <w:r w:rsidRPr="008249C6">
          <w:rPr>
            <w:rStyle w:val="Hyperlink"/>
            <w:rFonts w:cs="Times New Roman"/>
            <w:szCs w:val="21"/>
          </w:rPr>
          <w:t xml:space="preserve">By </w:t>
        </w:r>
        <w:r w:rsidR="000E1DEC">
          <w:rPr>
            <w:rStyle w:val="Hyperlink"/>
            <w:rFonts w:cs="Times New Roman"/>
            <w:szCs w:val="21"/>
          </w:rPr>
          <w:t>h</w:t>
        </w:r>
        <w:r w:rsidRPr="008249C6">
          <w:rPr>
            <w:rStyle w:val="Hyperlink"/>
            <w:rFonts w:cs="Times New Roman"/>
            <w:szCs w:val="21"/>
          </w:rPr>
          <w:t xml:space="preserve">ow </w:t>
        </w:r>
        <w:r w:rsidR="000E1DEC">
          <w:rPr>
            <w:rStyle w:val="Hyperlink"/>
            <w:rFonts w:cs="Times New Roman"/>
            <w:szCs w:val="21"/>
          </w:rPr>
          <w:t>m</w:t>
        </w:r>
        <w:r w:rsidRPr="008249C6">
          <w:rPr>
            <w:rStyle w:val="Hyperlink"/>
            <w:rFonts w:cs="Times New Roman"/>
            <w:szCs w:val="21"/>
          </w:rPr>
          <w:t>uch Is “</w:t>
        </w:r>
        <w:r w:rsidR="000E1DEC">
          <w:rPr>
            <w:rStyle w:val="Hyperlink"/>
            <w:rFonts w:cs="Times New Roman"/>
            <w:szCs w:val="21"/>
          </w:rPr>
          <w:t>w</w:t>
        </w:r>
        <w:r w:rsidR="000E1DEC" w:rsidRPr="008249C6">
          <w:rPr>
            <w:rStyle w:val="Hyperlink"/>
            <w:rFonts w:cs="Times New Roman"/>
            <w:szCs w:val="21"/>
          </w:rPr>
          <w:t>omen</w:t>
        </w:r>
        <w:r w:rsidR="000E1DEC">
          <w:rPr>
            <w:rStyle w:val="Hyperlink"/>
            <w:rFonts w:cs="Times New Roman"/>
            <w:szCs w:val="21"/>
          </w:rPr>
          <w:t>’</w:t>
        </w:r>
        <w:r w:rsidR="000E1DEC" w:rsidRPr="008249C6">
          <w:rPr>
            <w:rStyle w:val="Hyperlink"/>
            <w:rFonts w:cs="Times New Roman"/>
            <w:szCs w:val="21"/>
          </w:rPr>
          <w:t xml:space="preserve">s </w:t>
        </w:r>
        <w:r w:rsidR="000E1DEC">
          <w:rPr>
            <w:rStyle w:val="Hyperlink"/>
            <w:rFonts w:cs="Times New Roman"/>
            <w:szCs w:val="21"/>
          </w:rPr>
          <w:t>w</w:t>
        </w:r>
        <w:r w:rsidRPr="008249C6">
          <w:rPr>
            <w:rStyle w:val="Hyperlink"/>
            <w:rFonts w:cs="Times New Roman"/>
            <w:szCs w:val="21"/>
          </w:rPr>
          <w:t xml:space="preserve">ork” </w:t>
        </w:r>
        <w:r w:rsidR="000E1DEC">
          <w:rPr>
            <w:rStyle w:val="Hyperlink"/>
            <w:rFonts w:cs="Times New Roman"/>
            <w:szCs w:val="21"/>
          </w:rPr>
          <w:t>u</w:t>
        </w:r>
        <w:r w:rsidR="000E1DEC" w:rsidRPr="008249C6">
          <w:rPr>
            <w:rStyle w:val="Hyperlink"/>
            <w:rFonts w:cs="Times New Roman"/>
            <w:szCs w:val="21"/>
          </w:rPr>
          <w:t xml:space="preserve">ndervalued </w:t>
        </w:r>
        <w:r w:rsidRPr="008249C6">
          <w:rPr>
            <w:rStyle w:val="Hyperlink"/>
            <w:rFonts w:cs="Times New Roman"/>
            <w:szCs w:val="21"/>
          </w:rPr>
          <w:t xml:space="preserve">in the </w:t>
        </w:r>
        <w:r w:rsidR="000E1DEC">
          <w:rPr>
            <w:rStyle w:val="Hyperlink"/>
            <w:rFonts w:cs="Times New Roman"/>
            <w:szCs w:val="21"/>
          </w:rPr>
          <w:t>e</w:t>
        </w:r>
        <w:r w:rsidRPr="008249C6">
          <w:rPr>
            <w:rStyle w:val="Hyperlink"/>
            <w:rFonts w:cs="Times New Roman"/>
            <w:szCs w:val="21"/>
          </w:rPr>
          <w:t>conomy?</w:t>
        </w:r>
      </w:hyperlink>
      <w:r w:rsidRPr="008249C6">
        <w:t xml:space="preserve"> </w:t>
      </w:r>
      <w:r w:rsidR="00345CD3" w:rsidRPr="008249C6">
        <w:t xml:space="preserve">The Economist record 421, </w:t>
      </w:r>
      <w:r w:rsidRPr="008249C6">
        <w:t>101(335)</w:t>
      </w:r>
      <w:r w:rsidR="00345CD3" w:rsidRPr="008249C6">
        <w:rPr>
          <w:i/>
          <w:iCs/>
        </w:rPr>
        <w:t>.</w:t>
      </w:r>
    </w:p>
    <w:p w14:paraId="1282B2CF" w14:textId="22556A03" w:rsidR="009A2378" w:rsidRDefault="0013340B" w:rsidP="0078531C">
      <w:pPr>
        <w:pStyle w:val="BodyText"/>
      </w:pPr>
      <w:r w:rsidRPr="005F688D">
        <w:t>Rudman LA and Phelan JE (2008)</w:t>
      </w:r>
      <w:r>
        <w:t xml:space="preserve"> </w:t>
      </w:r>
      <w:r w:rsidR="000E1DEC">
        <w:t>‘</w:t>
      </w:r>
      <w:hyperlink r:id="rId104" w:history="1">
        <w:r w:rsidRPr="003B4C33">
          <w:rPr>
            <w:rStyle w:val="Hyperlink"/>
            <w:rFonts w:cs="Times New Roman"/>
            <w:szCs w:val="21"/>
          </w:rPr>
          <w:t>Backlash effects for disconfirming gender stereotypes in organizations</w:t>
        </w:r>
      </w:hyperlink>
      <w:r w:rsidR="000E1DEC">
        <w:t>’</w:t>
      </w:r>
      <w:r w:rsidR="003B4C33">
        <w:t xml:space="preserve">, </w:t>
      </w:r>
      <w:r w:rsidR="003B4C33" w:rsidRPr="005F688D">
        <w:rPr>
          <w:i/>
        </w:rPr>
        <w:t>Research in Organizational Behavior</w:t>
      </w:r>
      <w:r w:rsidR="003B4C33">
        <w:t xml:space="preserve">, </w:t>
      </w:r>
      <w:r w:rsidR="00A61768">
        <w:t xml:space="preserve">28:61-79. </w:t>
      </w:r>
    </w:p>
    <w:p w14:paraId="2AD34973" w14:textId="40805FB8" w:rsidR="009A2378" w:rsidRDefault="009A2378" w:rsidP="0078531C">
      <w:pPr>
        <w:pStyle w:val="BodyText"/>
      </w:pPr>
      <w:r>
        <w:t xml:space="preserve">Summers A (2022) </w:t>
      </w:r>
      <w:hyperlink r:id="rId105" w:history="1">
        <w:r w:rsidR="00A2713E" w:rsidRPr="005C607A">
          <w:rPr>
            <w:rStyle w:val="Hyperlink"/>
            <w:rFonts w:cs="Times New Roman"/>
          </w:rPr>
          <w:t>The choice: violence or poverty</w:t>
        </w:r>
      </w:hyperlink>
      <w:r w:rsidR="00433366">
        <w:t xml:space="preserve">, </w:t>
      </w:r>
      <w:r w:rsidR="00F8533D">
        <w:t>University of Technology Sydney</w:t>
      </w:r>
      <w:r w:rsidR="005C607A">
        <w:t xml:space="preserve">, accessed 30 June 2026. </w:t>
      </w:r>
    </w:p>
    <w:p w14:paraId="53B3B863" w14:textId="32DA2183" w:rsidR="00223A18" w:rsidRDefault="00223A18" w:rsidP="0078531C">
      <w:pPr>
        <w:pStyle w:val="BodyText"/>
      </w:pPr>
      <w:r>
        <w:t xml:space="preserve">Tischler C, </w:t>
      </w:r>
      <w:r w:rsidR="00374E0F">
        <w:t xml:space="preserve">McDonald K, Dallamora E and Reeves K (2023) </w:t>
      </w:r>
      <w:hyperlink r:id="rId106" w:history="1">
        <w:r w:rsidR="00C060E9" w:rsidRPr="00C060E9">
          <w:rPr>
            <w:rStyle w:val="Hyperlink"/>
            <w:rFonts w:cs="Times New Roman"/>
          </w:rPr>
          <w:t xml:space="preserve">Workforce </w:t>
        </w:r>
        <w:r w:rsidR="005F4BCD">
          <w:rPr>
            <w:rStyle w:val="Hyperlink"/>
            <w:rFonts w:cs="Times New Roman"/>
          </w:rPr>
          <w:t>p</w:t>
        </w:r>
        <w:r w:rsidR="00C060E9" w:rsidRPr="00C060E9">
          <w:rPr>
            <w:rStyle w:val="Hyperlink"/>
            <w:rFonts w:cs="Times New Roman"/>
          </w:rPr>
          <w:t xml:space="preserve">articipation: Exploring </w:t>
        </w:r>
        <w:r w:rsidR="005F4BCD">
          <w:rPr>
            <w:rStyle w:val="Hyperlink"/>
            <w:rFonts w:cs="Times New Roman"/>
          </w:rPr>
          <w:t>p</w:t>
        </w:r>
        <w:r w:rsidR="00C060E9" w:rsidRPr="00C060E9">
          <w:rPr>
            <w:rStyle w:val="Hyperlink"/>
            <w:rFonts w:cs="Times New Roman"/>
          </w:rPr>
          <w:t xml:space="preserve">revalence of </w:t>
        </w:r>
        <w:r w:rsidR="005F4BCD">
          <w:rPr>
            <w:rStyle w:val="Hyperlink"/>
            <w:rFonts w:cs="Times New Roman"/>
          </w:rPr>
          <w:t>p</w:t>
        </w:r>
        <w:r w:rsidR="00C060E9" w:rsidRPr="00C060E9">
          <w:rPr>
            <w:rStyle w:val="Hyperlink"/>
            <w:rFonts w:cs="Times New Roman"/>
          </w:rPr>
          <w:t xml:space="preserve">art-time and </w:t>
        </w:r>
        <w:r w:rsidR="005F4BCD">
          <w:rPr>
            <w:rStyle w:val="Hyperlink"/>
            <w:rFonts w:cs="Times New Roman"/>
          </w:rPr>
          <w:t>i</w:t>
        </w:r>
        <w:r w:rsidR="00C060E9" w:rsidRPr="00C060E9">
          <w:rPr>
            <w:rStyle w:val="Hyperlink"/>
            <w:rFonts w:cs="Times New Roman"/>
          </w:rPr>
          <w:t xml:space="preserve">nsecure </w:t>
        </w:r>
        <w:r w:rsidR="005F4BCD">
          <w:rPr>
            <w:rStyle w:val="Hyperlink"/>
            <w:rFonts w:cs="Times New Roman"/>
          </w:rPr>
          <w:t>w</w:t>
        </w:r>
        <w:r w:rsidR="00C060E9" w:rsidRPr="00C060E9">
          <w:rPr>
            <w:rStyle w:val="Hyperlink"/>
            <w:rFonts w:cs="Times New Roman"/>
          </w:rPr>
          <w:t xml:space="preserve">ork in Grampians </w:t>
        </w:r>
        <w:r w:rsidR="005F4BCD">
          <w:rPr>
            <w:rStyle w:val="Hyperlink"/>
            <w:rFonts w:cs="Times New Roman"/>
          </w:rPr>
          <w:t>p</w:t>
        </w:r>
        <w:r w:rsidR="00C060E9" w:rsidRPr="00C060E9">
          <w:rPr>
            <w:rStyle w:val="Hyperlink"/>
            <w:rFonts w:cs="Times New Roman"/>
          </w:rPr>
          <w:t xml:space="preserve">ublic </w:t>
        </w:r>
        <w:r w:rsidR="005F4BCD">
          <w:rPr>
            <w:rStyle w:val="Hyperlink"/>
            <w:rFonts w:cs="Times New Roman"/>
          </w:rPr>
          <w:t>s</w:t>
        </w:r>
        <w:r w:rsidR="00C060E9" w:rsidRPr="00C060E9">
          <w:rPr>
            <w:rStyle w:val="Hyperlink"/>
            <w:rFonts w:cs="Times New Roman"/>
          </w:rPr>
          <w:t xml:space="preserve">ervice </w:t>
        </w:r>
        <w:r w:rsidR="005F4BCD">
          <w:rPr>
            <w:rStyle w:val="Hyperlink"/>
            <w:rFonts w:cs="Times New Roman"/>
          </w:rPr>
          <w:t>r</w:t>
        </w:r>
        <w:r w:rsidR="00C060E9" w:rsidRPr="00C060E9">
          <w:rPr>
            <w:rStyle w:val="Hyperlink"/>
            <w:rFonts w:cs="Times New Roman"/>
          </w:rPr>
          <w:t>oles</w:t>
        </w:r>
      </w:hyperlink>
      <w:r w:rsidR="00C060E9" w:rsidRPr="00C060E9">
        <w:t xml:space="preserve">, Federation University Australia, </w:t>
      </w:r>
      <w:r w:rsidR="00C060E9">
        <w:t xml:space="preserve">accessed 27 May 2026. </w:t>
      </w:r>
    </w:p>
    <w:p w14:paraId="0D403D51" w14:textId="165E9522" w:rsidR="00F76439" w:rsidRPr="009F64E5" w:rsidRDefault="00F76439" w:rsidP="0078531C">
      <w:pPr>
        <w:pStyle w:val="BodyText"/>
      </w:pPr>
      <w:r w:rsidRPr="00F76439">
        <w:t>Vecchio</w:t>
      </w:r>
      <w:r>
        <w:t xml:space="preserve"> </w:t>
      </w:r>
      <w:r w:rsidRPr="00F76439">
        <w:t>N, Scuffham PA, Hilton MF </w:t>
      </w:r>
      <w:r w:rsidR="00FA43E5">
        <w:t>and Whiteford HA</w:t>
      </w:r>
      <w:r w:rsidR="00FA43E5" w:rsidRPr="00FA43E5">
        <w:t xml:space="preserve"> (2013)</w:t>
      </w:r>
      <w:r w:rsidR="00FA43E5">
        <w:rPr>
          <w:i/>
          <w:iCs/>
        </w:rPr>
        <w:t xml:space="preserve"> </w:t>
      </w:r>
      <w:r w:rsidR="005F4BCD">
        <w:rPr>
          <w:i/>
          <w:iCs/>
        </w:rPr>
        <w:t>‘</w:t>
      </w:r>
      <w:hyperlink r:id="rId107" w:history="1">
        <w:r w:rsidRPr="00FA43E5">
          <w:rPr>
            <w:rStyle w:val="Hyperlink"/>
            <w:rFonts w:cs="Times New Roman"/>
            <w:szCs w:val="21"/>
          </w:rPr>
          <w:t xml:space="preserve">Differences in wage rates for males and females in the health sector: </w:t>
        </w:r>
        <w:r w:rsidR="00113221">
          <w:rPr>
            <w:rStyle w:val="Hyperlink"/>
            <w:rFonts w:cs="Times New Roman"/>
            <w:szCs w:val="21"/>
          </w:rPr>
          <w:t>A</w:t>
        </w:r>
        <w:r w:rsidRPr="00FA43E5">
          <w:rPr>
            <w:rStyle w:val="Hyperlink"/>
            <w:rFonts w:cs="Times New Roman"/>
            <w:szCs w:val="21"/>
          </w:rPr>
          <w:t xml:space="preserve"> consideration of unpaid overtime to decompose the gender wage gap</w:t>
        </w:r>
      </w:hyperlink>
      <w:r w:rsidR="005F4BCD">
        <w:t>’</w:t>
      </w:r>
      <w:r w:rsidR="00113221">
        <w:t>,</w:t>
      </w:r>
      <w:r w:rsidRPr="00F76439">
        <w:t> </w:t>
      </w:r>
      <w:r w:rsidRPr="00F76439">
        <w:rPr>
          <w:i/>
          <w:iCs/>
        </w:rPr>
        <w:t>Hum Resour Health</w:t>
      </w:r>
      <w:r w:rsidRPr="00F76439">
        <w:t> </w:t>
      </w:r>
      <w:r w:rsidRPr="0002751C">
        <w:t>11</w:t>
      </w:r>
      <w:r w:rsidR="0002751C" w:rsidRPr="0002751C">
        <w:t>(</w:t>
      </w:r>
      <w:r w:rsidRPr="00F76439">
        <w:t>9</w:t>
      </w:r>
      <w:r w:rsidR="0002751C" w:rsidRPr="0002751C">
        <w:t>).</w:t>
      </w:r>
    </w:p>
    <w:p w14:paraId="1580CC23" w14:textId="10F6E661" w:rsidR="00EC4184" w:rsidRDefault="00EC4184" w:rsidP="0078531C">
      <w:pPr>
        <w:pStyle w:val="BodyText"/>
        <w:rPr>
          <w:lang w:eastAsia="en-AU"/>
        </w:rPr>
      </w:pPr>
      <w:r w:rsidRPr="00BA2DE2">
        <w:rPr>
          <w:lang w:eastAsia="en-AU"/>
        </w:rPr>
        <w:t>Victorian Government</w:t>
      </w:r>
      <w:r>
        <w:rPr>
          <w:lang w:eastAsia="en-AU"/>
        </w:rPr>
        <w:t xml:space="preserve"> (August 2023) </w:t>
      </w:r>
      <w:hyperlink r:id="rId108" w:history="1">
        <w:r w:rsidRPr="00F81C37">
          <w:rPr>
            <w:rStyle w:val="Hyperlink"/>
            <w:rFonts w:cs="Times New Roman"/>
            <w:lang w:eastAsia="en-AU"/>
          </w:rPr>
          <w:t>Our equal state: Victoria</w:t>
        </w:r>
        <w:r w:rsidR="002F55AB">
          <w:rPr>
            <w:rStyle w:val="Hyperlink"/>
            <w:rFonts w:cs="Times New Roman"/>
            <w:lang w:eastAsia="en-AU"/>
          </w:rPr>
          <w:t>’</w:t>
        </w:r>
        <w:r w:rsidRPr="00F81C37">
          <w:rPr>
            <w:rStyle w:val="Hyperlink"/>
            <w:rFonts w:cs="Times New Roman"/>
            <w:lang w:eastAsia="en-AU"/>
          </w:rPr>
          <w:t>s gender equality strategy and action plan 2023-2027</w:t>
        </w:r>
      </w:hyperlink>
      <w:r>
        <w:rPr>
          <w:lang w:eastAsia="en-AU"/>
        </w:rPr>
        <w:t>, Victorian Government</w:t>
      </w:r>
      <w:r w:rsidR="00F01224">
        <w:rPr>
          <w:lang w:eastAsia="en-AU"/>
        </w:rPr>
        <w:t xml:space="preserve"> website</w:t>
      </w:r>
      <w:r>
        <w:rPr>
          <w:lang w:eastAsia="en-AU"/>
        </w:rPr>
        <w:t xml:space="preserve">, </w:t>
      </w:r>
      <w:r w:rsidRPr="00BA2DE2">
        <w:rPr>
          <w:lang w:eastAsia="en-AU"/>
        </w:rPr>
        <w:t xml:space="preserve">accessed </w:t>
      </w:r>
      <w:r>
        <w:rPr>
          <w:lang w:eastAsia="en-AU"/>
        </w:rPr>
        <w:t>25 February 2026.</w:t>
      </w:r>
    </w:p>
    <w:p w14:paraId="1BA0A638" w14:textId="15E1D5E7" w:rsidR="0025098E" w:rsidRDefault="00DC3FA2" w:rsidP="0078531C">
      <w:pPr>
        <w:pStyle w:val="BodyText"/>
        <w:rPr>
          <w:lang w:eastAsia="en-AU"/>
        </w:rPr>
      </w:pPr>
      <w:r>
        <w:rPr>
          <w:lang w:eastAsia="en-AU"/>
        </w:rPr>
        <w:t xml:space="preserve">VPSC (Victorian Public Sector Commission) (2022) </w:t>
      </w:r>
      <w:hyperlink r:id="rId109" w:history="1">
        <w:r w:rsidRPr="00DC3FA2">
          <w:rPr>
            <w:rStyle w:val="Hyperlink"/>
            <w:rFonts w:cs="Times New Roman"/>
            <w:lang w:eastAsia="en-AU"/>
          </w:rPr>
          <w:t>Board numbers and demographics</w:t>
        </w:r>
      </w:hyperlink>
      <w:r>
        <w:rPr>
          <w:lang w:eastAsia="en-AU"/>
        </w:rPr>
        <w:t xml:space="preserve">, </w:t>
      </w:r>
      <w:r w:rsidR="00C946FB">
        <w:rPr>
          <w:lang w:eastAsia="en-AU"/>
        </w:rPr>
        <w:t>Victorian Government</w:t>
      </w:r>
      <w:r w:rsidR="00F01224">
        <w:rPr>
          <w:lang w:eastAsia="en-AU"/>
        </w:rPr>
        <w:t xml:space="preserve"> website</w:t>
      </w:r>
      <w:r w:rsidR="00C946FB">
        <w:rPr>
          <w:lang w:eastAsia="en-AU"/>
        </w:rPr>
        <w:t xml:space="preserve">, </w:t>
      </w:r>
      <w:r>
        <w:rPr>
          <w:lang w:eastAsia="en-AU"/>
        </w:rPr>
        <w:t xml:space="preserve">accessed 29 April 2026. </w:t>
      </w:r>
    </w:p>
    <w:p w14:paraId="7FC24D3F" w14:textId="1367D345" w:rsidR="00F91121" w:rsidRDefault="00F91121" w:rsidP="0078531C">
      <w:pPr>
        <w:pStyle w:val="BodyText"/>
        <w:rPr>
          <w:lang w:eastAsia="en-AU"/>
        </w:rPr>
      </w:pPr>
      <w:r w:rsidRPr="00F91121">
        <w:rPr>
          <w:lang w:eastAsia="en-AU"/>
        </w:rPr>
        <w:t xml:space="preserve">Walters S (2005) </w:t>
      </w:r>
      <w:hyperlink r:id="rId110" w:history="1">
        <w:r w:rsidRPr="00E1224A">
          <w:rPr>
            <w:rStyle w:val="Hyperlink"/>
            <w:rFonts w:cs="Times New Roman"/>
            <w:lang w:eastAsia="en-AU"/>
          </w:rPr>
          <w:t xml:space="preserve">Making the </w:t>
        </w:r>
        <w:r w:rsidR="0008216E" w:rsidRPr="00E1224A">
          <w:rPr>
            <w:rStyle w:val="Hyperlink"/>
            <w:rFonts w:cs="Times New Roman"/>
            <w:lang w:eastAsia="en-AU"/>
          </w:rPr>
          <w:t>b</w:t>
        </w:r>
        <w:r w:rsidRPr="00E1224A">
          <w:rPr>
            <w:rStyle w:val="Hyperlink"/>
            <w:rFonts w:cs="Times New Roman"/>
            <w:lang w:eastAsia="en-AU"/>
          </w:rPr>
          <w:t xml:space="preserve">est of a </w:t>
        </w:r>
        <w:r w:rsidR="0008216E" w:rsidRPr="00E1224A">
          <w:rPr>
            <w:rStyle w:val="Hyperlink"/>
            <w:rFonts w:cs="Times New Roman"/>
            <w:lang w:eastAsia="en-AU"/>
          </w:rPr>
          <w:t>b</w:t>
        </w:r>
        <w:r w:rsidRPr="00E1224A">
          <w:rPr>
            <w:rStyle w:val="Hyperlink"/>
            <w:rFonts w:cs="Times New Roman"/>
            <w:lang w:eastAsia="en-AU"/>
          </w:rPr>
          <w:t xml:space="preserve">ad </w:t>
        </w:r>
        <w:r w:rsidR="0008216E" w:rsidRPr="00E1224A">
          <w:rPr>
            <w:rStyle w:val="Hyperlink"/>
            <w:rFonts w:cs="Times New Roman"/>
            <w:lang w:eastAsia="en-AU"/>
          </w:rPr>
          <w:t>j</w:t>
        </w:r>
        <w:r w:rsidRPr="00E1224A">
          <w:rPr>
            <w:rStyle w:val="Hyperlink"/>
            <w:rFonts w:cs="Times New Roman"/>
            <w:lang w:eastAsia="en-AU"/>
          </w:rPr>
          <w:t xml:space="preserve">ob? Female </w:t>
        </w:r>
        <w:r w:rsidR="0008216E" w:rsidRPr="00E1224A">
          <w:rPr>
            <w:rStyle w:val="Hyperlink"/>
            <w:rFonts w:cs="Times New Roman"/>
            <w:lang w:eastAsia="en-AU"/>
          </w:rPr>
          <w:t>p</w:t>
        </w:r>
        <w:r w:rsidRPr="00E1224A">
          <w:rPr>
            <w:rStyle w:val="Hyperlink"/>
            <w:rFonts w:cs="Times New Roman"/>
            <w:lang w:eastAsia="en-AU"/>
          </w:rPr>
          <w:t>art-</w:t>
        </w:r>
        <w:r w:rsidR="0008216E" w:rsidRPr="00E1224A">
          <w:rPr>
            <w:rStyle w:val="Hyperlink"/>
            <w:rFonts w:cs="Times New Roman"/>
            <w:lang w:eastAsia="en-AU"/>
          </w:rPr>
          <w:t>t</w:t>
        </w:r>
        <w:r w:rsidRPr="00E1224A">
          <w:rPr>
            <w:rStyle w:val="Hyperlink"/>
            <w:rFonts w:cs="Times New Roman"/>
            <w:lang w:eastAsia="en-AU"/>
          </w:rPr>
          <w:t>imers</w:t>
        </w:r>
        <w:r w:rsidRPr="00E1224A" w:rsidDel="002F55AB">
          <w:rPr>
            <w:rStyle w:val="Hyperlink"/>
            <w:rFonts w:cs="Times New Roman"/>
            <w:lang w:eastAsia="en-AU"/>
          </w:rPr>
          <w:t>’</w:t>
        </w:r>
        <w:r w:rsidRPr="00E1224A">
          <w:rPr>
            <w:rStyle w:val="Hyperlink"/>
            <w:rFonts w:cs="Times New Roman"/>
            <w:lang w:eastAsia="en-AU"/>
          </w:rPr>
          <w:t xml:space="preserve"> </w:t>
        </w:r>
        <w:r w:rsidR="00523926" w:rsidRPr="00E1224A">
          <w:rPr>
            <w:rStyle w:val="Hyperlink"/>
            <w:rFonts w:cs="Times New Roman"/>
            <w:lang w:eastAsia="en-AU"/>
          </w:rPr>
          <w:t>o</w:t>
        </w:r>
        <w:r w:rsidRPr="00E1224A">
          <w:rPr>
            <w:rStyle w:val="Hyperlink"/>
            <w:rFonts w:cs="Times New Roman"/>
            <w:lang w:eastAsia="en-AU"/>
          </w:rPr>
          <w:t xml:space="preserve">rientations and </w:t>
        </w:r>
        <w:r w:rsidR="00523926" w:rsidRPr="00E1224A">
          <w:rPr>
            <w:rStyle w:val="Hyperlink"/>
            <w:rFonts w:cs="Times New Roman"/>
            <w:lang w:eastAsia="en-AU"/>
          </w:rPr>
          <w:t>a</w:t>
        </w:r>
        <w:r w:rsidRPr="00E1224A">
          <w:rPr>
            <w:rStyle w:val="Hyperlink"/>
            <w:rFonts w:cs="Times New Roman"/>
            <w:lang w:eastAsia="en-AU"/>
          </w:rPr>
          <w:t xml:space="preserve">ttitudes to </w:t>
        </w:r>
        <w:r w:rsidR="00523926" w:rsidRPr="00E1224A">
          <w:rPr>
            <w:rStyle w:val="Hyperlink"/>
            <w:rFonts w:cs="Times New Roman"/>
            <w:lang w:eastAsia="en-AU"/>
          </w:rPr>
          <w:t>w</w:t>
        </w:r>
        <w:r w:rsidRPr="00E1224A">
          <w:rPr>
            <w:rStyle w:val="Hyperlink"/>
            <w:rFonts w:cs="Times New Roman"/>
            <w:lang w:eastAsia="en-AU"/>
          </w:rPr>
          <w:t>ork</w:t>
        </w:r>
        <w:r w:rsidR="00523926" w:rsidRPr="00E1224A">
          <w:rPr>
            <w:rStyle w:val="Hyperlink"/>
            <w:rFonts w:cs="Times New Roman"/>
            <w:lang w:eastAsia="en-AU"/>
          </w:rPr>
          <w:t>’</w:t>
        </w:r>
      </w:hyperlink>
      <w:r w:rsidR="009D7767">
        <w:rPr>
          <w:lang w:eastAsia="en-AU"/>
        </w:rPr>
        <w:t>,</w:t>
      </w:r>
      <w:r w:rsidRPr="00F91121">
        <w:rPr>
          <w:lang w:eastAsia="en-AU"/>
        </w:rPr>
        <w:t xml:space="preserve"> </w:t>
      </w:r>
      <w:r w:rsidRPr="00325832">
        <w:rPr>
          <w:i/>
          <w:lang w:eastAsia="en-AU"/>
        </w:rPr>
        <w:t>Gender, Work &amp; Organization</w:t>
      </w:r>
      <w:r w:rsidRPr="00F91121">
        <w:rPr>
          <w:lang w:eastAsia="en-AU"/>
        </w:rPr>
        <w:t>, 12</w:t>
      </w:r>
      <w:r w:rsidR="00955C4A">
        <w:rPr>
          <w:lang w:eastAsia="en-AU"/>
        </w:rPr>
        <w:t>(3)</w:t>
      </w:r>
      <w:r w:rsidR="007C7F75">
        <w:rPr>
          <w:lang w:eastAsia="en-AU"/>
        </w:rPr>
        <w:t>:</w:t>
      </w:r>
      <w:r w:rsidRPr="00F91121">
        <w:rPr>
          <w:lang w:eastAsia="en-AU"/>
        </w:rPr>
        <w:t xml:space="preserve"> 193-216.</w:t>
      </w:r>
    </w:p>
    <w:p w14:paraId="0B5BE687" w14:textId="058A2A4D" w:rsidR="00764F7A" w:rsidRDefault="00764F7A" w:rsidP="0078531C">
      <w:pPr>
        <w:pStyle w:val="BodyText"/>
        <w:rPr>
          <w:lang w:eastAsia="en-AU"/>
        </w:rPr>
      </w:pPr>
      <w:r w:rsidRPr="00764F7A">
        <w:rPr>
          <w:lang w:eastAsia="en-AU"/>
        </w:rPr>
        <w:t>Węziak-Białowolska</w:t>
      </w:r>
      <w:r>
        <w:rPr>
          <w:lang w:eastAsia="en-AU"/>
        </w:rPr>
        <w:t xml:space="preserve"> </w:t>
      </w:r>
      <w:r w:rsidRPr="00764F7A">
        <w:rPr>
          <w:lang w:eastAsia="en-AU"/>
        </w:rPr>
        <w:t>D, Białowolski</w:t>
      </w:r>
      <w:r>
        <w:rPr>
          <w:lang w:eastAsia="en-AU"/>
        </w:rPr>
        <w:t xml:space="preserve"> </w:t>
      </w:r>
      <w:r w:rsidRPr="00764F7A">
        <w:rPr>
          <w:lang w:eastAsia="en-AU"/>
        </w:rPr>
        <w:t>P, Mordukhovich</w:t>
      </w:r>
      <w:r>
        <w:rPr>
          <w:lang w:eastAsia="en-AU"/>
        </w:rPr>
        <w:t xml:space="preserve"> </w:t>
      </w:r>
      <w:r w:rsidRPr="00764F7A">
        <w:rPr>
          <w:lang w:eastAsia="en-AU"/>
        </w:rPr>
        <w:t>I</w:t>
      </w:r>
      <w:r>
        <w:rPr>
          <w:lang w:eastAsia="en-AU"/>
        </w:rPr>
        <w:t xml:space="preserve"> and</w:t>
      </w:r>
      <w:r w:rsidRPr="00764F7A">
        <w:rPr>
          <w:lang w:eastAsia="en-AU"/>
        </w:rPr>
        <w:t xml:space="preserve"> McNeely</w:t>
      </w:r>
      <w:r>
        <w:rPr>
          <w:lang w:eastAsia="en-AU"/>
        </w:rPr>
        <w:t xml:space="preserve"> </w:t>
      </w:r>
      <w:r w:rsidRPr="00764F7A">
        <w:rPr>
          <w:lang w:eastAsia="en-AU"/>
        </w:rPr>
        <w:t xml:space="preserve">E (2020) </w:t>
      </w:r>
      <w:r w:rsidR="00850A67">
        <w:rPr>
          <w:lang w:eastAsia="en-AU"/>
        </w:rPr>
        <w:t>‘</w:t>
      </w:r>
      <w:hyperlink r:id="rId111" w:history="1">
        <w:r w:rsidRPr="00764F7A">
          <w:rPr>
            <w:rStyle w:val="Hyperlink"/>
            <w:rFonts w:cs="Times New Roman"/>
            <w:lang w:eastAsia="en-AU"/>
          </w:rPr>
          <w:t>Work, gender, and sexual harassment on the frontlines of commercial travel: A cross-sectional study of flight crew well-being</w:t>
        </w:r>
      </w:hyperlink>
      <w:r w:rsidR="00850A67">
        <w:t>’</w:t>
      </w:r>
      <w:r>
        <w:rPr>
          <w:lang w:eastAsia="en-AU"/>
        </w:rPr>
        <w:t xml:space="preserve">, </w:t>
      </w:r>
      <w:r w:rsidRPr="00764F7A">
        <w:rPr>
          <w:i/>
          <w:iCs/>
          <w:lang w:eastAsia="en-AU"/>
        </w:rPr>
        <w:t>The International Journal of Aerospace Psychology</w:t>
      </w:r>
      <w:r w:rsidRPr="00764F7A">
        <w:rPr>
          <w:lang w:eastAsia="en-AU"/>
        </w:rPr>
        <w:t>, 30(3-4):171–189.</w:t>
      </w:r>
      <w:r w:rsidR="000F1123">
        <w:rPr>
          <w:lang w:eastAsia="en-AU"/>
        </w:rPr>
        <w:t xml:space="preserve"> </w:t>
      </w:r>
    </w:p>
    <w:p w14:paraId="506D3B9F" w14:textId="3CAAC124" w:rsidR="004F664E" w:rsidRDefault="004F664E" w:rsidP="0078531C">
      <w:pPr>
        <w:pStyle w:val="BodyText"/>
        <w:rPr>
          <w:lang w:eastAsia="en-AU"/>
        </w:rPr>
      </w:pPr>
      <w:r>
        <w:rPr>
          <w:lang w:eastAsia="en-AU"/>
        </w:rPr>
        <w:t>WGEA</w:t>
      </w:r>
      <w:r w:rsidDel="0025098E">
        <w:rPr>
          <w:lang w:eastAsia="en-AU"/>
        </w:rPr>
        <w:t xml:space="preserve"> </w:t>
      </w:r>
      <w:r w:rsidR="0065254A">
        <w:rPr>
          <w:lang w:eastAsia="en-AU"/>
        </w:rPr>
        <w:t>(Workplace Gender Equality Agency)</w:t>
      </w:r>
      <w:r w:rsidDel="0025098E">
        <w:rPr>
          <w:lang w:eastAsia="en-AU"/>
        </w:rPr>
        <w:t xml:space="preserve"> </w:t>
      </w:r>
      <w:r>
        <w:rPr>
          <w:lang w:eastAsia="en-AU"/>
        </w:rPr>
        <w:t xml:space="preserve">(2018) </w:t>
      </w:r>
      <w:hyperlink r:id="rId112" w:history="1">
        <w:r w:rsidRPr="00BD0137">
          <w:rPr>
            <w:rStyle w:val="Hyperlink"/>
            <w:rFonts w:cs="Times New Roman"/>
            <w:lang w:eastAsia="en-AU"/>
          </w:rPr>
          <w:t>Gender and negotiation in the workplace</w:t>
        </w:r>
      </w:hyperlink>
      <w:r>
        <w:rPr>
          <w:lang w:eastAsia="en-AU"/>
        </w:rPr>
        <w:t xml:space="preserve">, WGEA website, accessed 10 June 2026. </w:t>
      </w:r>
    </w:p>
    <w:p w14:paraId="791ADAF4" w14:textId="5BCF7A59" w:rsidR="00AC2927" w:rsidRDefault="00AC2927" w:rsidP="0078531C">
      <w:pPr>
        <w:pStyle w:val="BodyText"/>
        <w:rPr>
          <w:lang w:eastAsia="en-AU"/>
        </w:rPr>
      </w:pPr>
      <w:r>
        <w:rPr>
          <w:lang w:eastAsia="en-AU"/>
        </w:rPr>
        <w:t xml:space="preserve">WGEA (2026) </w:t>
      </w:r>
      <w:hyperlink r:id="rId113" w:history="1">
        <w:r w:rsidR="00EF5676" w:rsidRPr="00EF5676">
          <w:rPr>
            <w:rStyle w:val="Hyperlink"/>
            <w:rFonts w:cs="Times New Roman"/>
            <w:lang w:eastAsia="en-AU"/>
          </w:rPr>
          <w:t>Employer gender pay g</w:t>
        </w:r>
        <w:r w:rsidR="00492C5A" w:rsidRPr="00EF5676">
          <w:rPr>
            <w:rStyle w:val="Hyperlink"/>
            <w:rFonts w:cs="Times New Roman"/>
            <w:lang w:eastAsia="en-AU"/>
          </w:rPr>
          <w:t>a</w:t>
        </w:r>
        <w:r w:rsidR="00EF5676" w:rsidRPr="00EF5676">
          <w:rPr>
            <w:rStyle w:val="Hyperlink"/>
            <w:rFonts w:cs="Times New Roman"/>
          </w:rPr>
          <w:t>ps report</w:t>
        </w:r>
      </w:hyperlink>
      <w:r w:rsidR="00E96C52">
        <w:rPr>
          <w:lang w:eastAsia="en-AU"/>
        </w:rPr>
        <w:t>, WGEA website, accessed 1</w:t>
      </w:r>
      <w:r w:rsidR="00EF5676">
        <w:rPr>
          <w:lang w:eastAsia="en-AU"/>
        </w:rPr>
        <w:t>8</w:t>
      </w:r>
      <w:r w:rsidR="00E96C52">
        <w:rPr>
          <w:lang w:eastAsia="en-AU"/>
        </w:rPr>
        <w:t xml:space="preserve"> June 2026.</w:t>
      </w:r>
    </w:p>
    <w:p w14:paraId="5DBF8BEE" w14:textId="244A3A19" w:rsidR="001D47A0" w:rsidRDefault="001D47A0" w:rsidP="0078531C">
      <w:pPr>
        <w:pStyle w:val="BodyText"/>
        <w:rPr>
          <w:lang w:eastAsia="en-AU"/>
        </w:rPr>
      </w:pPr>
      <w:r>
        <w:rPr>
          <w:lang w:eastAsia="en-AU"/>
        </w:rPr>
        <w:t xml:space="preserve">WGEA, DCA (Diversity Council Australia) and KPMG (2026) </w:t>
      </w:r>
      <w:hyperlink r:id="rId114" w:history="1">
        <w:r w:rsidRPr="004444B7">
          <w:rPr>
            <w:rStyle w:val="Hyperlink"/>
            <w:rFonts w:cs="Times New Roman"/>
            <w:lang w:eastAsia="en-AU"/>
          </w:rPr>
          <w:t>She</w:t>
        </w:r>
        <w:r w:rsidR="002F55AB" w:rsidRPr="004444B7">
          <w:rPr>
            <w:rStyle w:val="Hyperlink"/>
            <w:rFonts w:cs="Times New Roman"/>
            <w:lang w:eastAsia="en-AU"/>
          </w:rPr>
          <w:t>’</w:t>
        </w:r>
        <w:r w:rsidRPr="004444B7">
          <w:rPr>
            <w:rStyle w:val="Hyperlink"/>
            <w:rFonts w:cs="Times New Roman"/>
            <w:lang w:eastAsia="en-AU"/>
          </w:rPr>
          <w:t xml:space="preserve">s </w:t>
        </w:r>
        <w:r w:rsidR="003E481A">
          <w:rPr>
            <w:rStyle w:val="Hyperlink"/>
            <w:rFonts w:cs="Times New Roman"/>
            <w:lang w:eastAsia="en-AU"/>
          </w:rPr>
          <w:t>p</w:t>
        </w:r>
        <w:r w:rsidRPr="004444B7">
          <w:rPr>
            <w:rStyle w:val="Hyperlink"/>
            <w:rFonts w:cs="Times New Roman"/>
            <w:lang w:eastAsia="en-AU"/>
          </w:rPr>
          <w:t>rice(d)less: The economics of the gender pay gap</w:t>
        </w:r>
      </w:hyperlink>
      <w:r w:rsidRPr="001D47A0">
        <w:rPr>
          <w:lang w:eastAsia="en-AU"/>
        </w:rPr>
        <w:t xml:space="preserve">, </w:t>
      </w:r>
      <w:r w:rsidR="00D267A4">
        <w:rPr>
          <w:lang w:eastAsia="en-AU"/>
        </w:rPr>
        <w:t>WGEA website</w:t>
      </w:r>
      <w:r w:rsidR="000E06F6">
        <w:rPr>
          <w:lang w:eastAsia="en-AU"/>
        </w:rPr>
        <w:t>,</w:t>
      </w:r>
      <w:r w:rsidR="00D267A4">
        <w:rPr>
          <w:lang w:eastAsia="en-AU"/>
        </w:rPr>
        <w:t xml:space="preserve"> </w:t>
      </w:r>
      <w:r w:rsidRPr="001D47A0">
        <w:rPr>
          <w:lang w:eastAsia="en-AU"/>
        </w:rPr>
        <w:t>accessed 14 June 2026.</w:t>
      </w:r>
    </w:p>
    <w:p w14:paraId="1564D1F4" w14:textId="4990166D" w:rsidR="00D0628B" w:rsidRDefault="00D0628B" w:rsidP="0078531C">
      <w:pPr>
        <w:pStyle w:val="BodyText"/>
      </w:pPr>
      <w:r w:rsidRPr="00944150">
        <w:t>Wibrow</w:t>
      </w:r>
      <w:r w:rsidR="00A5485E">
        <w:t xml:space="preserve"> B</w:t>
      </w:r>
      <w:r w:rsidRPr="00944150">
        <w:t xml:space="preserve"> (2022) </w:t>
      </w:r>
      <w:hyperlink r:id="rId115" w:history="1">
        <w:r w:rsidRPr="00944150">
          <w:rPr>
            <w:rStyle w:val="Hyperlink"/>
            <w:rFonts w:cs="Times New Roman"/>
            <w:szCs w:val="21"/>
          </w:rPr>
          <w:t>VET and higher education pathways – do outcomes differ for the same occupation?</w:t>
        </w:r>
      </w:hyperlink>
      <w:r w:rsidRPr="00944150">
        <w:t xml:space="preserve"> </w:t>
      </w:r>
      <w:r w:rsidR="004D433D">
        <w:t>National Centre for Vocational Education Research (</w:t>
      </w:r>
      <w:r w:rsidRPr="00944150">
        <w:t>NCVER</w:t>
      </w:r>
      <w:r w:rsidR="004D433D">
        <w:t>)</w:t>
      </w:r>
      <w:r w:rsidRPr="00944150">
        <w:t>, Adelaide</w:t>
      </w:r>
      <w:r w:rsidR="004D433D">
        <w:t xml:space="preserve">, accessed 9 June 2026. </w:t>
      </w:r>
    </w:p>
    <w:p w14:paraId="75C83076" w14:textId="61FA92B2" w:rsidR="00EC4184" w:rsidRPr="004A582F" w:rsidRDefault="0085059D" w:rsidP="0078531C">
      <w:pPr>
        <w:pStyle w:val="BodyText"/>
        <w:rPr>
          <w:lang w:eastAsia="en-AU"/>
        </w:rPr>
      </w:pPr>
      <w:r w:rsidRPr="0085059D">
        <w:rPr>
          <w:lang w:eastAsia="en-AU"/>
        </w:rPr>
        <w:t>Zou</w:t>
      </w:r>
      <w:r>
        <w:rPr>
          <w:lang w:eastAsia="en-AU"/>
        </w:rPr>
        <w:t xml:space="preserve"> </w:t>
      </w:r>
      <w:r w:rsidRPr="0085059D">
        <w:rPr>
          <w:lang w:eastAsia="en-AU"/>
        </w:rPr>
        <w:t>M</w:t>
      </w:r>
      <w:r>
        <w:rPr>
          <w:lang w:eastAsia="en-AU"/>
        </w:rPr>
        <w:t xml:space="preserve"> (2015) </w:t>
      </w:r>
      <w:r w:rsidR="008C2E1A">
        <w:rPr>
          <w:lang w:eastAsia="en-AU"/>
        </w:rPr>
        <w:t>‘</w:t>
      </w:r>
      <w:hyperlink r:id="rId116" w:history="1">
        <w:r w:rsidRPr="00B3283A">
          <w:rPr>
            <w:rStyle w:val="Hyperlink"/>
            <w:rFonts w:cs="Times New Roman"/>
            <w:lang w:eastAsia="en-AU"/>
          </w:rPr>
          <w:t xml:space="preserve">Gender, </w:t>
        </w:r>
        <w:r w:rsidR="00A902B5">
          <w:rPr>
            <w:rStyle w:val="Hyperlink"/>
            <w:rFonts w:cs="Times New Roman"/>
            <w:lang w:eastAsia="en-AU"/>
          </w:rPr>
          <w:t>w</w:t>
        </w:r>
        <w:r w:rsidRPr="00B3283A">
          <w:rPr>
            <w:rStyle w:val="Hyperlink"/>
            <w:rFonts w:cs="Times New Roman"/>
            <w:lang w:eastAsia="en-AU"/>
          </w:rPr>
          <w:t xml:space="preserve">ork </w:t>
        </w:r>
        <w:r w:rsidR="00A902B5">
          <w:rPr>
            <w:rStyle w:val="Hyperlink"/>
            <w:rFonts w:cs="Times New Roman"/>
            <w:lang w:eastAsia="en-AU"/>
          </w:rPr>
          <w:t>o</w:t>
        </w:r>
        <w:r w:rsidRPr="00B3283A">
          <w:rPr>
            <w:rStyle w:val="Hyperlink"/>
            <w:rFonts w:cs="Times New Roman"/>
            <w:lang w:eastAsia="en-AU"/>
          </w:rPr>
          <w:t xml:space="preserve">rientations and </w:t>
        </w:r>
        <w:r w:rsidR="00A902B5">
          <w:rPr>
            <w:rStyle w:val="Hyperlink"/>
            <w:rFonts w:cs="Times New Roman"/>
            <w:lang w:eastAsia="en-AU"/>
          </w:rPr>
          <w:t>j</w:t>
        </w:r>
        <w:r w:rsidRPr="00B3283A">
          <w:rPr>
            <w:rStyle w:val="Hyperlink"/>
            <w:rFonts w:cs="Times New Roman"/>
            <w:lang w:eastAsia="en-AU"/>
          </w:rPr>
          <w:t xml:space="preserve">ob </w:t>
        </w:r>
        <w:r w:rsidR="00A902B5">
          <w:rPr>
            <w:rStyle w:val="Hyperlink"/>
            <w:rFonts w:cs="Times New Roman"/>
            <w:lang w:eastAsia="en-AU"/>
          </w:rPr>
          <w:t>s</w:t>
        </w:r>
        <w:r w:rsidRPr="00B3283A">
          <w:rPr>
            <w:rStyle w:val="Hyperlink"/>
            <w:rFonts w:cs="Times New Roman"/>
            <w:lang w:eastAsia="en-AU"/>
          </w:rPr>
          <w:t>atisfaction</w:t>
        </w:r>
      </w:hyperlink>
      <w:r w:rsidR="008C2E1A">
        <w:t>’</w:t>
      </w:r>
      <w:r>
        <w:rPr>
          <w:lang w:eastAsia="en-AU"/>
        </w:rPr>
        <w:t>,</w:t>
      </w:r>
      <w:r w:rsidRPr="0085059D">
        <w:rPr>
          <w:lang w:eastAsia="en-AU"/>
        </w:rPr>
        <w:t xml:space="preserve"> </w:t>
      </w:r>
      <w:r w:rsidRPr="00325832">
        <w:rPr>
          <w:i/>
          <w:lang w:eastAsia="en-AU"/>
        </w:rPr>
        <w:t xml:space="preserve">Work, </w:t>
      </w:r>
      <w:r w:rsidR="006D174E">
        <w:rPr>
          <w:i/>
          <w:iCs/>
          <w:lang w:eastAsia="en-AU"/>
        </w:rPr>
        <w:t>E</w:t>
      </w:r>
      <w:r w:rsidRPr="00325832">
        <w:rPr>
          <w:i/>
          <w:lang w:eastAsia="en-AU"/>
        </w:rPr>
        <w:t xml:space="preserve">mployment and </w:t>
      </w:r>
      <w:r w:rsidR="006D174E">
        <w:rPr>
          <w:i/>
          <w:iCs/>
          <w:lang w:eastAsia="en-AU"/>
        </w:rPr>
        <w:t>S</w:t>
      </w:r>
      <w:r w:rsidRPr="00325832">
        <w:rPr>
          <w:i/>
          <w:lang w:eastAsia="en-AU"/>
        </w:rPr>
        <w:t>ociety</w:t>
      </w:r>
      <w:r>
        <w:rPr>
          <w:lang w:eastAsia="en-AU"/>
        </w:rPr>
        <w:t xml:space="preserve">, </w:t>
      </w:r>
      <w:r w:rsidRPr="0085059D">
        <w:rPr>
          <w:lang w:eastAsia="en-AU"/>
        </w:rPr>
        <w:t>29(1)</w:t>
      </w:r>
      <w:r>
        <w:rPr>
          <w:lang w:eastAsia="en-AU"/>
        </w:rPr>
        <w:t>:</w:t>
      </w:r>
      <w:r w:rsidRPr="0085059D">
        <w:rPr>
          <w:lang w:eastAsia="en-AU"/>
        </w:rPr>
        <w:t xml:space="preserve"> 3</w:t>
      </w:r>
      <w:r w:rsidR="007B6544">
        <w:rPr>
          <w:lang w:eastAsia="en-AU"/>
        </w:rPr>
        <w:t>-22.</w:t>
      </w:r>
    </w:p>
    <w:sectPr w:rsidR="00EC4184" w:rsidRPr="004A582F" w:rsidSect="00CF230C">
      <w:headerReference w:type="even" r:id="rId117"/>
      <w:headerReference w:type="default" r:id="rId118"/>
      <w:footerReference w:type="even" r:id="rId119"/>
      <w:footerReference w:type="default" r:id="rId120"/>
      <w:pgSz w:w="11906" w:h="16838" w:code="9"/>
      <w:pgMar w:top="1418"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2046" w14:textId="77777777" w:rsidR="00157F11" w:rsidRDefault="00157F11">
      <w:r>
        <w:separator/>
      </w:r>
    </w:p>
    <w:p w14:paraId="5BCCF3F8" w14:textId="77777777" w:rsidR="00157F11" w:rsidRDefault="00157F11"/>
  </w:endnote>
  <w:endnote w:type="continuationSeparator" w:id="0">
    <w:p w14:paraId="1DB16FDD" w14:textId="77777777" w:rsidR="00157F11" w:rsidRDefault="00157F11">
      <w:r>
        <w:continuationSeparator/>
      </w:r>
    </w:p>
    <w:p w14:paraId="3B1D2F07" w14:textId="77777777" w:rsidR="00157F11" w:rsidRDefault="00157F11"/>
  </w:endnote>
  <w:endnote w:type="continuationNotice" w:id="1">
    <w:p w14:paraId="04060C01" w14:textId="77777777" w:rsidR="00157F11" w:rsidRDefault="00157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C">
    <w:altName w:val="VIC"/>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545B1601" w:rsidR="00EB4BC7" w:rsidRDefault="00B36157">
    <w:pPr>
      <w:pStyle w:val="Footer"/>
    </w:pPr>
    <w:r>
      <w:rPr>
        <w:noProof/>
      </w:rPr>
      <mc:AlternateContent>
        <mc:Choice Requires="wps">
          <w:drawing>
            <wp:anchor distT="0" distB="0" distL="0" distR="0" simplePos="0" relativeHeight="251658243" behindDoc="0" locked="0" layoutInCell="1" allowOverlap="1" wp14:anchorId="4567F5E3" wp14:editId="793AD901">
              <wp:simplePos x="635" y="635"/>
              <wp:positionH relativeFrom="page">
                <wp:align>center</wp:align>
              </wp:positionH>
              <wp:positionV relativeFrom="page">
                <wp:align>bottom</wp:align>
              </wp:positionV>
              <wp:extent cx="1383030" cy="369570"/>
              <wp:effectExtent l="0" t="0" r="7620" b="0"/>
              <wp:wrapNone/>
              <wp:docPr id="73138356"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9570"/>
                      </a:xfrm>
                      <a:prstGeom prst="rect">
                        <a:avLst/>
                      </a:prstGeom>
                      <a:noFill/>
                      <a:ln>
                        <a:noFill/>
                      </a:ln>
                    </wps:spPr>
                    <wps:txbx>
                      <w:txbxContent>
                        <w:p w14:paraId="776B9DD6" w14:textId="76930C1B" w:rsidR="00B36157" w:rsidRPr="00B36157" w:rsidRDefault="00B36157" w:rsidP="00B36157">
                          <w:pPr>
                            <w:spacing w:after="0"/>
                            <w:rPr>
                              <w:rFonts w:ascii="Arial Black" w:eastAsia="Arial Black" w:hAnsi="Arial Black" w:cs="Arial Black"/>
                              <w:noProof/>
                              <w:color w:val="E4100E"/>
                              <w:sz w:val="20"/>
                            </w:rPr>
                          </w:pPr>
                          <w:r w:rsidRPr="00B36157">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7F5E3" id="_x0000_t202" coordsize="21600,21600" o:spt="202" path="m,l,21600r21600,l21600,xe">
              <v:stroke joinstyle="miter"/>
              <v:path gradientshapeok="t" o:connecttype="rect"/>
            </v:shapetype>
            <v:shape id="Text Box 5" o:spid="_x0000_s1026" type="#_x0000_t202" alt="OFFICIAL: Sensitive" style="position:absolute;margin-left:0;margin-top:0;width:108.9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" filled="f" stroked="f">
              <v:textbox style="mso-fit-shape-to-text:t" inset="0,0,0,15pt">
                <w:txbxContent>
                  <w:p w14:paraId="776B9DD6" w14:textId="76930C1B" w:rsidR="00B36157" w:rsidRPr="00B36157" w:rsidRDefault="00B36157" w:rsidP="00B36157">
                    <w:pPr>
                      <w:spacing w:after="0"/>
                      <w:rPr>
                        <w:rFonts w:ascii="Arial Black" w:eastAsia="Arial Black" w:hAnsi="Arial Black" w:cs="Arial Black"/>
                        <w:noProof/>
                        <w:color w:val="E4100E"/>
                        <w:sz w:val="20"/>
                      </w:rPr>
                    </w:pPr>
                    <w:r w:rsidRPr="00B36157">
                      <w:rPr>
                        <w:rFonts w:ascii="Arial Black" w:eastAsia="Arial Black" w:hAnsi="Arial Black" w:cs="Arial Black"/>
                        <w:noProof/>
                        <w:color w:val="E4100E"/>
                        <w:sz w:val="20"/>
                      </w:rPr>
                      <w:t>OFFICIAL: Sensitive</w:t>
                    </w:r>
                  </w:p>
                </w:txbxContent>
              </v:textbox>
              <w10:wrap anchorx="page" anchory="page"/>
            </v:shape>
          </w:pict>
        </mc:Fallback>
      </mc:AlternateContent>
    </w:r>
    <w:r w:rsidR="00D13659">
      <w:rPr>
        <w:noProof/>
      </w:rPr>
      <mc:AlternateContent>
        <mc:Choice Requires="wps">
          <w:drawing>
            <wp:anchor distT="0" distB="0" distL="0" distR="0" simplePos="0" relativeHeight="251658240" behindDoc="0" locked="0" layoutInCell="1" allowOverlap="1" wp14:anchorId="44A52DE6" wp14:editId="113F81EF">
              <wp:simplePos x="635" y="635"/>
              <wp:positionH relativeFrom="page">
                <wp:align>center</wp:align>
              </wp:positionH>
              <wp:positionV relativeFrom="page">
                <wp:align>bottom</wp:align>
              </wp:positionV>
              <wp:extent cx="656590" cy="369570"/>
              <wp:effectExtent l="0" t="0" r="10160" b="0"/>
              <wp:wrapNone/>
              <wp:docPr id="83441294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E71FCE2" w14:textId="25FF63A3" w:rsidR="00D13659" w:rsidRPr="00D13659" w:rsidRDefault="00D13659" w:rsidP="00D13659">
                          <w:pPr>
                            <w:spacing w:after="0"/>
                            <w:rPr>
                              <w:rFonts w:ascii="Arial Black" w:eastAsia="Arial Black" w:hAnsi="Arial Black" w:cs="Arial Black"/>
                              <w:noProof/>
                              <w:color w:val="000000"/>
                              <w:sz w:val="20"/>
                            </w:rPr>
                          </w:pPr>
                          <w:r w:rsidRPr="00D1365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4A52DE6" id="_x0000_s1027" type="#_x0000_t202" alt="OFFICIAL" style="position:absolute;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6E71FCE2" w14:textId="25FF63A3" w:rsidR="00D13659" w:rsidRPr="00D13659" w:rsidRDefault="00D13659" w:rsidP="00D13659">
                    <w:pPr>
                      <w:spacing w:after="0"/>
                      <w:rPr>
                        <w:rFonts w:ascii="Arial Black" w:eastAsia="Arial Black" w:hAnsi="Arial Black" w:cs="Arial Black"/>
                        <w:noProof/>
                        <w:color w:val="000000"/>
                        <w:sz w:val="20"/>
                      </w:rPr>
                    </w:pPr>
                    <w:r w:rsidRPr="00D13659">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6B0DBA63" w:rsidR="00431A70" w:rsidRDefault="00B36157">
    <w:pPr>
      <w:pStyle w:val="Footer"/>
    </w:pPr>
    <w:r>
      <w:rPr>
        <w:noProof/>
      </w:rPr>
      <mc:AlternateContent>
        <mc:Choice Requires="wps">
          <w:drawing>
            <wp:anchor distT="0" distB="0" distL="0" distR="0" simplePos="0" relativeHeight="251658244" behindDoc="0" locked="0" layoutInCell="1" allowOverlap="1" wp14:anchorId="08B44DB9" wp14:editId="77CC9172">
              <wp:simplePos x="635" y="635"/>
              <wp:positionH relativeFrom="page">
                <wp:align>center</wp:align>
              </wp:positionH>
              <wp:positionV relativeFrom="page">
                <wp:align>bottom</wp:align>
              </wp:positionV>
              <wp:extent cx="1383030" cy="369570"/>
              <wp:effectExtent l="0" t="0" r="7620" b="0"/>
              <wp:wrapNone/>
              <wp:docPr id="1450138179"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9570"/>
                      </a:xfrm>
                      <a:prstGeom prst="rect">
                        <a:avLst/>
                      </a:prstGeom>
                      <a:noFill/>
                      <a:ln>
                        <a:noFill/>
                      </a:ln>
                    </wps:spPr>
                    <wps:txbx>
                      <w:txbxContent>
                        <w:p w14:paraId="5C64D1F9" w14:textId="22D818A6" w:rsidR="00B36157" w:rsidRPr="00B36157" w:rsidRDefault="00B36157" w:rsidP="00B36157">
                          <w:pPr>
                            <w:spacing w:after="0"/>
                            <w:rPr>
                              <w:rFonts w:ascii="Arial Black" w:eastAsia="Arial Black" w:hAnsi="Arial Black" w:cs="Arial Black"/>
                              <w:noProof/>
                              <w:color w:val="E4100E"/>
                              <w:sz w:val="20"/>
                            </w:rPr>
                          </w:pPr>
                          <w:r w:rsidRPr="00B36157">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B44DB9" id="_x0000_t202" coordsize="21600,21600" o:spt="202" path="m,l,21600r21600,l21600,xe">
              <v:stroke joinstyle="miter"/>
              <v:path gradientshapeok="t" o:connecttype="rect"/>
            </v:shapetype>
            <v:shape id="Text Box 6" o:spid="_x0000_s1028" type="#_x0000_t202" alt="OFFICIAL: Sensitive" style="position:absolute;margin-left:0;margin-top:0;width:108.9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" filled="f" stroked="f">
              <v:textbox style="mso-fit-shape-to-text:t" inset="0,0,0,15pt">
                <w:txbxContent>
                  <w:p w14:paraId="5C64D1F9" w14:textId="22D818A6" w:rsidR="00B36157" w:rsidRPr="00B36157" w:rsidRDefault="00B36157" w:rsidP="00B36157">
                    <w:pPr>
                      <w:spacing w:after="0"/>
                      <w:rPr>
                        <w:rFonts w:ascii="Arial Black" w:eastAsia="Arial Black" w:hAnsi="Arial Black" w:cs="Arial Black"/>
                        <w:noProof/>
                        <w:color w:val="E4100E"/>
                        <w:sz w:val="20"/>
                      </w:rPr>
                    </w:pPr>
                    <w:r w:rsidRPr="00B36157">
                      <w:rPr>
                        <w:rFonts w:ascii="Arial Black" w:eastAsia="Arial Black" w:hAnsi="Arial Black" w:cs="Arial Black"/>
                        <w:noProof/>
                        <w:color w:val="E4100E"/>
                        <w:sz w:val="20"/>
                      </w:rPr>
                      <w:t>OFFICIAL: Sensitive</w:t>
                    </w:r>
                  </w:p>
                </w:txbxContent>
              </v:textbox>
              <w10:wrap anchorx="page" anchory="page"/>
            </v:shape>
          </w:pict>
        </mc:Fallback>
      </mc:AlternateContent>
    </w:r>
    <w:r w:rsidR="00D13659">
      <w:rPr>
        <w:noProof/>
      </w:rPr>
      <mc:AlternateContent>
        <mc:Choice Requires="wps">
          <w:drawing>
            <wp:anchor distT="0" distB="0" distL="0" distR="0" simplePos="0" relativeHeight="251658241" behindDoc="0" locked="0" layoutInCell="1" allowOverlap="1" wp14:anchorId="461D420C" wp14:editId="535AA4BF">
              <wp:simplePos x="635" y="635"/>
              <wp:positionH relativeFrom="page">
                <wp:align>center</wp:align>
              </wp:positionH>
              <wp:positionV relativeFrom="page">
                <wp:align>bottom</wp:align>
              </wp:positionV>
              <wp:extent cx="656590" cy="369570"/>
              <wp:effectExtent l="0" t="0" r="10160" b="0"/>
              <wp:wrapNone/>
              <wp:docPr id="195626934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F3F4765" w14:textId="39A2F889" w:rsidR="00D13659" w:rsidRPr="00D13659" w:rsidRDefault="00D13659" w:rsidP="00D13659">
                          <w:pPr>
                            <w:spacing w:after="0"/>
                            <w:rPr>
                              <w:rFonts w:ascii="Arial Black" w:eastAsia="Arial Black" w:hAnsi="Arial Black" w:cs="Arial Black"/>
                              <w:noProof/>
                              <w:color w:val="000000"/>
                              <w:sz w:val="20"/>
                            </w:rPr>
                          </w:pPr>
                          <w:r w:rsidRPr="00D1365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61D420C" id="_x0000_s1029" type="#_x0000_t202" alt="OFFICIAL" style="position:absolute;margin-left:0;margin-top:0;width:51.7pt;height:29.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7F3F4765" w14:textId="39A2F889" w:rsidR="00D13659" w:rsidRPr="00D13659" w:rsidRDefault="00D13659" w:rsidP="00D13659">
                    <w:pPr>
                      <w:spacing w:after="0"/>
                      <w:rPr>
                        <w:rFonts w:ascii="Arial Black" w:eastAsia="Arial Black" w:hAnsi="Arial Black" w:cs="Arial Black"/>
                        <w:noProof/>
                        <w:color w:val="000000"/>
                        <w:sz w:val="20"/>
                      </w:rPr>
                    </w:pPr>
                    <w:r w:rsidRPr="00D13659">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3A51" w14:textId="358CFAD2" w:rsidR="00501FD7" w:rsidRDefault="00501FD7">
    <w:pPr>
      <w:pStyle w:val="Footer"/>
      <w:rPr>
        <w:noProof/>
      </w:rPr>
    </w:pPr>
  </w:p>
  <w:p w14:paraId="117F02AE" w14:textId="486061B5" w:rsidR="0001334C" w:rsidRDefault="000133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2F8DB3BC" w:rsidR="00D63636" w:rsidRDefault="00B36157">
    <w:pPr>
      <w:pStyle w:val="Footer"/>
    </w:pPr>
    <w:r>
      <w:rPr>
        <w:noProof/>
      </w:rPr>
      <mc:AlternateContent>
        <mc:Choice Requires="wps">
          <w:drawing>
            <wp:anchor distT="0" distB="0" distL="0" distR="0" simplePos="0" relativeHeight="251658245" behindDoc="0" locked="0" layoutInCell="1" allowOverlap="1" wp14:anchorId="6A34F528" wp14:editId="20356DBB">
              <wp:simplePos x="635" y="635"/>
              <wp:positionH relativeFrom="page">
                <wp:align>center</wp:align>
              </wp:positionH>
              <wp:positionV relativeFrom="page">
                <wp:align>bottom</wp:align>
              </wp:positionV>
              <wp:extent cx="1383030" cy="369570"/>
              <wp:effectExtent l="0" t="0" r="7620" b="0"/>
              <wp:wrapNone/>
              <wp:docPr id="1782728324"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9570"/>
                      </a:xfrm>
                      <a:prstGeom prst="rect">
                        <a:avLst/>
                      </a:prstGeom>
                      <a:noFill/>
                      <a:ln>
                        <a:noFill/>
                      </a:ln>
                    </wps:spPr>
                    <wps:txbx>
                      <w:txbxContent>
                        <w:p w14:paraId="33EE9466" w14:textId="62BFE731" w:rsidR="00B36157" w:rsidRPr="00B36157" w:rsidRDefault="00B36157" w:rsidP="00B36157">
                          <w:pPr>
                            <w:spacing w:after="0"/>
                            <w:rPr>
                              <w:rFonts w:ascii="Arial Black" w:eastAsia="Arial Black" w:hAnsi="Arial Black" w:cs="Arial Black"/>
                              <w:noProof/>
                              <w:color w:val="E4100E"/>
                              <w:sz w:val="20"/>
                            </w:rPr>
                          </w:pPr>
                          <w:r w:rsidRPr="00B36157">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34F528" id="_x0000_t202" coordsize="21600,21600" o:spt="202" path="m,l,21600r21600,l21600,xe">
              <v:stroke joinstyle="miter"/>
              <v:path gradientshapeok="t" o:connecttype="rect"/>
            </v:shapetype>
            <v:shape id="Text Box 7" o:spid="_x0000_s1030" type="#_x0000_t202" alt="OFFICIAL: Sensitive" style="position:absolute;margin-left:0;margin-top:0;width:108.9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" filled="f" stroked="f">
              <v:textbox style="mso-fit-shape-to-text:t" inset="0,0,0,15pt">
                <w:txbxContent>
                  <w:p w14:paraId="33EE9466" w14:textId="62BFE731" w:rsidR="00B36157" w:rsidRPr="00B36157" w:rsidRDefault="00B36157" w:rsidP="00B36157">
                    <w:pPr>
                      <w:spacing w:after="0"/>
                      <w:rPr>
                        <w:rFonts w:ascii="Arial Black" w:eastAsia="Arial Black" w:hAnsi="Arial Black" w:cs="Arial Black"/>
                        <w:noProof/>
                        <w:color w:val="E4100E"/>
                        <w:sz w:val="20"/>
                      </w:rPr>
                    </w:pPr>
                    <w:r w:rsidRPr="00B36157">
                      <w:rPr>
                        <w:rFonts w:ascii="Arial Black" w:eastAsia="Arial Black" w:hAnsi="Arial Black" w:cs="Arial Black"/>
                        <w:noProof/>
                        <w:color w:val="E4100E"/>
                        <w:sz w:val="20"/>
                      </w:rPr>
                      <w:t>OFFICIAL: Sensitive</w:t>
                    </w:r>
                  </w:p>
                </w:txbxContent>
              </v:textbox>
              <w10:wrap anchorx="page" anchory="page"/>
            </v:shape>
          </w:pict>
        </mc:Fallback>
      </mc:AlternateContent>
    </w:r>
    <w:r w:rsidR="00D13659">
      <w:rPr>
        <w:noProof/>
      </w:rPr>
      <mc:AlternateContent>
        <mc:Choice Requires="wps">
          <w:drawing>
            <wp:anchor distT="0" distB="0" distL="0" distR="0" simplePos="0" relativeHeight="251658242" behindDoc="0" locked="0" layoutInCell="1" allowOverlap="1" wp14:anchorId="20AE0D15" wp14:editId="03066F3C">
              <wp:simplePos x="635" y="635"/>
              <wp:positionH relativeFrom="page">
                <wp:align>center</wp:align>
              </wp:positionH>
              <wp:positionV relativeFrom="page">
                <wp:align>bottom</wp:align>
              </wp:positionV>
              <wp:extent cx="656590" cy="369570"/>
              <wp:effectExtent l="0" t="0" r="10160" b="0"/>
              <wp:wrapNone/>
              <wp:docPr id="88821182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A5F2065" w14:textId="6E6A9F9A" w:rsidR="00D13659" w:rsidRPr="00D13659" w:rsidRDefault="00D13659" w:rsidP="00D13659">
                          <w:pPr>
                            <w:spacing w:after="0"/>
                            <w:rPr>
                              <w:rFonts w:ascii="Arial Black" w:eastAsia="Arial Black" w:hAnsi="Arial Black" w:cs="Arial Black"/>
                              <w:noProof/>
                              <w:color w:val="000000"/>
                              <w:sz w:val="20"/>
                            </w:rPr>
                          </w:pPr>
                          <w:r w:rsidRPr="00D13659">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0AE0D15" id="_x0000_s1031" type="#_x0000_t202" alt="OFFICIAL" style="position:absolute;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3A5F2065" w14:textId="6E6A9F9A" w:rsidR="00D13659" w:rsidRPr="00D13659" w:rsidRDefault="00D13659" w:rsidP="00D13659">
                    <w:pPr>
                      <w:spacing w:after="0"/>
                      <w:rPr>
                        <w:rFonts w:ascii="Arial Black" w:eastAsia="Arial Black" w:hAnsi="Arial Black" w:cs="Arial Black"/>
                        <w:noProof/>
                        <w:color w:val="000000"/>
                        <w:sz w:val="20"/>
                      </w:rPr>
                    </w:pPr>
                    <w:r w:rsidRPr="00D13659">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4171C1C9"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6D27" w14:textId="77777777" w:rsidR="00157F11" w:rsidRDefault="00157F11" w:rsidP="00207717">
      <w:pPr>
        <w:spacing w:before="120"/>
      </w:pPr>
      <w:r>
        <w:separator/>
      </w:r>
    </w:p>
  </w:footnote>
  <w:footnote w:type="continuationSeparator" w:id="0">
    <w:p w14:paraId="14C2CB7C" w14:textId="77777777" w:rsidR="00157F11" w:rsidRDefault="00157F11">
      <w:r>
        <w:continuationSeparator/>
      </w:r>
    </w:p>
    <w:p w14:paraId="10050A00" w14:textId="77777777" w:rsidR="00157F11" w:rsidRDefault="00157F11"/>
  </w:footnote>
  <w:footnote w:type="continuationNotice" w:id="1">
    <w:p w14:paraId="1263097B" w14:textId="77777777" w:rsidR="00157F11" w:rsidRDefault="00157F11">
      <w:pPr>
        <w:spacing w:after="0" w:line="240" w:lineRule="auto"/>
      </w:pPr>
    </w:p>
  </w:footnote>
  <w:footnote w:id="2">
    <w:p w14:paraId="46D5A92B" w14:textId="765CE2DD" w:rsidR="006C5402" w:rsidRPr="00D00373" w:rsidRDefault="006C5402">
      <w:pPr>
        <w:pStyle w:val="FootnoteText"/>
      </w:pPr>
      <w:r>
        <w:rPr>
          <w:rStyle w:val="FootnoteReference"/>
        </w:rPr>
        <w:footnoteRef/>
      </w:r>
      <w:r w:rsidRPr="00D00373">
        <w:rPr>
          <w:vertAlign w:val="superscript"/>
        </w:rPr>
        <w:t xml:space="preserve"> </w:t>
      </w:r>
      <w:r w:rsidR="00250137">
        <w:t>I</w:t>
      </w:r>
      <w:r w:rsidR="004C2885">
        <w:t xml:space="preserve">n 2025, </w:t>
      </w:r>
      <w:r w:rsidR="009506E2">
        <w:t xml:space="preserve">the proportion of senior leaders who </w:t>
      </w:r>
      <w:r w:rsidR="004C2885">
        <w:t>were</w:t>
      </w:r>
      <w:r w:rsidR="009506E2">
        <w:t xml:space="preserve"> women in the transport sector </w:t>
      </w:r>
      <w:r w:rsidR="00250137">
        <w:t>declined by 0.3</w:t>
      </w:r>
      <w:r w:rsidR="004730EF">
        <w:t xml:space="preserve"> percentage points compared to 2021.</w:t>
      </w:r>
      <w:r w:rsidR="009506E2">
        <w:t xml:space="preserve"> </w:t>
      </w:r>
      <w:r w:rsidR="00250137">
        <w:t>Technically,</w:t>
      </w:r>
      <w:r w:rsidR="00B77961">
        <w:t xml:space="preserve"> this means the proportion of senior leaders who were women</w:t>
      </w:r>
      <w:r w:rsidR="00250137">
        <w:t xml:space="preserve"> </w:t>
      </w:r>
      <w:r w:rsidR="009506E2">
        <w:t xml:space="preserve">moved closer to </w:t>
      </w:r>
      <w:r w:rsidR="001337EF">
        <w:t xml:space="preserve">the overall </w:t>
      </w:r>
      <w:r w:rsidR="004C2885">
        <w:t xml:space="preserve">proportion of </w:t>
      </w:r>
      <w:r w:rsidR="001337EF">
        <w:t>employee</w:t>
      </w:r>
      <w:r w:rsidR="004C2885">
        <w:t xml:space="preserve">s who were women. As such, this could be rated as ‘improving’. However, </w:t>
      </w:r>
      <w:r w:rsidR="00664615" w:rsidRPr="00D00373">
        <w:t xml:space="preserve">in some situations, men-concentrated organisations </w:t>
      </w:r>
      <w:r w:rsidR="00464A15" w:rsidRPr="00D00373">
        <w:t xml:space="preserve">or industries </w:t>
      </w:r>
      <w:r w:rsidR="00664615" w:rsidRPr="00D00373">
        <w:t>might aim for a greater proportion of women in senior roles than those that are employed throughout their organisation.</w:t>
      </w:r>
      <w:r w:rsidR="00CD27FC" w:rsidRPr="00D00373">
        <w:t xml:space="preserve"> This can be a strategy to improve gender equality throughout the organisation </w:t>
      </w:r>
      <w:r w:rsidR="00464A15" w:rsidRPr="00D00373">
        <w:t>or industry</w:t>
      </w:r>
      <w:r w:rsidR="00CD27FC" w:rsidRPr="00D00373">
        <w:t xml:space="preserve"> and encourage more women to enter.</w:t>
      </w:r>
      <w:r w:rsidR="00464A15" w:rsidRPr="00D00373">
        <w:t xml:space="preserve"> As such, </w:t>
      </w:r>
      <w:r w:rsidR="00B91C69" w:rsidRPr="00D00373">
        <w:t xml:space="preserve">seeing a drop in women leaders in this industry may </w:t>
      </w:r>
      <w:r w:rsidR="001F6B37" w:rsidRPr="00D00373">
        <w:t>not be viewed as improvement. For these reasons, the Commission has not assigned a progress rating to the transport industry.</w:t>
      </w:r>
    </w:p>
  </w:footnote>
  <w:footnote w:id="3">
    <w:p w14:paraId="30CE2FC3" w14:textId="6C41542B" w:rsidR="00AE23E5" w:rsidRDefault="00AE23E5">
      <w:pPr>
        <w:pStyle w:val="FootnoteText"/>
      </w:pPr>
      <w:r>
        <w:rPr>
          <w:rStyle w:val="FootnoteReference"/>
        </w:rPr>
        <w:footnoteRef/>
      </w:r>
      <w:r>
        <w:t xml:space="preserve"> </w:t>
      </w:r>
      <w:r w:rsidRPr="00AE23E5">
        <w:t xml:space="preserve">The </w:t>
      </w:r>
      <w:r w:rsidR="00644234">
        <w:t>‘o</w:t>
      </w:r>
      <w:r w:rsidRPr="00AE23E5">
        <w:t>ther</w:t>
      </w:r>
      <w:r w:rsidR="00644234">
        <w:t>’</w:t>
      </w:r>
      <w:r w:rsidRPr="00AE23E5">
        <w:t xml:space="preserve"> industry group is made up of 8 relatively small, diverse organisations. Changes to this industry can be difficult to interpret and may be the result of a turnover in a small number of governing body members. An overrepresentation of women on governing bodies (59% women) compared to the broader employee population (48.8% women) in this industry should be monitored. However, increasing women’s engagement with strategic governance (where they have previously been underrepresented) can be positive for gender equality. Organisations should monitor governing body membership to ensure that a slight overrepresentation of women does not shift towards a highly gender-skewed composition.</w:t>
      </w:r>
    </w:p>
  </w:footnote>
  <w:footnote w:id="4">
    <w:p w14:paraId="1CA102B8" w14:textId="3A75D7F7" w:rsidR="00962AA8" w:rsidRDefault="00962AA8">
      <w:pPr>
        <w:pStyle w:val="FootnoteText"/>
      </w:pPr>
      <w:r>
        <w:rPr>
          <w:rStyle w:val="FootnoteReference"/>
        </w:rPr>
        <w:footnoteRef/>
      </w:r>
      <w:r>
        <w:t xml:space="preserve"> </w:t>
      </w:r>
      <w:r w:rsidRPr="00962AA8">
        <w:t xml:space="preserve">The Commission collects data as at 30 June in each reporting year. Data about the gender of councillors is provided by each local government organisation in Victoria. Local government organisations may collect this data in different ways. These data collection methods may also differ from the ways that peak bodies (such as the </w:t>
      </w:r>
      <w:hyperlink r:id="rId1" w:history="1">
        <w:r w:rsidRPr="00962AA8">
          <w:rPr>
            <w:rStyle w:val="Hyperlink"/>
            <w:rFonts w:cs="Arial"/>
          </w:rPr>
          <w:t>Municipal Association of Victoria</w:t>
        </w:r>
      </w:hyperlink>
      <w:r w:rsidRPr="00962AA8">
        <w:t xml:space="preserve">, or the </w:t>
      </w:r>
      <w:hyperlink r:id="rId2" w:history="1">
        <w:r w:rsidRPr="00962AA8">
          <w:rPr>
            <w:rStyle w:val="Hyperlink"/>
            <w:rFonts w:cs="Arial"/>
          </w:rPr>
          <w:t>Victorian Local Government Association</w:t>
        </w:r>
      </w:hyperlink>
      <w:r w:rsidRPr="00962AA8">
        <w:t xml:space="preserve">) </w:t>
      </w:r>
      <w:r w:rsidR="00FA0A37" w:rsidRPr="00962AA8">
        <w:t>collect this data</w:t>
      </w:r>
      <w:r w:rsidR="00FA0A37">
        <w:t>.</w:t>
      </w:r>
      <w:r w:rsidRPr="00962AA8">
        <w:t xml:space="preserve"> For these reasons, figures reported here may differ slightly from other reported figures about the gender of councillors in Victoria.</w:t>
      </w:r>
    </w:p>
  </w:footnote>
  <w:footnote w:id="5">
    <w:p w14:paraId="5F062E0A" w14:textId="3CF1AC2F" w:rsidR="00E162EE" w:rsidRDefault="00E162EE">
      <w:pPr>
        <w:pStyle w:val="FootnoteText"/>
      </w:pPr>
      <w:r>
        <w:rPr>
          <w:rStyle w:val="FootnoteReference"/>
        </w:rPr>
        <w:footnoteRef/>
      </w:r>
      <w:r>
        <w:t xml:space="preserve"> </w:t>
      </w:r>
      <w:r w:rsidR="00942E05">
        <w:t xml:space="preserve">As explained further under </w:t>
      </w:r>
      <w:hyperlink w:anchor="_Indicator_7:_Gendered" w:history="1">
        <w:r w:rsidR="00942E05" w:rsidRPr="001F2AEA">
          <w:rPr>
            <w:rStyle w:val="Hyperlink"/>
            <w:rFonts w:cs="Arial"/>
          </w:rPr>
          <w:t>Indicator 7</w:t>
        </w:r>
        <w:r w:rsidR="001F2AEA" w:rsidRPr="001F2AEA">
          <w:rPr>
            <w:rStyle w:val="Hyperlink"/>
            <w:rFonts w:cs="Arial"/>
          </w:rPr>
          <w:t>: Gendered segregation</w:t>
        </w:r>
      </w:hyperlink>
      <w:r w:rsidR="00942E05" w:rsidRPr="00942E05">
        <w:t>, t</w:t>
      </w:r>
      <w:r w:rsidRPr="00942E05">
        <w:t>he</w:t>
      </w:r>
      <w:r w:rsidRPr="00E162EE">
        <w:t xml:space="preserve"> Australian Bureau of Statistics’ change from ANZSCO to OSCA is designed to alleviate some of these concerns</w:t>
      </w:r>
      <w:r w:rsidR="00684947">
        <w:t xml:space="preserve"> </w:t>
      </w:r>
      <w:r w:rsidR="00684947" w:rsidRPr="00872399">
        <w:rPr>
          <w:rFonts w:eastAsia="Times"/>
        </w:rPr>
        <w:t>(ABS 2024)</w:t>
      </w:r>
      <w:r w:rsidR="00D145E9">
        <w:t xml:space="preserve">. </w:t>
      </w:r>
    </w:p>
  </w:footnote>
  <w:footnote w:id="6">
    <w:p w14:paraId="5E3D4F25" w14:textId="49D6E815" w:rsidR="007B2EB6" w:rsidRPr="00FB38E8" w:rsidRDefault="007B2EB6" w:rsidP="007B2EB6">
      <w:pPr>
        <w:pStyle w:val="FootnoteText"/>
        <w:rPr>
          <w:lang w:val="en-US"/>
        </w:rPr>
      </w:pPr>
      <w:r>
        <w:rPr>
          <w:rStyle w:val="FootnoteReference"/>
        </w:rPr>
        <w:footnoteRef/>
      </w:r>
      <w:r>
        <w:t xml:space="preserve"> Development opportunities refer to employees who had one or more secondments, training opportunities or higher duties. This measure cannot be calculated for 2021 because these activities were reported on </w:t>
      </w:r>
      <w:r w:rsidR="00CE2E6D">
        <w:t>differently</w:t>
      </w:r>
      <w:r>
        <w:t xml:space="preserve">. As a result, comparisons are currently limited to 2023 and 2025 data. </w:t>
      </w:r>
    </w:p>
  </w:footnote>
  <w:footnote w:id="7">
    <w:p w14:paraId="7FC69D76" w14:textId="236E0D0E" w:rsidR="003D7E39" w:rsidRPr="00CE6B7B" w:rsidRDefault="003D7E39">
      <w:pPr>
        <w:pStyle w:val="FootnoteText"/>
        <w:rPr>
          <w:lang w:val="en-US"/>
        </w:rPr>
      </w:pPr>
      <w:r>
        <w:rPr>
          <w:rStyle w:val="FootnoteReference"/>
        </w:rPr>
        <w:footnoteRef/>
      </w:r>
      <w:r>
        <w:t xml:space="preserve"> </w:t>
      </w:r>
      <w:r w:rsidR="00AD61DD">
        <w:t>Progress rating</w:t>
      </w:r>
      <w:r w:rsidR="00A22BE7">
        <w:t>s</w:t>
      </w:r>
      <w:r w:rsidR="00AD61DD">
        <w:t xml:space="preserve"> are not assigned </w:t>
      </w:r>
      <w:r w:rsidR="00A16862">
        <w:t>here</w:t>
      </w:r>
      <w:r w:rsidR="00AD61DD">
        <w:t xml:space="preserve"> because </w:t>
      </w:r>
      <w:r w:rsidR="00D7426E">
        <w:t xml:space="preserve">the </w:t>
      </w:r>
      <w:r w:rsidR="00A16862">
        <w:t xml:space="preserve">Commission does not collect data </w:t>
      </w:r>
      <w:r w:rsidR="00D7426E">
        <w:t xml:space="preserve">on the underlying promotional or developmental opportunities available in any given reporting period. </w:t>
      </w:r>
      <w:r w:rsidR="0061490D">
        <w:t>It also does not collect information on who was eligible</w:t>
      </w:r>
      <w:r w:rsidR="00F56A24">
        <w:t xml:space="preserve"> or who </w:t>
      </w:r>
      <w:r w:rsidR="0061490D">
        <w:t>applied for them</w:t>
      </w:r>
      <w:r w:rsidR="00D7426E">
        <w:t>. It</w:t>
      </w:r>
      <w:r w:rsidR="00AD61DD">
        <w:t xml:space="preserve"> </w:t>
      </w:r>
      <w:r w:rsidR="006E04AA">
        <w:t xml:space="preserve">is </w:t>
      </w:r>
      <w:r w:rsidR="00D7426E">
        <w:t xml:space="preserve">therefore </w:t>
      </w:r>
      <w:r w:rsidR="006E04AA">
        <w:t xml:space="preserve">impossible to </w:t>
      </w:r>
      <w:r w:rsidR="00D7426E">
        <w:t>assess</w:t>
      </w:r>
      <w:r w:rsidR="006E04AA">
        <w:t xml:space="preserve"> how many people of a given gender ‘should’ have been promoted </w:t>
      </w:r>
      <w:r w:rsidR="00D7426E">
        <w:t xml:space="preserve">or </w:t>
      </w:r>
      <w:r w:rsidR="00C45297">
        <w:t>given access to development opportunities.</w:t>
      </w:r>
    </w:p>
  </w:footnote>
  <w:footnote w:id="8">
    <w:p w14:paraId="418A3E9C" w14:textId="2F59A00D" w:rsidR="00102DCA" w:rsidRPr="00102DCA" w:rsidRDefault="00102DCA">
      <w:pPr>
        <w:pStyle w:val="FootnoteText"/>
        <w:rPr>
          <w:lang w:val="en-US"/>
        </w:rPr>
      </w:pPr>
      <w:r>
        <w:rPr>
          <w:rStyle w:val="FootnoteReference"/>
        </w:rPr>
        <w:footnoteRef/>
      </w:r>
      <w:r>
        <w:t xml:space="preserve"> </w:t>
      </w:r>
      <w:r>
        <w:rPr>
          <w:lang w:val="en-US"/>
        </w:rPr>
        <w:t>Th</w:t>
      </w:r>
      <w:r w:rsidR="003423C8">
        <w:rPr>
          <w:lang w:val="en-US"/>
        </w:rPr>
        <w:t xml:space="preserve">is question from the People matter survey asks respondents </w:t>
      </w:r>
      <w:r w:rsidR="00C95160">
        <w:rPr>
          <w:lang w:val="en-US"/>
        </w:rPr>
        <w:t>‘</w:t>
      </w:r>
      <w:r w:rsidR="00B9590B" w:rsidRPr="00B9590B">
        <w:rPr>
          <w:lang w:val="en-US"/>
        </w:rPr>
        <w:t>During the last 12 months in your current organisation, have you experienced any barriers to your success at work due to any of the following (Select all that apply)</w:t>
      </w:r>
      <w:r w:rsidR="00C95160">
        <w:rPr>
          <w:lang w:val="en-US"/>
        </w:rPr>
        <w:t>’</w:t>
      </w:r>
      <w:r w:rsidR="00B9590B">
        <w:rPr>
          <w:lang w:val="en-US"/>
        </w:rPr>
        <w:t xml:space="preserve">. The response options include a range of personal attributes, such as </w:t>
      </w:r>
      <w:r w:rsidR="00C95160">
        <w:rPr>
          <w:lang w:val="en-US"/>
        </w:rPr>
        <w:t>‘</w:t>
      </w:r>
      <w:r w:rsidR="00EF7B31">
        <w:rPr>
          <w:lang w:val="en-US"/>
        </w:rPr>
        <w:t>My race</w:t>
      </w:r>
      <w:r w:rsidR="00C95160">
        <w:rPr>
          <w:lang w:val="en-US"/>
        </w:rPr>
        <w:t>’</w:t>
      </w:r>
      <w:r w:rsidR="00EF7B31">
        <w:rPr>
          <w:lang w:val="en-US"/>
        </w:rPr>
        <w:t xml:space="preserve"> or </w:t>
      </w:r>
      <w:r w:rsidR="00C95160">
        <w:rPr>
          <w:lang w:val="en-US"/>
        </w:rPr>
        <w:t>‘</w:t>
      </w:r>
      <w:r w:rsidR="005C5BFD">
        <w:rPr>
          <w:lang w:val="en-US"/>
        </w:rPr>
        <w:t>My disability</w:t>
      </w:r>
      <w:r w:rsidR="00C95160">
        <w:rPr>
          <w:lang w:val="en-US"/>
        </w:rPr>
        <w:t>’</w:t>
      </w:r>
      <w:r w:rsidR="005C5BFD">
        <w:rPr>
          <w:lang w:val="en-US"/>
        </w:rPr>
        <w:t xml:space="preserve">, as well as other </w:t>
      </w:r>
      <w:r w:rsidR="00CA2E36">
        <w:rPr>
          <w:lang w:val="en-US"/>
        </w:rPr>
        <w:t xml:space="preserve">common reasons for discrimination, such as </w:t>
      </w:r>
      <w:r w:rsidR="008A3F86">
        <w:rPr>
          <w:lang w:val="en-US"/>
        </w:rPr>
        <w:t>‘</w:t>
      </w:r>
      <w:r w:rsidR="00CA2E36">
        <w:rPr>
          <w:lang w:val="en-US"/>
        </w:rPr>
        <w:t>My industrial activity</w:t>
      </w:r>
      <w:r w:rsidR="008A3F86">
        <w:rPr>
          <w:lang w:val="en-US"/>
        </w:rPr>
        <w:t>’</w:t>
      </w:r>
      <w:r w:rsidR="00CA2E36">
        <w:rPr>
          <w:lang w:val="en-US"/>
        </w:rPr>
        <w:t>.</w:t>
      </w:r>
    </w:p>
  </w:footnote>
  <w:footnote w:id="9">
    <w:p w14:paraId="21FD6AB0" w14:textId="287AF307" w:rsidR="00E12B71" w:rsidRPr="00C73428" w:rsidRDefault="00E12B71" w:rsidP="00CE0DFC">
      <w:pPr>
        <w:pStyle w:val="FootnoteText"/>
        <w:rPr>
          <w:vertAlign w:val="superscript"/>
        </w:rPr>
      </w:pPr>
      <w:r w:rsidRPr="00B94C27">
        <w:rPr>
          <w:rStyle w:val="FootnoteReference"/>
          <w:szCs w:val="18"/>
        </w:rPr>
        <w:footnoteRef/>
      </w:r>
      <w:r w:rsidRPr="00B94C27">
        <w:rPr>
          <w:rStyle w:val="FootnoteReference"/>
          <w:szCs w:val="18"/>
        </w:rPr>
        <w:t xml:space="preserve"> </w:t>
      </w:r>
      <w:r w:rsidRPr="00541C27">
        <w:rPr>
          <w:rStyle w:val="FootnoteTextChar"/>
        </w:rPr>
        <w:t xml:space="preserve">Measures in Table 5.1 are drawn from an analysis of responses to the People matter survey question ‘My workplace hires people fairly’. The Commission is working on the feasibility of developing a pipeline analysis to more concretely assess progress against this indicator. Pipeline analysis </w:t>
      </w:r>
      <w:r w:rsidR="005D0985">
        <w:rPr>
          <w:rStyle w:val="FootnoteTextChar"/>
        </w:rPr>
        <w:t>measures</w:t>
      </w:r>
      <w:r w:rsidRPr="00541C27">
        <w:rPr>
          <w:rStyle w:val="FootnoteTextChar"/>
        </w:rPr>
        <w:t xml:space="preserve"> progress by comparing the gender composition of an organisation, disaggregated by organisational levels, over time. </w:t>
      </w:r>
      <w:r w:rsidR="009C6BD8">
        <w:rPr>
          <w:rStyle w:val="FootnoteTextChar"/>
        </w:rPr>
        <w:t>Seeing</w:t>
      </w:r>
      <w:r w:rsidRPr="00541C27">
        <w:rPr>
          <w:rStyle w:val="FootnoteTextChar"/>
        </w:rPr>
        <w:t xml:space="preserve"> how many people of different genders move up through levels of seniority over time can help </w:t>
      </w:r>
      <w:r w:rsidR="009C6BD8">
        <w:rPr>
          <w:rStyle w:val="FootnoteTextChar"/>
        </w:rPr>
        <w:t>to</w:t>
      </w:r>
      <w:r w:rsidRPr="00541C27">
        <w:rPr>
          <w:rStyle w:val="FootnoteTextChar"/>
        </w:rPr>
        <w:t xml:space="preserve"> assess gender equality in promotion and progression.</w:t>
      </w:r>
      <w:r w:rsidR="00364456">
        <w:rPr>
          <w:rStyle w:val="FootnoteTextChar"/>
        </w:rPr>
        <w:t xml:space="preserve"> </w:t>
      </w:r>
    </w:p>
  </w:footnote>
  <w:footnote w:id="10">
    <w:p w14:paraId="0F1D9AF7" w14:textId="2414F6ED" w:rsidR="00C67AFA" w:rsidRPr="00C15EA0" w:rsidRDefault="00C67AFA" w:rsidP="00C67AFA">
      <w:pPr>
        <w:pStyle w:val="FootnoteText"/>
        <w:rPr>
          <w:lang w:val="en-US"/>
        </w:rPr>
      </w:pPr>
      <w:r w:rsidRPr="00E556F6">
        <w:rPr>
          <w:rStyle w:val="FootnoteReference"/>
          <w:szCs w:val="18"/>
        </w:rPr>
        <w:footnoteRef/>
      </w:r>
      <w:r w:rsidRPr="00E556F6">
        <w:rPr>
          <w:szCs w:val="18"/>
        </w:rPr>
        <w:t xml:space="preserve"> </w:t>
      </w:r>
      <w:r w:rsidRPr="00E556F6" w:rsidDel="00E13881">
        <w:rPr>
          <w:szCs w:val="18"/>
          <w:lang w:val="en-US"/>
        </w:rPr>
        <w:t xml:space="preserve">The </w:t>
      </w:r>
      <w:r w:rsidRPr="00E556F6">
        <w:rPr>
          <w:szCs w:val="18"/>
          <w:lang w:val="en-US"/>
        </w:rPr>
        <w:t>Commission has funded research</w:t>
      </w:r>
      <w:r w:rsidRPr="00DE0866">
        <w:t xml:space="preserve"> to better understand the gendered experiences of caring in the Victorian public sector</w:t>
      </w:r>
      <w:r w:rsidRPr="00E556F6">
        <w:rPr>
          <w:szCs w:val="18"/>
          <w:lang w:val="en-US"/>
        </w:rPr>
        <w:t xml:space="preserve"> (see Dangar 2023). The project highlight</w:t>
      </w:r>
      <w:r w:rsidR="003022F9">
        <w:rPr>
          <w:szCs w:val="18"/>
          <w:lang w:val="en-US"/>
        </w:rPr>
        <w:t>ed</w:t>
      </w:r>
      <w:r w:rsidRPr="00E556F6">
        <w:rPr>
          <w:szCs w:val="18"/>
          <w:lang w:val="en-US"/>
        </w:rPr>
        <w:t xml:space="preserve"> the continuing gendered nature of care work and how it affects career trajectories. </w:t>
      </w:r>
      <w:r w:rsidR="009B0BB2">
        <w:rPr>
          <w:szCs w:val="18"/>
          <w:lang w:val="en-US"/>
        </w:rPr>
        <w:t xml:space="preserve">It also </w:t>
      </w:r>
      <w:r w:rsidR="00B514A8">
        <w:rPr>
          <w:szCs w:val="18"/>
          <w:lang w:val="en-US"/>
        </w:rPr>
        <w:t>emphasise</w:t>
      </w:r>
      <w:r w:rsidR="003022F9">
        <w:rPr>
          <w:szCs w:val="18"/>
          <w:lang w:val="en-US"/>
        </w:rPr>
        <w:t>d</w:t>
      </w:r>
      <w:r w:rsidR="009B0BB2">
        <w:rPr>
          <w:szCs w:val="18"/>
          <w:lang w:val="en-US"/>
        </w:rPr>
        <w:t xml:space="preserve"> </w:t>
      </w:r>
      <w:r w:rsidR="009B42E2">
        <w:rPr>
          <w:szCs w:val="18"/>
          <w:lang w:val="en-US"/>
        </w:rPr>
        <w:t>that groups facing intersecting inequalities have higher rates of caring responsibilities.</w:t>
      </w:r>
      <w:r w:rsidRPr="00E556F6">
        <w:rPr>
          <w:szCs w:val="18"/>
          <w:lang w:val="en-US"/>
        </w:rPr>
        <w:t xml:space="preserve"> The researchers advocate</w:t>
      </w:r>
      <w:r w:rsidR="003022F9">
        <w:rPr>
          <w:szCs w:val="18"/>
          <w:lang w:val="en-US"/>
        </w:rPr>
        <w:t>d</w:t>
      </w:r>
      <w:r w:rsidRPr="00E556F6">
        <w:rPr>
          <w:szCs w:val="18"/>
          <w:lang w:val="en-US"/>
        </w:rPr>
        <w:t xml:space="preserve"> for organisations to collect workforce data which captures the diversity of caregiving leave</w:t>
      </w:r>
      <w:r w:rsidR="009B42E2">
        <w:rPr>
          <w:szCs w:val="18"/>
          <w:lang w:val="en-US"/>
        </w:rPr>
        <w:t>-</w:t>
      </w:r>
      <w:r w:rsidRPr="00E556F6">
        <w:rPr>
          <w:szCs w:val="18"/>
          <w:lang w:val="en-US"/>
        </w:rPr>
        <w:t>taking patterns among staff.</w:t>
      </w:r>
      <w:r>
        <w:rPr>
          <w:lang w:val="en-US"/>
        </w:rPr>
        <w:t xml:space="preserve"> </w:t>
      </w:r>
    </w:p>
  </w:footnote>
  <w:footnote w:id="11">
    <w:p w14:paraId="0F1D45DA" w14:textId="15BB8993" w:rsidR="00B82C1A" w:rsidRPr="00E556F6" w:rsidRDefault="00B82C1A">
      <w:pPr>
        <w:pStyle w:val="FootnoteText"/>
        <w:rPr>
          <w:rStyle w:val="BodyChar"/>
          <w:sz w:val="18"/>
          <w:szCs w:val="18"/>
        </w:rPr>
      </w:pPr>
      <w:r w:rsidRPr="00E556F6">
        <w:rPr>
          <w:rStyle w:val="FootnoteReference"/>
          <w:szCs w:val="18"/>
        </w:rPr>
        <w:footnoteRef/>
      </w:r>
      <w:r w:rsidRPr="00E556F6">
        <w:rPr>
          <w:szCs w:val="18"/>
        </w:rPr>
        <w:t xml:space="preserve"> </w:t>
      </w:r>
      <w:r w:rsidRPr="00E556F6">
        <w:rPr>
          <w:rStyle w:val="BodyChar"/>
          <w:sz w:val="18"/>
          <w:szCs w:val="18"/>
        </w:rPr>
        <w:t xml:space="preserve">The index brings together 3 questions from the </w:t>
      </w:r>
      <w:r w:rsidR="003275E9">
        <w:rPr>
          <w:rStyle w:val="BodyChar"/>
          <w:sz w:val="18"/>
          <w:szCs w:val="18"/>
        </w:rPr>
        <w:t>employee experience survey data</w:t>
      </w:r>
      <w:r w:rsidRPr="00E556F6">
        <w:rPr>
          <w:rStyle w:val="BodyChar"/>
          <w:sz w:val="18"/>
          <w:szCs w:val="18"/>
        </w:rPr>
        <w:t>: ‘I am confident that if I requested a flexible work arrangement, it would be given due consideration’</w:t>
      </w:r>
      <w:r w:rsidR="00343A89">
        <w:rPr>
          <w:rStyle w:val="BodyChar"/>
          <w:sz w:val="18"/>
          <w:szCs w:val="18"/>
        </w:rPr>
        <w:t>,</w:t>
      </w:r>
      <w:r w:rsidRPr="00E556F6">
        <w:rPr>
          <w:rStyle w:val="BodyChar"/>
          <w:sz w:val="18"/>
          <w:szCs w:val="18"/>
        </w:rPr>
        <w:t xml:space="preserve"> ‘My organisation would support me if I needed to take family violence leave’</w:t>
      </w:r>
      <w:r w:rsidR="00343A89">
        <w:rPr>
          <w:rStyle w:val="BodyChar"/>
          <w:sz w:val="18"/>
          <w:szCs w:val="18"/>
        </w:rPr>
        <w:t>,</w:t>
      </w:r>
      <w:r w:rsidRPr="00E556F6">
        <w:rPr>
          <w:rStyle w:val="BodyChar"/>
          <w:sz w:val="18"/>
          <w:szCs w:val="18"/>
        </w:rPr>
        <w:t xml:space="preserve"> and ‘My direct line manager supports working flexibly’.</w:t>
      </w:r>
    </w:p>
  </w:footnote>
  <w:footnote w:id="12">
    <w:p w14:paraId="3A17426B" w14:textId="07C1FEB6" w:rsidR="001A048F" w:rsidRPr="001A048F" w:rsidRDefault="001A048F">
      <w:pPr>
        <w:pStyle w:val="FootnoteText"/>
        <w:rPr>
          <w:lang w:val="en-US"/>
        </w:rPr>
      </w:pPr>
      <w:r>
        <w:rPr>
          <w:rStyle w:val="FootnoteReference"/>
        </w:rPr>
        <w:footnoteRef/>
      </w:r>
      <w:r>
        <w:t xml:space="preserve"> </w:t>
      </w:r>
      <w:r w:rsidR="00752F9D" w:rsidRPr="00872399">
        <w:rPr>
          <w:rFonts w:eastAsia="Times"/>
        </w:rPr>
        <w:t>ANZSCO codes have been critiqued for being insensitive to gender equality issues and perpetuating the undervaluation of women’s work (Risse 2025). In acknowledgement of these issues, and to better reflect the differences between Australian and New Zealand workforces, Australia is shifting to the OSCA (Occupation Standard Classification for Australia) framework (ABS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620DCA92" w14:paraId="27E4499B" w14:textId="77777777" w:rsidTr="620DCA92">
      <w:trPr>
        <w:trHeight w:val="300"/>
      </w:trPr>
      <w:tc>
        <w:tcPr>
          <w:tcW w:w="3080" w:type="dxa"/>
        </w:tcPr>
        <w:p w14:paraId="041C2B2B" w14:textId="5571B10D" w:rsidR="620DCA92" w:rsidRDefault="620DCA92" w:rsidP="620DCA92">
          <w:pPr>
            <w:pStyle w:val="Header"/>
            <w:ind w:left="-115"/>
          </w:pPr>
        </w:p>
      </w:tc>
      <w:tc>
        <w:tcPr>
          <w:tcW w:w="3080" w:type="dxa"/>
        </w:tcPr>
        <w:p w14:paraId="11A8ACC6" w14:textId="79A797BC" w:rsidR="620DCA92" w:rsidRDefault="620DCA92" w:rsidP="620DCA92">
          <w:pPr>
            <w:pStyle w:val="Header"/>
            <w:jc w:val="center"/>
          </w:pPr>
        </w:p>
      </w:tc>
      <w:tc>
        <w:tcPr>
          <w:tcW w:w="3080" w:type="dxa"/>
        </w:tcPr>
        <w:p w14:paraId="3AC1A9CA" w14:textId="7148009C" w:rsidR="620DCA92" w:rsidRDefault="620DCA92" w:rsidP="620DCA92">
          <w:pPr>
            <w:pStyle w:val="Header"/>
            <w:ind w:right="-115"/>
            <w:jc w:val="right"/>
          </w:pPr>
        </w:p>
      </w:tc>
    </w:tr>
  </w:tbl>
  <w:p w14:paraId="7D7C5E44" w14:textId="06CDF9CC" w:rsidR="00F136B5" w:rsidRDefault="00F1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460B2582" w:rsidR="00562811" w:rsidRPr="001C7128" w:rsidRDefault="00E75835" w:rsidP="001C7128">
    <w:pPr>
      <w:pStyle w:val="Header"/>
    </w:pPr>
    <w:r w:rsidRPr="00E75835">
      <w:t>State of gender</w:t>
    </w:r>
    <w:r w:rsidR="00BA52C8">
      <w:t xml:space="preserve"> equality </w:t>
    </w:r>
    <w:r w:rsidRPr="00E75835">
      <w:t>in Victoria</w:t>
    </w:r>
    <w:r w:rsidR="00AA1117">
      <w:t>’s public sector</w:t>
    </w:r>
    <w:r w:rsidR="00BA52C8">
      <w:t xml:space="preserve"> 202</w:t>
    </w:r>
    <w:r w:rsidR="008D55F5">
      <w:t>6</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4957"/>
    <w:multiLevelType w:val="hybridMultilevel"/>
    <w:tmpl w:val="940E762E"/>
    <w:lvl w:ilvl="0" w:tplc="671CFD14">
      <w:start w:val="1"/>
      <w:numFmt w:val="bullet"/>
      <w:lvlText w:val=""/>
      <w:lvlJc w:val="left"/>
      <w:pPr>
        <w:ind w:left="720" w:hanging="360"/>
      </w:pPr>
      <w:rPr>
        <w:rFonts w:ascii="Symbol" w:hAnsi="Symbol"/>
      </w:rPr>
    </w:lvl>
    <w:lvl w:ilvl="1" w:tplc="7A14D3FC">
      <w:start w:val="1"/>
      <w:numFmt w:val="bullet"/>
      <w:lvlText w:val=""/>
      <w:lvlJc w:val="left"/>
      <w:pPr>
        <w:ind w:left="720" w:hanging="360"/>
      </w:pPr>
      <w:rPr>
        <w:rFonts w:ascii="Symbol" w:hAnsi="Symbol"/>
      </w:rPr>
    </w:lvl>
    <w:lvl w:ilvl="2" w:tplc="04C8CAF8">
      <w:start w:val="1"/>
      <w:numFmt w:val="bullet"/>
      <w:lvlText w:val=""/>
      <w:lvlJc w:val="left"/>
      <w:pPr>
        <w:ind w:left="720" w:hanging="360"/>
      </w:pPr>
      <w:rPr>
        <w:rFonts w:ascii="Symbol" w:hAnsi="Symbol"/>
      </w:rPr>
    </w:lvl>
    <w:lvl w:ilvl="3" w:tplc="2230E850">
      <w:start w:val="1"/>
      <w:numFmt w:val="bullet"/>
      <w:lvlText w:val=""/>
      <w:lvlJc w:val="left"/>
      <w:pPr>
        <w:ind w:left="720" w:hanging="360"/>
      </w:pPr>
      <w:rPr>
        <w:rFonts w:ascii="Symbol" w:hAnsi="Symbol"/>
      </w:rPr>
    </w:lvl>
    <w:lvl w:ilvl="4" w:tplc="0D000960">
      <w:start w:val="1"/>
      <w:numFmt w:val="bullet"/>
      <w:lvlText w:val=""/>
      <w:lvlJc w:val="left"/>
      <w:pPr>
        <w:ind w:left="720" w:hanging="360"/>
      </w:pPr>
      <w:rPr>
        <w:rFonts w:ascii="Symbol" w:hAnsi="Symbol"/>
      </w:rPr>
    </w:lvl>
    <w:lvl w:ilvl="5" w:tplc="E6FC054E">
      <w:start w:val="1"/>
      <w:numFmt w:val="bullet"/>
      <w:lvlText w:val=""/>
      <w:lvlJc w:val="left"/>
      <w:pPr>
        <w:ind w:left="720" w:hanging="360"/>
      </w:pPr>
      <w:rPr>
        <w:rFonts w:ascii="Symbol" w:hAnsi="Symbol"/>
      </w:rPr>
    </w:lvl>
    <w:lvl w:ilvl="6" w:tplc="BE3A3DDA">
      <w:start w:val="1"/>
      <w:numFmt w:val="bullet"/>
      <w:lvlText w:val=""/>
      <w:lvlJc w:val="left"/>
      <w:pPr>
        <w:ind w:left="720" w:hanging="360"/>
      </w:pPr>
      <w:rPr>
        <w:rFonts w:ascii="Symbol" w:hAnsi="Symbol"/>
      </w:rPr>
    </w:lvl>
    <w:lvl w:ilvl="7" w:tplc="4FF498F8">
      <w:start w:val="1"/>
      <w:numFmt w:val="bullet"/>
      <w:lvlText w:val=""/>
      <w:lvlJc w:val="left"/>
      <w:pPr>
        <w:ind w:left="720" w:hanging="360"/>
      </w:pPr>
      <w:rPr>
        <w:rFonts w:ascii="Symbol" w:hAnsi="Symbol"/>
      </w:rPr>
    </w:lvl>
    <w:lvl w:ilvl="8" w:tplc="FCC6BE58">
      <w:start w:val="1"/>
      <w:numFmt w:val="bullet"/>
      <w:lvlText w:val=""/>
      <w:lvlJc w:val="left"/>
      <w:pPr>
        <w:ind w:left="720" w:hanging="360"/>
      </w:pPr>
      <w:rPr>
        <w:rFonts w:ascii="Symbol" w:hAnsi="Symbol"/>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B096EA4"/>
    <w:multiLevelType w:val="hybridMultilevel"/>
    <w:tmpl w:val="BC963E38"/>
    <w:lvl w:ilvl="0" w:tplc="332A34F0">
      <w:start w:val="1"/>
      <w:numFmt w:val="lowerLetter"/>
      <w:lvlText w:val="%1)"/>
      <w:lvlJc w:val="left"/>
      <w:pPr>
        <w:ind w:left="1020" w:hanging="360"/>
      </w:pPr>
    </w:lvl>
    <w:lvl w:ilvl="1" w:tplc="37AAE21C">
      <w:start w:val="1"/>
      <w:numFmt w:val="lowerLetter"/>
      <w:lvlText w:val="%2)"/>
      <w:lvlJc w:val="left"/>
      <w:pPr>
        <w:ind w:left="1020" w:hanging="360"/>
      </w:pPr>
    </w:lvl>
    <w:lvl w:ilvl="2" w:tplc="EE20D39C">
      <w:start w:val="1"/>
      <w:numFmt w:val="lowerLetter"/>
      <w:lvlText w:val="%3)"/>
      <w:lvlJc w:val="left"/>
      <w:pPr>
        <w:ind w:left="1020" w:hanging="360"/>
      </w:pPr>
    </w:lvl>
    <w:lvl w:ilvl="3" w:tplc="8EBEAD82">
      <w:start w:val="1"/>
      <w:numFmt w:val="lowerLetter"/>
      <w:lvlText w:val="%4)"/>
      <w:lvlJc w:val="left"/>
      <w:pPr>
        <w:ind w:left="1020" w:hanging="360"/>
      </w:pPr>
    </w:lvl>
    <w:lvl w:ilvl="4" w:tplc="012E7AF0">
      <w:start w:val="1"/>
      <w:numFmt w:val="lowerLetter"/>
      <w:lvlText w:val="%5)"/>
      <w:lvlJc w:val="left"/>
      <w:pPr>
        <w:ind w:left="1020" w:hanging="360"/>
      </w:pPr>
    </w:lvl>
    <w:lvl w:ilvl="5" w:tplc="DD5213A4">
      <w:start w:val="1"/>
      <w:numFmt w:val="lowerLetter"/>
      <w:lvlText w:val="%6)"/>
      <w:lvlJc w:val="left"/>
      <w:pPr>
        <w:ind w:left="1020" w:hanging="360"/>
      </w:pPr>
    </w:lvl>
    <w:lvl w:ilvl="6" w:tplc="F572ABDE">
      <w:start w:val="1"/>
      <w:numFmt w:val="lowerLetter"/>
      <w:lvlText w:val="%7)"/>
      <w:lvlJc w:val="left"/>
      <w:pPr>
        <w:ind w:left="1020" w:hanging="360"/>
      </w:pPr>
    </w:lvl>
    <w:lvl w:ilvl="7" w:tplc="FA2E5042">
      <w:start w:val="1"/>
      <w:numFmt w:val="lowerLetter"/>
      <w:lvlText w:val="%8)"/>
      <w:lvlJc w:val="left"/>
      <w:pPr>
        <w:ind w:left="1020" w:hanging="360"/>
      </w:pPr>
    </w:lvl>
    <w:lvl w:ilvl="8" w:tplc="70502D20">
      <w:start w:val="1"/>
      <w:numFmt w:val="lowerLetter"/>
      <w:lvlText w:val="%9)"/>
      <w:lvlJc w:val="left"/>
      <w:pPr>
        <w:ind w:left="1020" w:hanging="360"/>
      </w:pPr>
    </w:lvl>
  </w:abstractNum>
  <w:abstractNum w:abstractNumId="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42D77C73"/>
    <w:multiLevelType w:val="hybridMultilevel"/>
    <w:tmpl w:val="2B9C7E32"/>
    <w:lvl w:ilvl="0" w:tplc="A9CEF220">
      <w:start w:val="1"/>
      <w:numFmt w:val="bullet"/>
      <w:lvlText w:val=""/>
      <w:lvlJc w:val="left"/>
      <w:pPr>
        <w:ind w:left="720" w:hanging="360"/>
      </w:pPr>
      <w:rPr>
        <w:rFonts w:ascii="Symbol" w:hAnsi="Symbol"/>
      </w:rPr>
    </w:lvl>
    <w:lvl w:ilvl="1" w:tplc="79D8F918">
      <w:start w:val="1"/>
      <w:numFmt w:val="bullet"/>
      <w:lvlText w:val=""/>
      <w:lvlJc w:val="left"/>
      <w:pPr>
        <w:ind w:left="720" w:hanging="360"/>
      </w:pPr>
      <w:rPr>
        <w:rFonts w:ascii="Symbol" w:hAnsi="Symbol"/>
      </w:rPr>
    </w:lvl>
    <w:lvl w:ilvl="2" w:tplc="D570BFFA">
      <w:start w:val="1"/>
      <w:numFmt w:val="bullet"/>
      <w:lvlText w:val=""/>
      <w:lvlJc w:val="left"/>
      <w:pPr>
        <w:ind w:left="720" w:hanging="360"/>
      </w:pPr>
      <w:rPr>
        <w:rFonts w:ascii="Symbol" w:hAnsi="Symbol"/>
      </w:rPr>
    </w:lvl>
    <w:lvl w:ilvl="3" w:tplc="96025872">
      <w:start w:val="1"/>
      <w:numFmt w:val="bullet"/>
      <w:lvlText w:val=""/>
      <w:lvlJc w:val="left"/>
      <w:pPr>
        <w:ind w:left="720" w:hanging="360"/>
      </w:pPr>
      <w:rPr>
        <w:rFonts w:ascii="Symbol" w:hAnsi="Symbol"/>
      </w:rPr>
    </w:lvl>
    <w:lvl w:ilvl="4" w:tplc="90F0AA10">
      <w:start w:val="1"/>
      <w:numFmt w:val="bullet"/>
      <w:lvlText w:val=""/>
      <w:lvlJc w:val="left"/>
      <w:pPr>
        <w:ind w:left="720" w:hanging="360"/>
      </w:pPr>
      <w:rPr>
        <w:rFonts w:ascii="Symbol" w:hAnsi="Symbol"/>
      </w:rPr>
    </w:lvl>
    <w:lvl w:ilvl="5" w:tplc="C6C86F32">
      <w:start w:val="1"/>
      <w:numFmt w:val="bullet"/>
      <w:lvlText w:val=""/>
      <w:lvlJc w:val="left"/>
      <w:pPr>
        <w:ind w:left="720" w:hanging="360"/>
      </w:pPr>
      <w:rPr>
        <w:rFonts w:ascii="Symbol" w:hAnsi="Symbol"/>
      </w:rPr>
    </w:lvl>
    <w:lvl w:ilvl="6" w:tplc="485676C6">
      <w:start w:val="1"/>
      <w:numFmt w:val="bullet"/>
      <w:lvlText w:val=""/>
      <w:lvlJc w:val="left"/>
      <w:pPr>
        <w:ind w:left="720" w:hanging="360"/>
      </w:pPr>
      <w:rPr>
        <w:rFonts w:ascii="Symbol" w:hAnsi="Symbol"/>
      </w:rPr>
    </w:lvl>
    <w:lvl w:ilvl="7" w:tplc="E4263FBA">
      <w:start w:val="1"/>
      <w:numFmt w:val="bullet"/>
      <w:lvlText w:val=""/>
      <w:lvlJc w:val="left"/>
      <w:pPr>
        <w:ind w:left="720" w:hanging="360"/>
      </w:pPr>
      <w:rPr>
        <w:rFonts w:ascii="Symbol" w:hAnsi="Symbol"/>
      </w:rPr>
    </w:lvl>
    <w:lvl w:ilvl="8" w:tplc="4516DA10">
      <w:start w:val="1"/>
      <w:numFmt w:val="bullet"/>
      <w:lvlText w:val=""/>
      <w:lvlJc w:val="left"/>
      <w:pPr>
        <w:ind w:left="720" w:hanging="360"/>
      </w:pPr>
      <w:rPr>
        <w:rFonts w:ascii="Symbol" w:hAnsi="Symbol"/>
      </w:rPr>
    </w:lvl>
  </w:abstractNum>
  <w:abstractNum w:abstractNumId="6" w15:restartNumberingAfterBreak="0">
    <w:nsid w:val="4E671D84"/>
    <w:multiLevelType w:val="hybridMultilevel"/>
    <w:tmpl w:val="0CCAF014"/>
    <w:lvl w:ilvl="0" w:tplc="E0E4060A">
      <w:start w:val="1"/>
      <w:numFmt w:val="bullet"/>
      <w:lvlText w:val=""/>
      <w:lvlJc w:val="left"/>
      <w:pPr>
        <w:ind w:left="720" w:hanging="360"/>
      </w:pPr>
      <w:rPr>
        <w:rFonts w:ascii="Symbol" w:hAnsi="Symbol"/>
      </w:rPr>
    </w:lvl>
    <w:lvl w:ilvl="1" w:tplc="07EE9CFC">
      <w:start w:val="1"/>
      <w:numFmt w:val="bullet"/>
      <w:lvlText w:val=""/>
      <w:lvlJc w:val="left"/>
      <w:pPr>
        <w:ind w:left="720" w:hanging="360"/>
      </w:pPr>
      <w:rPr>
        <w:rFonts w:ascii="Symbol" w:hAnsi="Symbol"/>
      </w:rPr>
    </w:lvl>
    <w:lvl w:ilvl="2" w:tplc="1604FFB0">
      <w:start w:val="1"/>
      <w:numFmt w:val="bullet"/>
      <w:lvlText w:val=""/>
      <w:lvlJc w:val="left"/>
      <w:pPr>
        <w:ind w:left="720" w:hanging="360"/>
      </w:pPr>
      <w:rPr>
        <w:rFonts w:ascii="Symbol" w:hAnsi="Symbol"/>
      </w:rPr>
    </w:lvl>
    <w:lvl w:ilvl="3" w:tplc="8684DE88">
      <w:start w:val="1"/>
      <w:numFmt w:val="bullet"/>
      <w:lvlText w:val=""/>
      <w:lvlJc w:val="left"/>
      <w:pPr>
        <w:ind w:left="720" w:hanging="360"/>
      </w:pPr>
      <w:rPr>
        <w:rFonts w:ascii="Symbol" w:hAnsi="Symbol"/>
      </w:rPr>
    </w:lvl>
    <w:lvl w:ilvl="4" w:tplc="831C6A02">
      <w:start w:val="1"/>
      <w:numFmt w:val="bullet"/>
      <w:lvlText w:val=""/>
      <w:lvlJc w:val="left"/>
      <w:pPr>
        <w:ind w:left="720" w:hanging="360"/>
      </w:pPr>
      <w:rPr>
        <w:rFonts w:ascii="Symbol" w:hAnsi="Symbol"/>
      </w:rPr>
    </w:lvl>
    <w:lvl w:ilvl="5" w:tplc="4D540D42">
      <w:start w:val="1"/>
      <w:numFmt w:val="bullet"/>
      <w:lvlText w:val=""/>
      <w:lvlJc w:val="left"/>
      <w:pPr>
        <w:ind w:left="720" w:hanging="360"/>
      </w:pPr>
      <w:rPr>
        <w:rFonts w:ascii="Symbol" w:hAnsi="Symbol"/>
      </w:rPr>
    </w:lvl>
    <w:lvl w:ilvl="6" w:tplc="17547088">
      <w:start w:val="1"/>
      <w:numFmt w:val="bullet"/>
      <w:lvlText w:val=""/>
      <w:lvlJc w:val="left"/>
      <w:pPr>
        <w:ind w:left="720" w:hanging="360"/>
      </w:pPr>
      <w:rPr>
        <w:rFonts w:ascii="Symbol" w:hAnsi="Symbol"/>
      </w:rPr>
    </w:lvl>
    <w:lvl w:ilvl="7" w:tplc="71E4B66E">
      <w:start w:val="1"/>
      <w:numFmt w:val="bullet"/>
      <w:lvlText w:val=""/>
      <w:lvlJc w:val="left"/>
      <w:pPr>
        <w:ind w:left="720" w:hanging="360"/>
      </w:pPr>
      <w:rPr>
        <w:rFonts w:ascii="Symbol" w:hAnsi="Symbol"/>
      </w:rPr>
    </w:lvl>
    <w:lvl w:ilvl="8" w:tplc="231899A6">
      <w:start w:val="1"/>
      <w:numFmt w:val="bullet"/>
      <w:lvlText w:val=""/>
      <w:lvlJc w:val="left"/>
      <w:pPr>
        <w:ind w:left="720" w:hanging="360"/>
      </w:pPr>
      <w:rPr>
        <w:rFonts w:ascii="Symbol" w:hAnsi="Symbol"/>
      </w:rPr>
    </w:lvl>
  </w:abstractNum>
  <w:abstractNum w:abstractNumId="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6EB2AB3"/>
    <w:multiLevelType w:val="hybridMultilevel"/>
    <w:tmpl w:val="582E5B6E"/>
    <w:lvl w:ilvl="0" w:tplc="833AE5F4">
      <w:start w:val="1"/>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693923055">
    <w:abstractNumId w:val="3"/>
  </w:num>
  <w:num w:numId="2" w16cid:durableId="67702435">
    <w:abstractNumId w:val="8"/>
  </w:num>
  <w:num w:numId="3" w16cid:durableId="1807769916">
    <w:abstractNumId w:val="7"/>
  </w:num>
  <w:num w:numId="4" w16cid:durableId="1074625399">
    <w:abstractNumId w:val="10"/>
  </w:num>
  <w:num w:numId="5" w16cid:durableId="1284920261">
    <w:abstractNumId w:val="4"/>
  </w:num>
  <w:num w:numId="6" w16cid:durableId="290788647">
    <w:abstractNumId w:val="1"/>
  </w:num>
  <w:num w:numId="7" w16cid:durableId="1864858521">
    <w:abstractNumId w:val="6"/>
  </w:num>
  <w:num w:numId="8" w16cid:durableId="1850868990">
    <w:abstractNumId w:val="0"/>
  </w:num>
  <w:num w:numId="9" w16cid:durableId="420444853">
    <w:abstractNumId w:val="5"/>
  </w:num>
  <w:num w:numId="10" w16cid:durableId="922685090">
    <w:abstractNumId w:val="2"/>
  </w:num>
  <w:num w:numId="11" w16cid:durableId="211466877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17D"/>
    <w:rsid w:val="000001E3"/>
    <w:rsid w:val="000002BA"/>
    <w:rsid w:val="000002D7"/>
    <w:rsid w:val="00000368"/>
    <w:rsid w:val="000003E5"/>
    <w:rsid w:val="00000452"/>
    <w:rsid w:val="00000462"/>
    <w:rsid w:val="000004CB"/>
    <w:rsid w:val="00000597"/>
    <w:rsid w:val="00000719"/>
    <w:rsid w:val="00000785"/>
    <w:rsid w:val="0000085A"/>
    <w:rsid w:val="00000948"/>
    <w:rsid w:val="00000A72"/>
    <w:rsid w:val="00000B8D"/>
    <w:rsid w:val="00000C96"/>
    <w:rsid w:val="00000CD4"/>
    <w:rsid w:val="00000D19"/>
    <w:rsid w:val="00000DC7"/>
    <w:rsid w:val="00000DFC"/>
    <w:rsid w:val="00000EB9"/>
    <w:rsid w:val="0000104B"/>
    <w:rsid w:val="0000105A"/>
    <w:rsid w:val="0000109C"/>
    <w:rsid w:val="000010A4"/>
    <w:rsid w:val="000011CB"/>
    <w:rsid w:val="000011EB"/>
    <w:rsid w:val="0000125F"/>
    <w:rsid w:val="0000128B"/>
    <w:rsid w:val="00001423"/>
    <w:rsid w:val="0000191C"/>
    <w:rsid w:val="00001988"/>
    <w:rsid w:val="000019C9"/>
    <w:rsid w:val="000019CD"/>
    <w:rsid w:val="000019FB"/>
    <w:rsid w:val="00001A40"/>
    <w:rsid w:val="00001B29"/>
    <w:rsid w:val="00001B65"/>
    <w:rsid w:val="00001C01"/>
    <w:rsid w:val="00001DD0"/>
    <w:rsid w:val="00002092"/>
    <w:rsid w:val="00002101"/>
    <w:rsid w:val="00002174"/>
    <w:rsid w:val="000021B3"/>
    <w:rsid w:val="000022CC"/>
    <w:rsid w:val="0000248F"/>
    <w:rsid w:val="000024C6"/>
    <w:rsid w:val="00002508"/>
    <w:rsid w:val="0000250D"/>
    <w:rsid w:val="0000270C"/>
    <w:rsid w:val="00002714"/>
    <w:rsid w:val="00002721"/>
    <w:rsid w:val="00002736"/>
    <w:rsid w:val="00002741"/>
    <w:rsid w:val="00002743"/>
    <w:rsid w:val="000027DE"/>
    <w:rsid w:val="0000286C"/>
    <w:rsid w:val="000028A5"/>
    <w:rsid w:val="000028FF"/>
    <w:rsid w:val="00002B3D"/>
    <w:rsid w:val="00002D68"/>
    <w:rsid w:val="00002DAC"/>
    <w:rsid w:val="00002E19"/>
    <w:rsid w:val="00002E3F"/>
    <w:rsid w:val="0000305A"/>
    <w:rsid w:val="000030AB"/>
    <w:rsid w:val="0000312B"/>
    <w:rsid w:val="0000313F"/>
    <w:rsid w:val="0000320A"/>
    <w:rsid w:val="000032A1"/>
    <w:rsid w:val="000033B4"/>
    <w:rsid w:val="000033F7"/>
    <w:rsid w:val="00003403"/>
    <w:rsid w:val="00003417"/>
    <w:rsid w:val="00003506"/>
    <w:rsid w:val="00003569"/>
    <w:rsid w:val="00003704"/>
    <w:rsid w:val="00003788"/>
    <w:rsid w:val="00003811"/>
    <w:rsid w:val="000038C7"/>
    <w:rsid w:val="000038D4"/>
    <w:rsid w:val="00003900"/>
    <w:rsid w:val="00003CE7"/>
    <w:rsid w:val="00003FBF"/>
    <w:rsid w:val="0000406F"/>
    <w:rsid w:val="000040FA"/>
    <w:rsid w:val="000041B8"/>
    <w:rsid w:val="000041DB"/>
    <w:rsid w:val="00004252"/>
    <w:rsid w:val="000043D5"/>
    <w:rsid w:val="0000444D"/>
    <w:rsid w:val="00004461"/>
    <w:rsid w:val="000044C3"/>
    <w:rsid w:val="000044CB"/>
    <w:rsid w:val="000046DD"/>
    <w:rsid w:val="0000481A"/>
    <w:rsid w:val="0000488A"/>
    <w:rsid w:val="000048C7"/>
    <w:rsid w:val="000048C9"/>
    <w:rsid w:val="00004929"/>
    <w:rsid w:val="00004955"/>
    <w:rsid w:val="00004B3C"/>
    <w:rsid w:val="00004BEC"/>
    <w:rsid w:val="00004C51"/>
    <w:rsid w:val="00004CE1"/>
    <w:rsid w:val="00004F68"/>
    <w:rsid w:val="00004FC9"/>
    <w:rsid w:val="000050F2"/>
    <w:rsid w:val="000051C8"/>
    <w:rsid w:val="00005347"/>
    <w:rsid w:val="00005480"/>
    <w:rsid w:val="00005484"/>
    <w:rsid w:val="000057C5"/>
    <w:rsid w:val="00005907"/>
    <w:rsid w:val="00005B78"/>
    <w:rsid w:val="00005BB2"/>
    <w:rsid w:val="00005BDD"/>
    <w:rsid w:val="00005BDF"/>
    <w:rsid w:val="00005CB8"/>
    <w:rsid w:val="00005CCC"/>
    <w:rsid w:val="00005DDD"/>
    <w:rsid w:val="00005FFA"/>
    <w:rsid w:val="00006250"/>
    <w:rsid w:val="00006486"/>
    <w:rsid w:val="00006494"/>
    <w:rsid w:val="000064B1"/>
    <w:rsid w:val="0000656D"/>
    <w:rsid w:val="0000658E"/>
    <w:rsid w:val="000065B2"/>
    <w:rsid w:val="00006762"/>
    <w:rsid w:val="00006AD1"/>
    <w:rsid w:val="00006BBB"/>
    <w:rsid w:val="00006C0E"/>
    <w:rsid w:val="00006D1C"/>
    <w:rsid w:val="00006E76"/>
    <w:rsid w:val="00007142"/>
    <w:rsid w:val="00007247"/>
    <w:rsid w:val="00007248"/>
    <w:rsid w:val="000072B6"/>
    <w:rsid w:val="000073FC"/>
    <w:rsid w:val="000074A2"/>
    <w:rsid w:val="00007528"/>
    <w:rsid w:val="00007539"/>
    <w:rsid w:val="00007748"/>
    <w:rsid w:val="000077B4"/>
    <w:rsid w:val="000077B8"/>
    <w:rsid w:val="00007853"/>
    <w:rsid w:val="000078B3"/>
    <w:rsid w:val="00007910"/>
    <w:rsid w:val="00007975"/>
    <w:rsid w:val="00007A0C"/>
    <w:rsid w:val="00007ACD"/>
    <w:rsid w:val="00007B14"/>
    <w:rsid w:val="00007B8F"/>
    <w:rsid w:val="00007D24"/>
    <w:rsid w:val="00007DC5"/>
    <w:rsid w:val="00007FD5"/>
    <w:rsid w:val="0001021B"/>
    <w:rsid w:val="0001028E"/>
    <w:rsid w:val="0001038B"/>
    <w:rsid w:val="000103ED"/>
    <w:rsid w:val="00010441"/>
    <w:rsid w:val="000104BD"/>
    <w:rsid w:val="00010547"/>
    <w:rsid w:val="000105CD"/>
    <w:rsid w:val="000105F1"/>
    <w:rsid w:val="00010604"/>
    <w:rsid w:val="000106DB"/>
    <w:rsid w:val="00010897"/>
    <w:rsid w:val="00010911"/>
    <w:rsid w:val="00010973"/>
    <w:rsid w:val="000109EA"/>
    <w:rsid w:val="00010B26"/>
    <w:rsid w:val="00011169"/>
    <w:rsid w:val="000111BC"/>
    <w:rsid w:val="0001125E"/>
    <w:rsid w:val="00011445"/>
    <w:rsid w:val="0001157F"/>
    <w:rsid w:val="0001165B"/>
    <w:rsid w:val="00011757"/>
    <w:rsid w:val="000117B5"/>
    <w:rsid w:val="000118CE"/>
    <w:rsid w:val="00011935"/>
    <w:rsid w:val="00011959"/>
    <w:rsid w:val="00011B4C"/>
    <w:rsid w:val="00011B8E"/>
    <w:rsid w:val="00011B90"/>
    <w:rsid w:val="00011C02"/>
    <w:rsid w:val="00011C06"/>
    <w:rsid w:val="00011D89"/>
    <w:rsid w:val="00011F8C"/>
    <w:rsid w:val="000123A6"/>
    <w:rsid w:val="00012474"/>
    <w:rsid w:val="000124E6"/>
    <w:rsid w:val="000125A7"/>
    <w:rsid w:val="00012645"/>
    <w:rsid w:val="000126F1"/>
    <w:rsid w:val="00012884"/>
    <w:rsid w:val="000128AB"/>
    <w:rsid w:val="000128B7"/>
    <w:rsid w:val="00012B99"/>
    <w:rsid w:val="00012F19"/>
    <w:rsid w:val="0001316E"/>
    <w:rsid w:val="00013177"/>
    <w:rsid w:val="000131BD"/>
    <w:rsid w:val="0001329F"/>
    <w:rsid w:val="0001334C"/>
    <w:rsid w:val="000133D3"/>
    <w:rsid w:val="00013415"/>
    <w:rsid w:val="00013419"/>
    <w:rsid w:val="00013434"/>
    <w:rsid w:val="00013669"/>
    <w:rsid w:val="00013696"/>
    <w:rsid w:val="000138A1"/>
    <w:rsid w:val="00013975"/>
    <w:rsid w:val="00013B96"/>
    <w:rsid w:val="00013BA3"/>
    <w:rsid w:val="00013D6C"/>
    <w:rsid w:val="00013DC6"/>
    <w:rsid w:val="00013F9C"/>
    <w:rsid w:val="00013FB6"/>
    <w:rsid w:val="000140F7"/>
    <w:rsid w:val="000141CF"/>
    <w:rsid w:val="000141F9"/>
    <w:rsid w:val="000142EB"/>
    <w:rsid w:val="0001436D"/>
    <w:rsid w:val="000143A0"/>
    <w:rsid w:val="000143E6"/>
    <w:rsid w:val="000144DA"/>
    <w:rsid w:val="000145A5"/>
    <w:rsid w:val="0001463B"/>
    <w:rsid w:val="0001474E"/>
    <w:rsid w:val="00014A3E"/>
    <w:rsid w:val="00014A5A"/>
    <w:rsid w:val="00014B68"/>
    <w:rsid w:val="00014CB8"/>
    <w:rsid w:val="00014D59"/>
    <w:rsid w:val="00014E10"/>
    <w:rsid w:val="00014F3C"/>
    <w:rsid w:val="00014F7A"/>
    <w:rsid w:val="00015176"/>
    <w:rsid w:val="000151A8"/>
    <w:rsid w:val="000152A0"/>
    <w:rsid w:val="000154FD"/>
    <w:rsid w:val="0001554E"/>
    <w:rsid w:val="00015600"/>
    <w:rsid w:val="00015771"/>
    <w:rsid w:val="00015804"/>
    <w:rsid w:val="00015888"/>
    <w:rsid w:val="00015A12"/>
    <w:rsid w:val="00015AC9"/>
    <w:rsid w:val="00015B21"/>
    <w:rsid w:val="00015B23"/>
    <w:rsid w:val="00015B4A"/>
    <w:rsid w:val="00015BE1"/>
    <w:rsid w:val="00015CEA"/>
    <w:rsid w:val="00015D45"/>
    <w:rsid w:val="00015E4D"/>
    <w:rsid w:val="00015E9F"/>
    <w:rsid w:val="00015ED4"/>
    <w:rsid w:val="00015EDB"/>
    <w:rsid w:val="00015F98"/>
    <w:rsid w:val="00015FE5"/>
    <w:rsid w:val="000160A8"/>
    <w:rsid w:val="00016143"/>
    <w:rsid w:val="00016311"/>
    <w:rsid w:val="000163B8"/>
    <w:rsid w:val="00016469"/>
    <w:rsid w:val="0001648A"/>
    <w:rsid w:val="000166EE"/>
    <w:rsid w:val="000168CC"/>
    <w:rsid w:val="00016B86"/>
    <w:rsid w:val="00016C3A"/>
    <w:rsid w:val="00016D61"/>
    <w:rsid w:val="00016DF0"/>
    <w:rsid w:val="00016E6D"/>
    <w:rsid w:val="00016F97"/>
    <w:rsid w:val="00016FB6"/>
    <w:rsid w:val="00016FFD"/>
    <w:rsid w:val="000170E6"/>
    <w:rsid w:val="00017170"/>
    <w:rsid w:val="00017460"/>
    <w:rsid w:val="0001748B"/>
    <w:rsid w:val="000174B6"/>
    <w:rsid w:val="00017517"/>
    <w:rsid w:val="000175AA"/>
    <w:rsid w:val="000176D0"/>
    <w:rsid w:val="00017750"/>
    <w:rsid w:val="000177B4"/>
    <w:rsid w:val="00017825"/>
    <w:rsid w:val="0001784A"/>
    <w:rsid w:val="0001790F"/>
    <w:rsid w:val="00017DB7"/>
    <w:rsid w:val="00017DEE"/>
    <w:rsid w:val="00017EDB"/>
    <w:rsid w:val="00017F27"/>
    <w:rsid w:val="00017F6A"/>
    <w:rsid w:val="0002002C"/>
    <w:rsid w:val="00020311"/>
    <w:rsid w:val="0002031F"/>
    <w:rsid w:val="000203C8"/>
    <w:rsid w:val="0002040B"/>
    <w:rsid w:val="0002040E"/>
    <w:rsid w:val="00020570"/>
    <w:rsid w:val="00020683"/>
    <w:rsid w:val="000207F5"/>
    <w:rsid w:val="00020814"/>
    <w:rsid w:val="000208A2"/>
    <w:rsid w:val="00020A25"/>
    <w:rsid w:val="00020AA2"/>
    <w:rsid w:val="00020B17"/>
    <w:rsid w:val="00020D0E"/>
    <w:rsid w:val="00020E58"/>
    <w:rsid w:val="00020E88"/>
    <w:rsid w:val="00020EFA"/>
    <w:rsid w:val="00020FC9"/>
    <w:rsid w:val="00020FE1"/>
    <w:rsid w:val="0002105F"/>
    <w:rsid w:val="00021171"/>
    <w:rsid w:val="00021232"/>
    <w:rsid w:val="00021369"/>
    <w:rsid w:val="00021545"/>
    <w:rsid w:val="000216CE"/>
    <w:rsid w:val="00021717"/>
    <w:rsid w:val="00021724"/>
    <w:rsid w:val="000218F9"/>
    <w:rsid w:val="0002195C"/>
    <w:rsid w:val="000219E5"/>
    <w:rsid w:val="00021A51"/>
    <w:rsid w:val="00021CA6"/>
    <w:rsid w:val="00021EE9"/>
    <w:rsid w:val="00021F6E"/>
    <w:rsid w:val="000220B4"/>
    <w:rsid w:val="000221C3"/>
    <w:rsid w:val="00022271"/>
    <w:rsid w:val="0002247D"/>
    <w:rsid w:val="000224C1"/>
    <w:rsid w:val="00022506"/>
    <w:rsid w:val="000225C5"/>
    <w:rsid w:val="000227B9"/>
    <w:rsid w:val="0002281B"/>
    <w:rsid w:val="00022822"/>
    <w:rsid w:val="00022834"/>
    <w:rsid w:val="0002286C"/>
    <w:rsid w:val="0002290B"/>
    <w:rsid w:val="00022A6E"/>
    <w:rsid w:val="00022A8D"/>
    <w:rsid w:val="00022B4B"/>
    <w:rsid w:val="00022E41"/>
    <w:rsid w:val="00022F86"/>
    <w:rsid w:val="00022FF9"/>
    <w:rsid w:val="0002301E"/>
    <w:rsid w:val="000230D0"/>
    <w:rsid w:val="00023171"/>
    <w:rsid w:val="00023251"/>
    <w:rsid w:val="0002348D"/>
    <w:rsid w:val="0002351E"/>
    <w:rsid w:val="000235E8"/>
    <w:rsid w:val="00023647"/>
    <w:rsid w:val="0002366D"/>
    <w:rsid w:val="000238D0"/>
    <w:rsid w:val="000238D6"/>
    <w:rsid w:val="000238E3"/>
    <w:rsid w:val="000239EB"/>
    <w:rsid w:val="00023B62"/>
    <w:rsid w:val="00023BF4"/>
    <w:rsid w:val="00023C42"/>
    <w:rsid w:val="00023E45"/>
    <w:rsid w:val="00023EBB"/>
    <w:rsid w:val="00023F5C"/>
    <w:rsid w:val="00023F64"/>
    <w:rsid w:val="00023FF4"/>
    <w:rsid w:val="0002400B"/>
    <w:rsid w:val="0002408A"/>
    <w:rsid w:val="00024126"/>
    <w:rsid w:val="000241CD"/>
    <w:rsid w:val="000241F9"/>
    <w:rsid w:val="00024241"/>
    <w:rsid w:val="00024316"/>
    <w:rsid w:val="00024319"/>
    <w:rsid w:val="00024476"/>
    <w:rsid w:val="000244F6"/>
    <w:rsid w:val="000244F8"/>
    <w:rsid w:val="000245FC"/>
    <w:rsid w:val="00024646"/>
    <w:rsid w:val="00024927"/>
    <w:rsid w:val="000249D4"/>
    <w:rsid w:val="00024ADF"/>
    <w:rsid w:val="00024B32"/>
    <w:rsid w:val="00024D0F"/>
    <w:rsid w:val="00024D89"/>
    <w:rsid w:val="00024DAA"/>
    <w:rsid w:val="00024DB4"/>
    <w:rsid w:val="00024E78"/>
    <w:rsid w:val="00024F09"/>
    <w:rsid w:val="000250B6"/>
    <w:rsid w:val="00025110"/>
    <w:rsid w:val="0002532B"/>
    <w:rsid w:val="00025398"/>
    <w:rsid w:val="000253B4"/>
    <w:rsid w:val="000253CA"/>
    <w:rsid w:val="00025487"/>
    <w:rsid w:val="00025528"/>
    <w:rsid w:val="00025B4A"/>
    <w:rsid w:val="00025B64"/>
    <w:rsid w:val="00025B83"/>
    <w:rsid w:val="00025B92"/>
    <w:rsid w:val="00025E67"/>
    <w:rsid w:val="00025F49"/>
    <w:rsid w:val="00025F8C"/>
    <w:rsid w:val="00025FCA"/>
    <w:rsid w:val="00025FD9"/>
    <w:rsid w:val="00025FE9"/>
    <w:rsid w:val="00026190"/>
    <w:rsid w:val="00026202"/>
    <w:rsid w:val="00026285"/>
    <w:rsid w:val="000262E8"/>
    <w:rsid w:val="0002647C"/>
    <w:rsid w:val="000265BF"/>
    <w:rsid w:val="0002668D"/>
    <w:rsid w:val="00026793"/>
    <w:rsid w:val="00026A6A"/>
    <w:rsid w:val="00026AD0"/>
    <w:rsid w:val="00026B1C"/>
    <w:rsid w:val="00026B8A"/>
    <w:rsid w:val="00026C0A"/>
    <w:rsid w:val="00026C2E"/>
    <w:rsid w:val="00026D8D"/>
    <w:rsid w:val="00026E3A"/>
    <w:rsid w:val="00026EE7"/>
    <w:rsid w:val="0002730F"/>
    <w:rsid w:val="00027315"/>
    <w:rsid w:val="0002747F"/>
    <w:rsid w:val="000274E3"/>
    <w:rsid w:val="0002751C"/>
    <w:rsid w:val="00027608"/>
    <w:rsid w:val="000276E2"/>
    <w:rsid w:val="0002775D"/>
    <w:rsid w:val="0002778B"/>
    <w:rsid w:val="00027A21"/>
    <w:rsid w:val="00027A98"/>
    <w:rsid w:val="00027C64"/>
    <w:rsid w:val="00027D33"/>
    <w:rsid w:val="00027DB8"/>
    <w:rsid w:val="00027FFB"/>
    <w:rsid w:val="00030152"/>
    <w:rsid w:val="00030171"/>
    <w:rsid w:val="00030210"/>
    <w:rsid w:val="00030230"/>
    <w:rsid w:val="00030334"/>
    <w:rsid w:val="0003037E"/>
    <w:rsid w:val="0003039B"/>
    <w:rsid w:val="000304C9"/>
    <w:rsid w:val="000305A9"/>
    <w:rsid w:val="00030683"/>
    <w:rsid w:val="000306DA"/>
    <w:rsid w:val="00030791"/>
    <w:rsid w:val="000307CD"/>
    <w:rsid w:val="0003089B"/>
    <w:rsid w:val="00030A07"/>
    <w:rsid w:val="00030B8A"/>
    <w:rsid w:val="00030CAA"/>
    <w:rsid w:val="00030F0B"/>
    <w:rsid w:val="00030F82"/>
    <w:rsid w:val="00031065"/>
    <w:rsid w:val="000310F2"/>
    <w:rsid w:val="000312A7"/>
    <w:rsid w:val="000314C9"/>
    <w:rsid w:val="00031530"/>
    <w:rsid w:val="00031730"/>
    <w:rsid w:val="00031A8A"/>
    <w:rsid w:val="00031BBE"/>
    <w:rsid w:val="00031C59"/>
    <w:rsid w:val="00031CD0"/>
    <w:rsid w:val="00031F1C"/>
    <w:rsid w:val="00031F38"/>
    <w:rsid w:val="00031F60"/>
    <w:rsid w:val="00031F8C"/>
    <w:rsid w:val="00031FB8"/>
    <w:rsid w:val="0003213F"/>
    <w:rsid w:val="000321C6"/>
    <w:rsid w:val="0003223F"/>
    <w:rsid w:val="000322AE"/>
    <w:rsid w:val="00032359"/>
    <w:rsid w:val="000325D5"/>
    <w:rsid w:val="00032663"/>
    <w:rsid w:val="00032758"/>
    <w:rsid w:val="000327B5"/>
    <w:rsid w:val="000328C9"/>
    <w:rsid w:val="000329D7"/>
    <w:rsid w:val="00032A16"/>
    <w:rsid w:val="00032A2D"/>
    <w:rsid w:val="00032AC8"/>
    <w:rsid w:val="00032C99"/>
    <w:rsid w:val="00032F7A"/>
    <w:rsid w:val="0003305F"/>
    <w:rsid w:val="000330A5"/>
    <w:rsid w:val="00033230"/>
    <w:rsid w:val="00033479"/>
    <w:rsid w:val="00033638"/>
    <w:rsid w:val="00033656"/>
    <w:rsid w:val="00033674"/>
    <w:rsid w:val="00033727"/>
    <w:rsid w:val="00033875"/>
    <w:rsid w:val="00033A5C"/>
    <w:rsid w:val="00033C26"/>
    <w:rsid w:val="00033CAE"/>
    <w:rsid w:val="00033D81"/>
    <w:rsid w:val="00033DAB"/>
    <w:rsid w:val="00033DC9"/>
    <w:rsid w:val="00034153"/>
    <w:rsid w:val="00034167"/>
    <w:rsid w:val="00034199"/>
    <w:rsid w:val="00034220"/>
    <w:rsid w:val="00034275"/>
    <w:rsid w:val="0003468C"/>
    <w:rsid w:val="000346E4"/>
    <w:rsid w:val="000346FA"/>
    <w:rsid w:val="00034703"/>
    <w:rsid w:val="000347E0"/>
    <w:rsid w:val="0003485E"/>
    <w:rsid w:val="00034967"/>
    <w:rsid w:val="00034B46"/>
    <w:rsid w:val="00034D2F"/>
    <w:rsid w:val="00034D9A"/>
    <w:rsid w:val="00034EBF"/>
    <w:rsid w:val="000350DF"/>
    <w:rsid w:val="0003515F"/>
    <w:rsid w:val="0003536A"/>
    <w:rsid w:val="00035406"/>
    <w:rsid w:val="00035413"/>
    <w:rsid w:val="00035539"/>
    <w:rsid w:val="000355AB"/>
    <w:rsid w:val="000356AE"/>
    <w:rsid w:val="0003578C"/>
    <w:rsid w:val="0003583C"/>
    <w:rsid w:val="000358A4"/>
    <w:rsid w:val="00035924"/>
    <w:rsid w:val="00035960"/>
    <w:rsid w:val="00035965"/>
    <w:rsid w:val="00035B0E"/>
    <w:rsid w:val="00035CA1"/>
    <w:rsid w:val="00035CBA"/>
    <w:rsid w:val="00035CCA"/>
    <w:rsid w:val="00035D57"/>
    <w:rsid w:val="00035EBC"/>
    <w:rsid w:val="00035F1B"/>
    <w:rsid w:val="00035FE0"/>
    <w:rsid w:val="00036022"/>
    <w:rsid w:val="00036098"/>
    <w:rsid w:val="00036189"/>
    <w:rsid w:val="00036216"/>
    <w:rsid w:val="00036233"/>
    <w:rsid w:val="0003646A"/>
    <w:rsid w:val="00036622"/>
    <w:rsid w:val="000366BF"/>
    <w:rsid w:val="000367BE"/>
    <w:rsid w:val="00036865"/>
    <w:rsid w:val="0003689F"/>
    <w:rsid w:val="000368B2"/>
    <w:rsid w:val="00036B3A"/>
    <w:rsid w:val="00036B75"/>
    <w:rsid w:val="00036BEB"/>
    <w:rsid w:val="00036D1B"/>
    <w:rsid w:val="00036E2E"/>
    <w:rsid w:val="00036E6D"/>
    <w:rsid w:val="00036E70"/>
    <w:rsid w:val="00036EE5"/>
    <w:rsid w:val="00036F5B"/>
    <w:rsid w:val="00037032"/>
    <w:rsid w:val="00037235"/>
    <w:rsid w:val="00037363"/>
    <w:rsid w:val="00037366"/>
    <w:rsid w:val="0003738E"/>
    <w:rsid w:val="0003745C"/>
    <w:rsid w:val="000374FA"/>
    <w:rsid w:val="000375A2"/>
    <w:rsid w:val="00037613"/>
    <w:rsid w:val="0003784F"/>
    <w:rsid w:val="000378FC"/>
    <w:rsid w:val="00037C05"/>
    <w:rsid w:val="00037C0B"/>
    <w:rsid w:val="00037CF8"/>
    <w:rsid w:val="00037E86"/>
    <w:rsid w:val="00037ED6"/>
    <w:rsid w:val="00037EF4"/>
    <w:rsid w:val="00040025"/>
    <w:rsid w:val="00040114"/>
    <w:rsid w:val="000401E5"/>
    <w:rsid w:val="000402AD"/>
    <w:rsid w:val="0004033E"/>
    <w:rsid w:val="0004039D"/>
    <w:rsid w:val="0004041C"/>
    <w:rsid w:val="0004044D"/>
    <w:rsid w:val="00040479"/>
    <w:rsid w:val="0004049A"/>
    <w:rsid w:val="000408BD"/>
    <w:rsid w:val="000409B4"/>
    <w:rsid w:val="00040A7A"/>
    <w:rsid w:val="00040B7E"/>
    <w:rsid w:val="00040CE0"/>
    <w:rsid w:val="00040E95"/>
    <w:rsid w:val="00040F92"/>
    <w:rsid w:val="00041018"/>
    <w:rsid w:val="000410BA"/>
    <w:rsid w:val="000410D3"/>
    <w:rsid w:val="000410F3"/>
    <w:rsid w:val="000410F6"/>
    <w:rsid w:val="000411BD"/>
    <w:rsid w:val="000413A3"/>
    <w:rsid w:val="0004153C"/>
    <w:rsid w:val="00041703"/>
    <w:rsid w:val="000417FF"/>
    <w:rsid w:val="00041930"/>
    <w:rsid w:val="000419F1"/>
    <w:rsid w:val="00041A8C"/>
    <w:rsid w:val="00041AF8"/>
    <w:rsid w:val="00041B04"/>
    <w:rsid w:val="00041BF0"/>
    <w:rsid w:val="00041CBC"/>
    <w:rsid w:val="00041CCA"/>
    <w:rsid w:val="00041CD8"/>
    <w:rsid w:val="00041D90"/>
    <w:rsid w:val="00041E3D"/>
    <w:rsid w:val="00041E64"/>
    <w:rsid w:val="00041E68"/>
    <w:rsid w:val="00041F4B"/>
    <w:rsid w:val="00042189"/>
    <w:rsid w:val="0004222B"/>
    <w:rsid w:val="00042366"/>
    <w:rsid w:val="000424F3"/>
    <w:rsid w:val="000427B6"/>
    <w:rsid w:val="000427EC"/>
    <w:rsid w:val="00042940"/>
    <w:rsid w:val="00042963"/>
    <w:rsid w:val="00042AAC"/>
    <w:rsid w:val="00042AC5"/>
    <w:rsid w:val="00042B69"/>
    <w:rsid w:val="00042C8A"/>
    <w:rsid w:val="00042D4E"/>
    <w:rsid w:val="00042DB7"/>
    <w:rsid w:val="00042EB0"/>
    <w:rsid w:val="00042EC3"/>
    <w:rsid w:val="00042F92"/>
    <w:rsid w:val="0004302D"/>
    <w:rsid w:val="0004307E"/>
    <w:rsid w:val="000430B9"/>
    <w:rsid w:val="00043196"/>
    <w:rsid w:val="000436E6"/>
    <w:rsid w:val="0004380A"/>
    <w:rsid w:val="00043875"/>
    <w:rsid w:val="00043878"/>
    <w:rsid w:val="0004396E"/>
    <w:rsid w:val="00043C07"/>
    <w:rsid w:val="00043D86"/>
    <w:rsid w:val="00043EFB"/>
    <w:rsid w:val="00043F5F"/>
    <w:rsid w:val="00043F6A"/>
    <w:rsid w:val="0004419F"/>
    <w:rsid w:val="000441F0"/>
    <w:rsid w:val="000442AE"/>
    <w:rsid w:val="00044337"/>
    <w:rsid w:val="000443D8"/>
    <w:rsid w:val="0004441E"/>
    <w:rsid w:val="000446D0"/>
    <w:rsid w:val="00044766"/>
    <w:rsid w:val="000449A7"/>
    <w:rsid w:val="000449D9"/>
    <w:rsid w:val="00044A85"/>
    <w:rsid w:val="00044A88"/>
    <w:rsid w:val="00044AB8"/>
    <w:rsid w:val="00044B1C"/>
    <w:rsid w:val="00044E21"/>
    <w:rsid w:val="00044E68"/>
    <w:rsid w:val="00044EA9"/>
    <w:rsid w:val="00045076"/>
    <w:rsid w:val="00045152"/>
    <w:rsid w:val="0004530B"/>
    <w:rsid w:val="0004536B"/>
    <w:rsid w:val="000453A1"/>
    <w:rsid w:val="00045424"/>
    <w:rsid w:val="00045592"/>
    <w:rsid w:val="00045656"/>
    <w:rsid w:val="00045672"/>
    <w:rsid w:val="000456D3"/>
    <w:rsid w:val="0004570E"/>
    <w:rsid w:val="000459B9"/>
    <w:rsid w:val="00045A1F"/>
    <w:rsid w:val="00045A62"/>
    <w:rsid w:val="00045AF7"/>
    <w:rsid w:val="00045C21"/>
    <w:rsid w:val="00045DA0"/>
    <w:rsid w:val="00045E02"/>
    <w:rsid w:val="00045E37"/>
    <w:rsid w:val="00045FB3"/>
    <w:rsid w:val="00046113"/>
    <w:rsid w:val="0004616C"/>
    <w:rsid w:val="00046261"/>
    <w:rsid w:val="0004633E"/>
    <w:rsid w:val="0004647C"/>
    <w:rsid w:val="000464B9"/>
    <w:rsid w:val="000464E6"/>
    <w:rsid w:val="0004665B"/>
    <w:rsid w:val="0004675F"/>
    <w:rsid w:val="0004697E"/>
    <w:rsid w:val="00046994"/>
    <w:rsid w:val="00046B44"/>
    <w:rsid w:val="00046B68"/>
    <w:rsid w:val="00046D3C"/>
    <w:rsid w:val="00046F7C"/>
    <w:rsid w:val="00047023"/>
    <w:rsid w:val="000471BE"/>
    <w:rsid w:val="000471D0"/>
    <w:rsid w:val="000472FC"/>
    <w:rsid w:val="00047328"/>
    <w:rsid w:val="00047568"/>
    <w:rsid w:val="00047881"/>
    <w:rsid w:val="0004791B"/>
    <w:rsid w:val="00047ACD"/>
    <w:rsid w:val="00047B1A"/>
    <w:rsid w:val="00050014"/>
    <w:rsid w:val="00050240"/>
    <w:rsid w:val="00050260"/>
    <w:rsid w:val="00050332"/>
    <w:rsid w:val="0005052B"/>
    <w:rsid w:val="000506D9"/>
    <w:rsid w:val="000508A2"/>
    <w:rsid w:val="000508B0"/>
    <w:rsid w:val="00050B06"/>
    <w:rsid w:val="00050BAA"/>
    <w:rsid w:val="00050BB6"/>
    <w:rsid w:val="00050C82"/>
    <w:rsid w:val="00050D53"/>
    <w:rsid w:val="00050D56"/>
    <w:rsid w:val="00050E7B"/>
    <w:rsid w:val="00050F49"/>
    <w:rsid w:val="00050F8B"/>
    <w:rsid w:val="00050FC4"/>
    <w:rsid w:val="00051094"/>
    <w:rsid w:val="0005112E"/>
    <w:rsid w:val="000511BD"/>
    <w:rsid w:val="00051418"/>
    <w:rsid w:val="000514C4"/>
    <w:rsid w:val="0005161E"/>
    <w:rsid w:val="0005171D"/>
    <w:rsid w:val="000518A1"/>
    <w:rsid w:val="00051910"/>
    <w:rsid w:val="00051AE1"/>
    <w:rsid w:val="00051B4F"/>
    <w:rsid w:val="00051C82"/>
    <w:rsid w:val="00051CEE"/>
    <w:rsid w:val="00051D10"/>
    <w:rsid w:val="00051DAD"/>
    <w:rsid w:val="00051FEB"/>
    <w:rsid w:val="00052361"/>
    <w:rsid w:val="0005245D"/>
    <w:rsid w:val="00052597"/>
    <w:rsid w:val="0005260B"/>
    <w:rsid w:val="00052673"/>
    <w:rsid w:val="0005268D"/>
    <w:rsid w:val="000527DD"/>
    <w:rsid w:val="00052A09"/>
    <w:rsid w:val="00052A68"/>
    <w:rsid w:val="00052ADF"/>
    <w:rsid w:val="00052BA0"/>
    <w:rsid w:val="00052C57"/>
    <w:rsid w:val="00052C83"/>
    <w:rsid w:val="00052D1E"/>
    <w:rsid w:val="00052E9F"/>
    <w:rsid w:val="00052ED0"/>
    <w:rsid w:val="00052FA7"/>
    <w:rsid w:val="00053026"/>
    <w:rsid w:val="00053064"/>
    <w:rsid w:val="0005322D"/>
    <w:rsid w:val="00053274"/>
    <w:rsid w:val="000532E9"/>
    <w:rsid w:val="00053341"/>
    <w:rsid w:val="000533CE"/>
    <w:rsid w:val="00053542"/>
    <w:rsid w:val="000535DE"/>
    <w:rsid w:val="000535FB"/>
    <w:rsid w:val="000536D4"/>
    <w:rsid w:val="00053740"/>
    <w:rsid w:val="0005375F"/>
    <w:rsid w:val="000538A0"/>
    <w:rsid w:val="00053986"/>
    <w:rsid w:val="00053A7C"/>
    <w:rsid w:val="00053ABE"/>
    <w:rsid w:val="00053B8B"/>
    <w:rsid w:val="00053BA7"/>
    <w:rsid w:val="00053DF0"/>
    <w:rsid w:val="00053F61"/>
    <w:rsid w:val="00054061"/>
    <w:rsid w:val="000541F0"/>
    <w:rsid w:val="00054215"/>
    <w:rsid w:val="00054341"/>
    <w:rsid w:val="000543B5"/>
    <w:rsid w:val="000544A6"/>
    <w:rsid w:val="000545AF"/>
    <w:rsid w:val="00054642"/>
    <w:rsid w:val="000547F1"/>
    <w:rsid w:val="0005496C"/>
    <w:rsid w:val="00054AC4"/>
    <w:rsid w:val="00054AD6"/>
    <w:rsid w:val="00054BCE"/>
    <w:rsid w:val="00054CE8"/>
    <w:rsid w:val="00054E67"/>
    <w:rsid w:val="00054F59"/>
    <w:rsid w:val="0005514A"/>
    <w:rsid w:val="0005519B"/>
    <w:rsid w:val="0005527D"/>
    <w:rsid w:val="00055399"/>
    <w:rsid w:val="0005539E"/>
    <w:rsid w:val="0005544C"/>
    <w:rsid w:val="0005563F"/>
    <w:rsid w:val="00055711"/>
    <w:rsid w:val="000557B3"/>
    <w:rsid w:val="00055A5B"/>
    <w:rsid w:val="00055A96"/>
    <w:rsid w:val="00055B1C"/>
    <w:rsid w:val="00055B44"/>
    <w:rsid w:val="00055C13"/>
    <w:rsid w:val="00055C16"/>
    <w:rsid w:val="00055C45"/>
    <w:rsid w:val="00055C60"/>
    <w:rsid w:val="00055DCF"/>
    <w:rsid w:val="00055F33"/>
    <w:rsid w:val="00055FC7"/>
    <w:rsid w:val="00056015"/>
    <w:rsid w:val="000560B5"/>
    <w:rsid w:val="00056504"/>
    <w:rsid w:val="0005685B"/>
    <w:rsid w:val="000568B5"/>
    <w:rsid w:val="000568B8"/>
    <w:rsid w:val="00056925"/>
    <w:rsid w:val="00056989"/>
    <w:rsid w:val="000569A6"/>
    <w:rsid w:val="00056B10"/>
    <w:rsid w:val="00056DB3"/>
    <w:rsid w:val="00056DC7"/>
    <w:rsid w:val="00056E22"/>
    <w:rsid w:val="00056E71"/>
    <w:rsid w:val="00056E8F"/>
    <w:rsid w:val="00056EC4"/>
    <w:rsid w:val="0005701E"/>
    <w:rsid w:val="00057145"/>
    <w:rsid w:val="00057162"/>
    <w:rsid w:val="000571BD"/>
    <w:rsid w:val="000571FD"/>
    <w:rsid w:val="00057202"/>
    <w:rsid w:val="000573B6"/>
    <w:rsid w:val="000573F9"/>
    <w:rsid w:val="00057418"/>
    <w:rsid w:val="000574B8"/>
    <w:rsid w:val="00057537"/>
    <w:rsid w:val="000575B3"/>
    <w:rsid w:val="000576AC"/>
    <w:rsid w:val="00057711"/>
    <w:rsid w:val="000577F7"/>
    <w:rsid w:val="000578B2"/>
    <w:rsid w:val="00057900"/>
    <w:rsid w:val="00057942"/>
    <w:rsid w:val="00057A17"/>
    <w:rsid w:val="00057A96"/>
    <w:rsid w:val="00057B1A"/>
    <w:rsid w:val="00057BB3"/>
    <w:rsid w:val="00057BB9"/>
    <w:rsid w:val="00057D2C"/>
    <w:rsid w:val="00057D2D"/>
    <w:rsid w:val="00057D9D"/>
    <w:rsid w:val="00057E0B"/>
    <w:rsid w:val="00057E71"/>
    <w:rsid w:val="00057EF1"/>
    <w:rsid w:val="00057F45"/>
    <w:rsid w:val="00057FB6"/>
    <w:rsid w:val="000600FF"/>
    <w:rsid w:val="00060152"/>
    <w:rsid w:val="00060210"/>
    <w:rsid w:val="00060297"/>
    <w:rsid w:val="0006038C"/>
    <w:rsid w:val="000604ED"/>
    <w:rsid w:val="0006054B"/>
    <w:rsid w:val="000605B0"/>
    <w:rsid w:val="00060631"/>
    <w:rsid w:val="00060849"/>
    <w:rsid w:val="00060959"/>
    <w:rsid w:val="00060A09"/>
    <w:rsid w:val="00060AF2"/>
    <w:rsid w:val="00060B5A"/>
    <w:rsid w:val="00060C8F"/>
    <w:rsid w:val="00060D96"/>
    <w:rsid w:val="00060DB2"/>
    <w:rsid w:val="00060E78"/>
    <w:rsid w:val="000610B1"/>
    <w:rsid w:val="00061164"/>
    <w:rsid w:val="00061193"/>
    <w:rsid w:val="0006123F"/>
    <w:rsid w:val="000612B5"/>
    <w:rsid w:val="000612D6"/>
    <w:rsid w:val="00061363"/>
    <w:rsid w:val="000617EF"/>
    <w:rsid w:val="000619E1"/>
    <w:rsid w:val="000619E8"/>
    <w:rsid w:val="00061A24"/>
    <w:rsid w:val="00061CA4"/>
    <w:rsid w:val="00061D13"/>
    <w:rsid w:val="00061E5A"/>
    <w:rsid w:val="00061EF0"/>
    <w:rsid w:val="00061FDB"/>
    <w:rsid w:val="0006201B"/>
    <w:rsid w:val="00062039"/>
    <w:rsid w:val="0006209A"/>
    <w:rsid w:val="000623D5"/>
    <w:rsid w:val="00062527"/>
    <w:rsid w:val="0006298A"/>
    <w:rsid w:val="00062B6C"/>
    <w:rsid w:val="00062C14"/>
    <w:rsid w:val="00062C7B"/>
    <w:rsid w:val="000630BA"/>
    <w:rsid w:val="000630F2"/>
    <w:rsid w:val="0006319A"/>
    <w:rsid w:val="000631D0"/>
    <w:rsid w:val="0006334B"/>
    <w:rsid w:val="00063411"/>
    <w:rsid w:val="0006361A"/>
    <w:rsid w:val="00063624"/>
    <w:rsid w:val="0006370F"/>
    <w:rsid w:val="00063715"/>
    <w:rsid w:val="000638A0"/>
    <w:rsid w:val="000638A3"/>
    <w:rsid w:val="00063972"/>
    <w:rsid w:val="00063991"/>
    <w:rsid w:val="000639FA"/>
    <w:rsid w:val="00063A0E"/>
    <w:rsid w:val="00063A28"/>
    <w:rsid w:val="00063B7C"/>
    <w:rsid w:val="00063B86"/>
    <w:rsid w:val="00063BDF"/>
    <w:rsid w:val="00063DF0"/>
    <w:rsid w:val="00063E94"/>
    <w:rsid w:val="00063EE9"/>
    <w:rsid w:val="00063F01"/>
    <w:rsid w:val="00063F84"/>
    <w:rsid w:val="0006400A"/>
    <w:rsid w:val="00064244"/>
    <w:rsid w:val="000642D5"/>
    <w:rsid w:val="0006433A"/>
    <w:rsid w:val="00064437"/>
    <w:rsid w:val="000644A2"/>
    <w:rsid w:val="000647F6"/>
    <w:rsid w:val="000648BE"/>
    <w:rsid w:val="00064BB6"/>
    <w:rsid w:val="00064D03"/>
    <w:rsid w:val="00064D22"/>
    <w:rsid w:val="00064DF5"/>
    <w:rsid w:val="00065499"/>
    <w:rsid w:val="00065557"/>
    <w:rsid w:val="0006563B"/>
    <w:rsid w:val="00065644"/>
    <w:rsid w:val="000659D5"/>
    <w:rsid w:val="000659EA"/>
    <w:rsid w:val="00065A41"/>
    <w:rsid w:val="00065A8E"/>
    <w:rsid w:val="00065B9E"/>
    <w:rsid w:val="00065BE1"/>
    <w:rsid w:val="00065BE2"/>
    <w:rsid w:val="00065CEA"/>
    <w:rsid w:val="00065D35"/>
    <w:rsid w:val="00065D9C"/>
    <w:rsid w:val="00065E6F"/>
    <w:rsid w:val="00065F33"/>
    <w:rsid w:val="00065F3B"/>
    <w:rsid w:val="00065F4F"/>
    <w:rsid w:val="00065F71"/>
    <w:rsid w:val="00066001"/>
    <w:rsid w:val="000662B9"/>
    <w:rsid w:val="000662D4"/>
    <w:rsid w:val="00066329"/>
    <w:rsid w:val="00066353"/>
    <w:rsid w:val="000663CD"/>
    <w:rsid w:val="000663DA"/>
    <w:rsid w:val="000663DF"/>
    <w:rsid w:val="000663FF"/>
    <w:rsid w:val="00066433"/>
    <w:rsid w:val="0006644A"/>
    <w:rsid w:val="000664A7"/>
    <w:rsid w:val="00066873"/>
    <w:rsid w:val="000669AF"/>
    <w:rsid w:val="00066A74"/>
    <w:rsid w:val="00066AD7"/>
    <w:rsid w:val="00066B74"/>
    <w:rsid w:val="00066B83"/>
    <w:rsid w:val="00066C5D"/>
    <w:rsid w:val="00066D67"/>
    <w:rsid w:val="00066D74"/>
    <w:rsid w:val="00066DB8"/>
    <w:rsid w:val="00066E24"/>
    <w:rsid w:val="00066FB1"/>
    <w:rsid w:val="000670B9"/>
    <w:rsid w:val="000671A7"/>
    <w:rsid w:val="000671E1"/>
    <w:rsid w:val="00067363"/>
    <w:rsid w:val="000674BA"/>
    <w:rsid w:val="00067524"/>
    <w:rsid w:val="00067654"/>
    <w:rsid w:val="000676B8"/>
    <w:rsid w:val="000676DA"/>
    <w:rsid w:val="000676E9"/>
    <w:rsid w:val="00067741"/>
    <w:rsid w:val="000678AE"/>
    <w:rsid w:val="0006792B"/>
    <w:rsid w:val="00067AB2"/>
    <w:rsid w:val="00067B86"/>
    <w:rsid w:val="00067CD9"/>
    <w:rsid w:val="00067D5B"/>
    <w:rsid w:val="00067FB5"/>
    <w:rsid w:val="00070038"/>
    <w:rsid w:val="00070148"/>
    <w:rsid w:val="000702A6"/>
    <w:rsid w:val="00070319"/>
    <w:rsid w:val="00070368"/>
    <w:rsid w:val="0007038C"/>
    <w:rsid w:val="000704DA"/>
    <w:rsid w:val="000705B6"/>
    <w:rsid w:val="00070696"/>
    <w:rsid w:val="000706DA"/>
    <w:rsid w:val="00070814"/>
    <w:rsid w:val="000708B4"/>
    <w:rsid w:val="000708B6"/>
    <w:rsid w:val="000708F1"/>
    <w:rsid w:val="000709BD"/>
    <w:rsid w:val="000709FA"/>
    <w:rsid w:val="00070ABE"/>
    <w:rsid w:val="00070C25"/>
    <w:rsid w:val="00070D5B"/>
    <w:rsid w:val="00070F3B"/>
    <w:rsid w:val="0007100A"/>
    <w:rsid w:val="00071081"/>
    <w:rsid w:val="00071083"/>
    <w:rsid w:val="000710DB"/>
    <w:rsid w:val="000710F1"/>
    <w:rsid w:val="00071181"/>
    <w:rsid w:val="000711D4"/>
    <w:rsid w:val="00071711"/>
    <w:rsid w:val="00071776"/>
    <w:rsid w:val="00071875"/>
    <w:rsid w:val="00071900"/>
    <w:rsid w:val="000719CC"/>
    <w:rsid w:val="00071A22"/>
    <w:rsid w:val="00071AD5"/>
    <w:rsid w:val="00071B57"/>
    <w:rsid w:val="00071D38"/>
    <w:rsid w:val="00071DF9"/>
    <w:rsid w:val="00071F57"/>
    <w:rsid w:val="00071F69"/>
    <w:rsid w:val="0007237D"/>
    <w:rsid w:val="00072384"/>
    <w:rsid w:val="00072396"/>
    <w:rsid w:val="00072443"/>
    <w:rsid w:val="0007244D"/>
    <w:rsid w:val="0007251D"/>
    <w:rsid w:val="0007261F"/>
    <w:rsid w:val="0007267A"/>
    <w:rsid w:val="000728B3"/>
    <w:rsid w:val="00072A1B"/>
    <w:rsid w:val="00072A21"/>
    <w:rsid w:val="00072A3E"/>
    <w:rsid w:val="00072BB7"/>
    <w:rsid w:val="00072CFE"/>
    <w:rsid w:val="00072E54"/>
    <w:rsid w:val="00072E81"/>
    <w:rsid w:val="00072EA3"/>
    <w:rsid w:val="00072EAC"/>
    <w:rsid w:val="0007304E"/>
    <w:rsid w:val="000730D0"/>
    <w:rsid w:val="000730E6"/>
    <w:rsid w:val="0007319C"/>
    <w:rsid w:val="000731F0"/>
    <w:rsid w:val="000732C6"/>
    <w:rsid w:val="00073399"/>
    <w:rsid w:val="000733FE"/>
    <w:rsid w:val="000734C0"/>
    <w:rsid w:val="00073549"/>
    <w:rsid w:val="000736E4"/>
    <w:rsid w:val="000738DC"/>
    <w:rsid w:val="00073A04"/>
    <w:rsid w:val="00073A1E"/>
    <w:rsid w:val="00073C32"/>
    <w:rsid w:val="00073C84"/>
    <w:rsid w:val="00074219"/>
    <w:rsid w:val="000742C8"/>
    <w:rsid w:val="000742DC"/>
    <w:rsid w:val="00074466"/>
    <w:rsid w:val="000744C1"/>
    <w:rsid w:val="00074527"/>
    <w:rsid w:val="000746C8"/>
    <w:rsid w:val="00074967"/>
    <w:rsid w:val="000749E9"/>
    <w:rsid w:val="00074C20"/>
    <w:rsid w:val="00074ECB"/>
    <w:rsid w:val="00074ED5"/>
    <w:rsid w:val="00074F6C"/>
    <w:rsid w:val="00074FFF"/>
    <w:rsid w:val="0007505D"/>
    <w:rsid w:val="00075181"/>
    <w:rsid w:val="000751B6"/>
    <w:rsid w:val="000751D9"/>
    <w:rsid w:val="000751EE"/>
    <w:rsid w:val="000752FD"/>
    <w:rsid w:val="000753B4"/>
    <w:rsid w:val="0007544C"/>
    <w:rsid w:val="000754C4"/>
    <w:rsid w:val="000756B9"/>
    <w:rsid w:val="000756FB"/>
    <w:rsid w:val="00075792"/>
    <w:rsid w:val="000757AE"/>
    <w:rsid w:val="000758EF"/>
    <w:rsid w:val="0007594E"/>
    <w:rsid w:val="000759ED"/>
    <w:rsid w:val="00075A8B"/>
    <w:rsid w:val="00075A9A"/>
    <w:rsid w:val="00075ADC"/>
    <w:rsid w:val="00075C06"/>
    <w:rsid w:val="00075CC7"/>
    <w:rsid w:val="00075D60"/>
    <w:rsid w:val="00075E21"/>
    <w:rsid w:val="00075F19"/>
    <w:rsid w:val="0007605A"/>
    <w:rsid w:val="00076132"/>
    <w:rsid w:val="0007613C"/>
    <w:rsid w:val="000762FD"/>
    <w:rsid w:val="000764E8"/>
    <w:rsid w:val="00076529"/>
    <w:rsid w:val="000765F0"/>
    <w:rsid w:val="0007661A"/>
    <w:rsid w:val="0007676E"/>
    <w:rsid w:val="000767AE"/>
    <w:rsid w:val="00076826"/>
    <w:rsid w:val="000768E8"/>
    <w:rsid w:val="00076A1D"/>
    <w:rsid w:val="00076A7A"/>
    <w:rsid w:val="00076ACB"/>
    <w:rsid w:val="00076D24"/>
    <w:rsid w:val="00076D6E"/>
    <w:rsid w:val="00076F35"/>
    <w:rsid w:val="00076FB5"/>
    <w:rsid w:val="00076FBE"/>
    <w:rsid w:val="00077044"/>
    <w:rsid w:val="00077232"/>
    <w:rsid w:val="0007734C"/>
    <w:rsid w:val="0007741B"/>
    <w:rsid w:val="0007746C"/>
    <w:rsid w:val="00077760"/>
    <w:rsid w:val="00077895"/>
    <w:rsid w:val="000778B2"/>
    <w:rsid w:val="0007796A"/>
    <w:rsid w:val="00077BEB"/>
    <w:rsid w:val="00077C68"/>
    <w:rsid w:val="00077C9C"/>
    <w:rsid w:val="00077CB3"/>
    <w:rsid w:val="00077D59"/>
    <w:rsid w:val="00077F94"/>
    <w:rsid w:val="00077FFE"/>
    <w:rsid w:val="00080103"/>
    <w:rsid w:val="00080194"/>
    <w:rsid w:val="0008026F"/>
    <w:rsid w:val="00080342"/>
    <w:rsid w:val="00080410"/>
    <w:rsid w:val="00080469"/>
    <w:rsid w:val="000804F2"/>
    <w:rsid w:val="0008056A"/>
    <w:rsid w:val="00080675"/>
    <w:rsid w:val="0008078C"/>
    <w:rsid w:val="00080D20"/>
    <w:rsid w:val="00080D25"/>
    <w:rsid w:val="00080DC9"/>
    <w:rsid w:val="00080E64"/>
    <w:rsid w:val="0008100B"/>
    <w:rsid w:val="00081072"/>
    <w:rsid w:val="00081342"/>
    <w:rsid w:val="00081376"/>
    <w:rsid w:val="0008142E"/>
    <w:rsid w:val="0008149F"/>
    <w:rsid w:val="000814CE"/>
    <w:rsid w:val="000814EF"/>
    <w:rsid w:val="00081649"/>
    <w:rsid w:val="00081678"/>
    <w:rsid w:val="0008170F"/>
    <w:rsid w:val="00081714"/>
    <w:rsid w:val="00081736"/>
    <w:rsid w:val="00081795"/>
    <w:rsid w:val="0008196A"/>
    <w:rsid w:val="00081980"/>
    <w:rsid w:val="00081A0A"/>
    <w:rsid w:val="00081A5D"/>
    <w:rsid w:val="00081AFA"/>
    <w:rsid w:val="00081B7A"/>
    <w:rsid w:val="00081D0D"/>
    <w:rsid w:val="00081E1A"/>
    <w:rsid w:val="00081E9D"/>
    <w:rsid w:val="00081F7D"/>
    <w:rsid w:val="00081FA9"/>
    <w:rsid w:val="0008204A"/>
    <w:rsid w:val="000820BD"/>
    <w:rsid w:val="0008216E"/>
    <w:rsid w:val="000821FA"/>
    <w:rsid w:val="000822DF"/>
    <w:rsid w:val="00082384"/>
    <w:rsid w:val="000823DC"/>
    <w:rsid w:val="000823F1"/>
    <w:rsid w:val="000825DC"/>
    <w:rsid w:val="00082626"/>
    <w:rsid w:val="00082634"/>
    <w:rsid w:val="0008269E"/>
    <w:rsid w:val="000826E4"/>
    <w:rsid w:val="00082727"/>
    <w:rsid w:val="000827E0"/>
    <w:rsid w:val="00082812"/>
    <w:rsid w:val="00082911"/>
    <w:rsid w:val="00082A1C"/>
    <w:rsid w:val="00082A53"/>
    <w:rsid w:val="00082AE3"/>
    <w:rsid w:val="00082B20"/>
    <w:rsid w:val="00082BC0"/>
    <w:rsid w:val="00082D9A"/>
    <w:rsid w:val="00082DE9"/>
    <w:rsid w:val="00082E24"/>
    <w:rsid w:val="00082E89"/>
    <w:rsid w:val="00082ED1"/>
    <w:rsid w:val="00082F9E"/>
    <w:rsid w:val="00082FEA"/>
    <w:rsid w:val="00083122"/>
    <w:rsid w:val="000831E5"/>
    <w:rsid w:val="000833AD"/>
    <w:rsid w:val="000835B7"/>
    <w:rsid w:val="000836AB"/>
    <w:rsid w:val="00083727"/>
    <w:rsid w:val="00083750"/>
    <w:rsid w:val="0008379C"/>
    <w:rsid w:val="00083A0E"/>
    <w:rsid w:val="00083BCD"/>
    <w:rsid w:val="00083BFA"/>
    <w:rsid w:val="00083CB8"/>
    <w:rsid w:val="00083CFB"/>
    <w:rsid w:val="00083E0E"/>
    <w:rsid w:val="00083E1E"/>
    <w:rsid w:val="00083E22"/>
    <w:rsid w:val="00083F66"/>
    <w:rsid w:val="0008407C"/>
    <w:rsid w:val="0008419E"/>
    <w:rsid w:val="00084208"/>
    <w:rsid w:val="0008429E"/>
    <w:rsid w:val="00084350"/>
    <w:rsid w:val="00084406"/>
    <w:rsid w:val="00084488"/>
    <w:rsid w:val="00084544"/>
    <w:rsid w:val="00084571"/>
    <w:rsid w:val="0008458A"/>
    <w:rsid w:val="00084619"/>
    <w:rsid w:val="00084720"/>
    <w:rsid w:val="0008475F"/>
    <w:rsid w:val="0008481A"/>
    <w:rsid w:val="0008494F"/>
    <w:rsid w:val="00084A1E"/>
    <w:rsid w:val="00084A2B"/>
    <w:rsid w:val="00084CEF"/>
    <w:rsid w:val="00084D4B"/>
    <w:rsid w:val="00084DD5"/>
    <w:rsid w:val="00084E2F"/>
    <w:rsid w:val="00084F62"/>
    <w:rsid w:val="0008508E"/>
    <w:rsid w:val="0008530A"/>
    <w:rsid w:val="00085458"/>
    <w:rsid w:val="0008547F"/>
    <w:rsid w:val="000854C5"/>
    <w:rsid w:val="00085544"/>
    <w:rsid w:val="0008574C"/>
    <w:rsid w:val="00085763"/>
    <w:rsid w:val="000857F2"/>
    <w:rsid w:val="00085859"/>
    <w:rsid w:val="000858A0"/>
    <w:rsid w:val="0008594B"/>
    <w:rsid w:val="00085961"/>
    <w:rsid w:val="00085A9F"/>
    <w:rsid w:val="00085AD5"/>
    <w:rsid w:val="00085C56"/>
    <w:rsid w:val="00085D50"/>
    <w:rsid w:val="00085D5F"/>
    <w:rsid w:val="000866BE"/>
    <w:rsid w:val="00086769"/>
    <w:rsid w:val="0008678D"/>
    <w:rsid w:val="00086793"/>
    <w:rsid w:val="00086879"/>
    <w:rsid w:val="00086908"/>
    <w:rsid w:val="00086A04"/>
    <w:rsid w:val="00086A25"/>
    <w:rsid w:val="00086B03"/>
    <w:rsid w:val="00086CA5"/>
    <w:rsid w:val="00086D91"/>
    <w:rsid w:val="00086DEE"/>
    <w:rsid w:val="0008708B"/>
    <w:rsid w:val="000870A9"/>
    <w:rsid w:val="000870FC"/>
    <w:rsid w:val="000871E2"/>
    <w:rsid w:val="00087217"/>
    <w:rsid w:val="00087283"/>
    <w:rsid w:val="00087498"/>
    <w:rsid w:val="00087573"/>
    <w:rsid w:val="00087738"/>
    <w:rsid w:val="0008777A"/>
    <w:rsid w:val="00087921"/>
    <w:rsid w:val="00087951"/>
    <w:rsid w:val="000879BB"/>
    <w:rsid w:val="00087C55"/>
    <w:rsid w:val="00087E48"/>
    <w:rsid w:val="00087E7E"/>
    <w:rsid w:val="00087F94"/>
    <w:rsid w:val="00090030"/>
    <w:rsid w:val="00090082"/>
    <w:rsid w:val="0009029E"/>
    <w:rsid w:val="000904FD"/>
    <w:rsid w:val="000905ED"/>
    <w:rsid w:val="00090627"/>
    <w:rsid w:val="000906E4"/>
    <w:rsid w:val="00090B1D"/>
    <w:rsid w:val="00090C19"/>
    <w:rsid w:val="00090D87"/>
    <w:rsid w:val="00090D8C"/>
    <w:rsid w:val="00090F9C"/>
    <w:rsid w:val="0009107F"/>
    <w:rsid w:val="0009109F"/>
    <w:rsid w:val="00091134"/>
    <w:rsid w:val="0009113B"/>
    <w:rsid w:val="000911E6"/>
    <w:rsid w:val="000912D6"/>
    <w:rsid w:val="00091489"/>
    <w:rsid w:val="00091505"/>
    <w:rsid w:val="0009151F"/>
    <w:rsid w:val="00091530"/>
    <w:rsid w:val="0009159B"/>
    <w:rsid w:val="00091839"/>
    <w:rsid w:val="00091A81"/>
    <w:rsid w:val="00091B09"/>
    <w:rsid w:val="00091B65"/>
    <w:rsid w:val="00091B70"/>
    <w:rsid w:val="00091CD8"/>
    <w:rsid w:val="00091D18"/>
    <w:rsid w:val="00091D29"/>
    <w:rsid w:val="00091E23"/>
    <w:rsid w:val="00091E2A"/>
    <w:rsid w:val="00091E43"/>
    <w:rsid w:val="00092226"/>
    <w:rsid w:val="000924D2"/>
    <w:rsid w:val="00092572"/>
    <w:rsid w:val="00092626"/>
    <w:rsid w:val="000928C6"/>
    <w:rsid w:val="00092948"/>
    <w:rsid w:val="00092969"/>
    <w:rsid w:val="000929A3"/>
    <w:rsid w:val="000929AC"/>
    <w:rsid w:val="00092B9F"/>
    <w:rsid w:val="00092BDE"/>
    <w:rsid w:val="00092D00"/>
    <w:rsid w:val="00092EAD"/>
    <w:rsid w:val="00092FB7"/>
    <w:rsid w:val="0009307B"/>
    <w:rsid w:val="00093241"/>
    <w:rsid w:val="00093402"/>
    <w:rsid w:val="00093510"/>
    <w:rsid w:val="0009355A"/>
    <w:rsid w:val="0009361F"/>
    <w:rsid w:val="000936D2"/>
    <w:rsid w:val="00093736"/>
    <w:rsid w:val="00093C72"/>
    <w:rsid w:val="00093D30"/>
    <w:rsid w:val="00093E8D"/>
    <w:rsid w:val="00093F40"/>
    <w:rsid w:val="00093FAB"/>
    <w:rsid w:val="0009406E"/>
    <w:rsid w:val="00094105"/>
    <w:rsid w:val="00094209"/>
    <w:rsid w:val="00094283"/>
    <w:rsid w:val="0009440B"/>
    <w:rsid w:val="00094456"/>
    <w:rsid w:val="000945DA"/>
    <w:rsid w:val="00094697"/>
    <w:rsid w:val="000948DE"/>
    <w:rsid w:val="00094979"/>
    <w:rsid w:val="00094994"/>
    <w:rsid w:val="00094AB4"/>
    <w:rsid w:val="00094B39"/>
    <w:rsid w:val="00094B56"/>
    <w:rsid w:val="00094BA5"/>
    <w:rsid w:val="00094BD5"/>
    <w:rsid w:val="00094D72"/>
    <w:rsid w:val="00094DA3"/>
    <w:rsid w:val="00094DFC"/>
    <w:rsid w:val="00094EBB"/>
    <w:rsid w:val="00094ED6"/>
    <w:rsid w:val="00094F8E"/>
    <w:rsid w:val="00094FB4"/>
    <w:rsid w:val="00095098"/>
    <w:rsid w:val="000950BD"/>
    <w:rsid w:val="000950F4"/>
    <w:rsid w:val="00095115"/>
    <w:rsid w:val="00095200"/>
    <w:rsid w:val="00095317"/>
    <w:rsid w:val="000954A7"/>
    <w:rsid w:val="000954B2"/>
    <w:rsid w:val="00095559"/>
    <w:rsid w:val="000955B4"/>
    <w:rsid w:val="0009562B"/>
    <w:rsid w:val="00095794"/>
    <w:rsid w:val="000957DE"/>
    <w:rsid w:val="00095865"/>
    <w:rsid w:val="00095A34"/>
    <w:rsid w:val="00095A60"/>
    <w:rsid w:val="00095BEE"/>
    <w:rsid w:val="00095C38"/>
    <w:rsid w:val="00095E2D"/>
    <w:rsid w:val="00095E8C"/>
    <w:rsid w:val="00095ECE"/>
    <w:rsid w:val="00095F2D"/>
    <w:rsid w:val="0009604A"/>
    <w:rsid w:val="0009613D"/>
    <w:rsid w:val="0009636C"/>
    <w:rsid w:val="0009637D"/>
    <w:rsid w:val="000966A5"/>
    <w:rsid w:val="000967A4"/>
    <w:rsid w:val="000969C6"/>
    <w:rsid w:val="00096A05"/>
    <w:rsid w:val="00096A4E"/>
    <w:rsid w:val="00096AC5"/>
    <w:rsid w:val="00096C70"/>
    <w:rsid w:val="00096CCE"/>
    <w:rsid w:val="00096CD0"/>
    <w:rsid w:val="00096CD1"/>
    <w:rsid w:val="00096D1E"/>
    <w:rsid w:val="00096E26"/>
    <w:rsid w:val="00096EFF"/>
    <w:rsid w:val="00096F82"/>
    <w:rsid w:val="0009700B"/>
    <w:rsid w:val="000970F3"/>
    <w:rsid w:val="00097281"/>
    <w:rsid w:val="0009730F"/>
    <w:rsid w:val="000974CE"/>
    <w:rsid w:val="00097648"/>
    <w:rsid w:val="0009799C"/>
    <w:rsid w:val="00097C0A"/>
    <w:rsid w:val="00097C3E"/>
    <w:rsid w:val="00097D38"/>
    <w:rsid w:val="00097D3A"/>
    <w:rsid w:val="00097E01"/>
    <w:rsid w:val="00097E21"/>
    <w:rsid w:val="00097F3F"/>
    <w:rsid w:val="00097F7D"/>
    <w:rsid w:val="00097F8F"/>
    <w:rsid w:val="000A0017"/>
    <w:rsid w:val="000A00B6"/>
    <w:rsid w:val="000A012C"/>
    <w:rsid w:val="000A014F"/>
    <w:rsid w:val="000A0158"/>
    <w:rsid w:val="000A037A"/>
    <w:rsid w:val="000A0528"/>
    <w:rsid w:val="000A077C"/>
    <w:rsid w:val="000A07B8"/>
    <w:rsid w:val="000A0A54"/>
    <w:rsid w:val="000A0C2F"/>
    <w:rsid w:val="000A0EB9"/>
    <w:rsid w:val="000A10AE"/>
    <w:rsid w:val="000A10C7"/>
    <w:rsid w:val="000A11F1"/>
    <w:rsid w:val="000A1208"/>
    <w:rsid w:val="000A1321"/>
    <w:rsid w:val="000A13E1"/>
    <w:rsid w:val="000A14C3"/>
    <w:rsid w:val="000A14EC"/>
    <w:rsid w:val="000A14F0"/>
    <w:rsid w:val="000A155B"/>
    <w:rsid w:val="000A1673"/>
    <w:rsid w:val="000A1825"/>
    <w:rsid w:val="000A186C"/>
    <w:rsid w:val="000A18FA"/>
    <w:rsid w:val="000A196E"/>
    <w:rsid w:val="000A199F"/>
    <w:rsid w:val="000A1B4A"/>
    <w:rsid w:val="000A1C9B"/>
    <w:rsid w:val="000A1CC2"/>
    <w:rsid w:val="000A1EA4"/>
    <w:rsid w:val="000A1F1A"/>
    <w:rsid w:val="000A208C"/>
    <w:rsid w:val="000A21BC"/>
    <w:rsid w:val="000A238E"/>
    <w:rsid w:val="000A2476"/>
    <w:rsid w:val="000A24B0"/>
    <w:rsid w:val="000A260F"/>
    <w:rsid w:val="000A26B7"/>
    <w:rsid w:val="000A27A3"/>
    <w:rsid w:val="000A2817"/>
    <w:rsid w:val="000A297A"/>
    <w:rsid w:val="000A29FB"/>
    <w:rsid w:val="000A2A2A"/>
    <w:rsid w:val="000A2E17"/>
    <w:rsid w:val="000A3181"/>
    <w:rsid w:val="000A3322"/>
    <w:rsid w:val="000A3382"/>
    <w:rsid w:val="000A338B"/>
    <w:rsid w:val="000A3447"/>
    <w:rsid w:val="000A3717"/>
    <w:rsid w:val="000A37B1"/>
    <w:rsid w:val="000A3801"/>
    <w:rsid w:val="000A38A0"/>
    <w:rsid w:val="000A3919"/>
    <w:rsid w:val="000A396B"/>
    <w:rsid w:val="000A3AE2"/>
    <w:rsid w:val="000A3BCF"/>
    <w:rsid w:val="000A3C8A"/>
    <w:rsid w:val="000A3C8D"/>
    <w:rsid w:val="000A3FAF"/>
    <w:rsid w:val="000A4006"/>
    <w:rsid w:val="000A4033"/>
    <w:rsid w:val="000A41EB"/>
    <w:rsid w:val="000A4324"/>
    <w:rsid w:val="000A453E"/>
    <w:rsid w:val="000A45AC"/>
    <w:rsid w:val="000A4631"/>
    <w:rsid w:val="000A4657"/>
    <w:rsid w:val="000A4717"/>
    <w:rsid w:val="000A47B1"/>
    <w:rsid w:val="000A4A25"/>
    <w:rsid w:val="000A4BA7"/>
    <w:rsid w:val="000A4C64"/>
    <w:rsid w:val="000A51BD"/>
    <w:rsid w:val="000A5243"/>
    <w:rsid w:val="000A53D8"/>
    <w:rsid w:val="000A5529"/>
    <w:rsid w:val="000A570E"/>
    <w:rsid w:val="000A57E0"/>
    <w:rsid w:val="000A57FF"/>
    <w:rsid w:val="000A5969"/>
    <w:rsid w:val="000A5AA7"/>
    <w:rsid w:val="000A5AA9"/>
    <w:rsid w:val="000A5AC7"/>
    <w:rsid w:val="000A5ACE"/>
    <w:rsid w:val="000A5B19"/>
    <w:rsid w:val="000A5BD3"/>
    <w:rsid w:val="000A5C9B"/>
    <w:rsid w:val="000A5CEB"/>
    <w:rsid w:val="000A5D32"/>
    <w:rsid w:val="000A5DF5"/>
    <w:rsid w:val="000A5DFD"/>
    <w:rsid w:val="000A5EA0"/>
    <w:rsid w:val="000A5FD5"/>
    <w:rsid w:val="000A5FD8"/>
    <w:rsid w:val="000A62E5"/>
    <w:rsid w:val="000A62EB"/>
    <w:rsid w:val="000A63AC"/>
    <w:rsid w:val="000A641A"/>
    <w:rsid w:val="000A64DF"/>
    <w:rsid w:val="000A676D"/>
    <w:rsid w:val="000A6845"/>
    <w:rsid w:val="000A6881"/>
    <w:rsid w:val="000A6883"/>
    <w:rsid w:val="000A698A"/>
    <w:rsid w:val="000A69E2"/>
    <w:rsid w:val="000A6A45"/>
    <w:rsid w:val="000A6AB2"/>
    <w:rsid w:val="000A6B13"/>
    <w:rsid w:val="000A6D8B"/>
    <w:rsid w:val="000A6E39"/>
    <w:rsid w:val="000A6E6E"/>
    <w:rsid w:val="000A6EDA"/>
    <w:rsid w:val="000A7061"/>
    <w:rsid w:val="000A7097"/>
    <w:rsid w:val="000A710B"/>
    <w:rsid w:val="000A72B2"/>
    <w:rsid w:val="000A749B"/>
    <w:rsid w:val="000A74A6"/>
    <w:rsid w:val="000A757C"/>
    <w:rsid w:val="000A7588"/>
    <w:rsid w:val="000A75AC"/>
    <w:rsid w:val="000A765F"/>
    <w:rsid w:val="000A76F6"/>
    <w:rsid w:val="000A7792"/>
    <w:rsid w:val="000A77F2"/>
    <w:rsid w:val="000A78B7"/>
    <w:rsid w:val="000A7A2F"/>
    <w:rsid w:val="000A7B4B"/>
    <w:rsid w:val="000A7D4C"/>
    <w:rsid w:val="000A7E85"/>
    <w:rsid w:val="000B0087"/>
    <w:rsid w:val="000B008A"/>
    <w:rsid w:val="000B0093"/>
    <w:rsid w:val="000B00DC"/>
    <w:rsid w:val="000B0149"/>
    <w:rsid w:val="000B022C"/>
    <w:rsid w:val="000B028F"/>
    <w:rsid w:val="000B02EC"/>
    <w:rsid w:val="000B02FE"/>
    <w:rsid w:val="000B0620"/>
    <w:rsid w:val="000B0703"/>
    <w:rsid w:val="000B0762"/>
    <w:rsid w:val="000B0841"/>
    <w:rsid w:val="000B0BEB"/>
    <w:rsid w:val="000B0F46"/>
    <w:rsid w:val="000B0F81"/>
    <w:rsid w:val="000B0FCA"/>
    <w:rsid w:val="000B107C"/>
    <w:rsid w:val="000B1244"/>
    <w:rsid w:val="000B1392"/>
    <w:rsid w:val="000B13C8"/>
    <w:rsid w:val="000B1447"/>
    <w:rsid w:val="000B145E"/>
    <w:rsid w:val="000B16D9"/>
    <w:rsid w:val="000B17B0"/>
    <w:rsid w:val="000B1878"/>
    <w:rsid w:val="000B1A5C"/>
    <w:rsid w:val="000B1D23"/>
    <w:rsid w:val="000B1D8A"/>
    <w:rsid w:val="000B1ED7"/>
    <w:rsid w:val="000B1F03"/>
    <w:rsid w:val="000B2096"/>
    <w:rsid w:val="000B224D"/>
    <w:rsid w:val="000B22C5"/>
    <w:rsid w:val="000B2304"/>
    <w:rsid w:val="000B2321"/>
    <w:rsid w:val="000B2365"/>
    <w:rsid w:val="000B23B3"/>
    <w:rsid w:val="000B2573"/>
    <w:rsid w:val="000B25A7"/>
    <w:rsid w:val="000B25F7"/>
    <w:rsid w:val="000B2799"/>
    <w:rsid w:val="000B281D"/>
    <w:rsid w:val="000B2834"/>
    <w:rsid w:val="000B2909"/>
    <w:rsid w:val="000B2A18"/>
    <w:rsid w:val="000B2A71"/>
    <w:rsid w:val="000B2E0C"/>
    <w:rsid w:val="000B31F6"/>
    <w:rsid w:val="000B326B"/>
    <w:rsid w:val="000B3284"/>
    <w:rsid w:val="000B33C0"/>
    <w:rsid w:val="000B346C"/>
    <w:rsid w:val="000B35C4"/>
    <w:rsid w:val="000B3831"/>
    <w:rsid w:val="000B396D"/>
    <w:rsid w:val="000B3986"/>
    <w:rsid w:val="000B39E5"/>
    <w:rsid w:val="000B3A5F"/>
    <w:rsid w:val="000B3B59"/>
    <w:rsid w:val="000B3B8F"/>
    <w:rsid w:val="000B3BEF"/>
    <w:rsid w:val="000B3C4F"/>
    <w:rsid w:val="000B3C8B"/>
    <w:rsid w:val="000B3EDB"/>
    <w:rsid w:val="000B3F5C"/>
    <w:rsid w:val="000B3FCC"/>
    <w:rsid w:val="000B412A"/>
    <w:rsid w:val="000B4199"/>
    <w:rsid w:val="000B421D"/>
    <w:rsid w:val="000B4246"/>
    <w:rsid w:val="000B4260"/>
    <w:rsid w:val="000B4373"/>
    <w:rsid w:val="000B43B4"/>
    <w:rsid w:val="000B4425"/>
    <w:rsid w:val="000B4502"/>
    <w:rsid w:val="000B497A"/>
    <w:rsid w:val="000B4AB8"/>
    <w:rsid w:val="000B4ACA"/>
    <w:rsid w:val="000B4AFB"/>
    <w:rsid w:val="000B4B93"/>
    <w:rsid w:val="000B4BF6"/>
    <w:rsid w:val="000B4C2E"/>
    <w:rsid w:val="000B4CC0"/>
    <w:rsid w:val="000B4D0E"/>
    <w:rsid w:val="000B4D69"/>
    <w:rsid w:val="000B4D7F"/>
    <w:rsid w:val="000B4DD1"/>
    <w:rsid w:val="000B4E0A"/>
    <w:rsid w:val="000B4E34"/>
    <w:rsid w:val="000B4E5C"/>
    <w:rsid w:val="000B4EB4"/>
    <w:rsid w:val="000B4F70"/>
    <w:rsid w:val="000B501A"/>
    <w:rsid w:val="000B505D"/>
    <w:rsid w:val="000B5180"/>
    <w:rsid w:val="000B525A"/>
    <w:rsid w:val="000B53D1"/>
    <w:rsid w:val="000B53FC"/>
    <w:rsid w:val="000B543D"/>
    <w:rsid w:val="000B5528"/>
    <w:rsid w:val="000B558B"/>
    <w:rsid w:val="000B55F9"/>
    <w:rsid w:val="000B5662"/>
    <w:rsid w:val="000B5883"/>
    <w:rsid w:val="000B5A65"/>
    <w:rsid w:val="000B5B24"/>
    <w:rsid w:val="000B5BF7"/>
    <w:rsid w:val="000B5C16"/>
    <w:rsid w:val="000B5C8E"/>
    <w:rsid w:val="000B5DBA"/>
    <w:rsid w:val="000B5E21"/>
    <w:rsid w:val="000B5E3F"/>
    <w:rsid w:val="000B5F0B"/>
    <w:rsid w:val="000B5F1B"/>
    <w:rsid w:val="000B6184"/>
    <w:rsid w:val="000B61C8"/>
    <w:rsid w:val="000B62AC"/>
    <w:rsid w:val="000B636B"/>
    <w:rsid w:val="000B6411"/>
    <w:rsid w:val="000B6479"/>
    <w:rsid w:val="000B6515"/>
    <w:rsid w:val="000B6553"/>
    <w:rsid w:val="000B665D"/>
    <w:rsid w:val="000B6690"/>
    <w:rsid w:val="000B66B8"/>
    <w:rsid w:val="000B67D8"/>
    <w:rsid w:val="000B67DB"/>
    <w:rsid w:val="000B68E3"/>
    <w:rsid w:val="000B69D9"/>
    <w:rsid w:val="000B6B7D"/>
    <w:rsid w:val="000B6BC8"/>
    <w:rsid w:val="000B6D4F"/>
    <w:rsid w:val="000B6F2D"/>
    <w:rsid w:val="000B702F"/>
    <w:rsid w:val="000B706C"/>
    <w:rsid w:val="000B711A"/>
    <w:rsid w:val="000B7194"/>
    <w:rsid w:val="000B72E1"/>
    <w:rsid w:val="000B7646"/>
    <w:rsid w:val="000B76DB"/>
    <w:rsid w:val="000B7747"/>
    <w:rsid w:val="000B779A"/>
    <w:rsid w:val="000B78BA"/>
    <w:rsid w:val="000B7933"/>
    <w:rsid w:val="000B7A9B"/>
    <w:rsid w:val="000B7CB0"/>
    <w:rsid w:val="000B7DE2"/>
    <w:rsid w:val="000C00F0"/>
    <w:rsid w:val="000C020C"/>
    <w:rsid w:val="000C028B"/>
    <w:rsid w:val="000C0300"/>
    <w:rsid w:val="000C0303"/>
    <w:rsid w:val="000C0311"/>
    <w:rsid w:val="000C0367"/>
    <w:rsid w:val="000C0466"/>
    <w:rsid w:val="000C04A9"/>
    <w:rsid w:val="000C0671"/>
    <w:rsid w:val="000C07C0"/>
    <w:rsid w:val="000C09C8"/>
    <w:rsid w:val="000C09CA"/>
    <w:rsid w:val="000C0AF6"/>
    <w:rsid w:val="000C0BE8"/>
    <w:rsid w:val="000C0E55"/>
    <w:rsid w:val="000C0EE8"/>
    <w:rsid w:val="000C0F2E"/>
    <w:rsid w:val="000C0F34"/>
    <w:rsid w:val="000C0F43"/>
    <w:rsid w:val="000C1057"/>
    <w:rsid w:val="000C1079"/>
    <w:rsid w:val="000C117A"/>
    <w:rsid w:val="000C11F9"/>
    <w:rsid w:val="000C1232"/>
    <w:rsid w:val="000C1346"/>
    <w:rsid w:val="000C1462"/>
    <w:rsid w:val="000C15E4"/>
    <w:rsid w:val="000C1605"/>
    <w:rsid w:val="000C169F"/>
    <w:rsid w:val="000C16A8"/>
    <w:rsid w:val="000C177D"/>
    <w:rsid w:val="000C1901"/>
    <w:rsid w:val="000C195F"/>
    <w:rsid w:val="000C1984"/>
    <w:rsid w:val="000C1AE2"/>
    <w:rsid w:val="000C1B83"/>
    <w:rsid w:val="000C1BC0"/>
    <w:rsid w:val="000C1BE0"/>
    <w:rsid w:val="000C1C50"/>
    <w:rsid w:val="000C1CDA"/>
    <w:rsid w:val="000C1F0C"/>
    <w:rsid w:val="000C1F5A"/>
    <w:rsid w:val="000C1FEA"/>
    <w:rsid w:val="000C207D"/>
    <w:rsid w:val="000C208C"/>
    <w:rsid w:val="000C20C3"/>
    <w:rsid w:val="000C23A1"/>
    <w:rsid w:val="000C248A"/>
    <w:rsid w:val="000C2589"/>
    <w:rsid w:val="000C2787"/>
    <w:rsid w:val="000C27B0"/>
    <w:rsid w:val="000C28C1"/>
    <w:rsid w:val="000C2975"/>
    <w:rsid w:val="000C29EC"/>
    <w:rsid w:val="000C2A0B"/>
    <w:rsid w:val="000C2C29"/>
    <w:rsid w:val="000C2C3B"/>
    <w:rsid w:val="000C2DD3"/>
    <w:rsid w:val="000C2DD8"/>
    <w:rsid w:val="000C2E1C"/>
    <w:rsid w:val="000C2E77"/>
    <w:rsid w:val="000C2F55"/>
    <w:rsid w:val="000C301D"/>
    <w:rsid w:val="000C302A"/>
    <w:rsid w:val="000C30F6"/>
    <w:rsid w:val="000C3332"/>
    <w:rsid w:val="000C3393"/>
    <w:rsid w:val="000C33AD"/>
    <w:rsid w:val="000C3511"/>
    <w:rsid w:val="000C365F"/>
    <w:rsid w:val="000C3895"/>
    <w:rsid w:val="000C3985"/>
    <w:rsid w:val="000C3A0F"/>
    <w:rsid w:val="000C3AC3"/>
    <w:rsid w:val="000C3B06"/>
    <w:rsid w:val="000C3FFA"/>
    <w:rsid w:val="000C4101"/>
    <w:rsid w:val="000C4168"/>
    <w:rsid w:val="000C42EA"/>
    <w:rsid w:val="000C42F2"/>
    <w:rsid w:val="000C4476"/>
    <w:rsid w:val="000C4546"/>
    <w:rsid w:val="000C499B"/>
    <w:rsid w:val="000C49BD"/>
    <w:rsid w:val="000C4AA7"/>
    <w:rsid w:val="000C4C7C"/>
    <w:rsid w:val="000C4DD2"/>
    <w:rsid w:val="000C4FD3"/>
    <w:rsid w:val="000C503E"/>
    <w:rsid w:val="000C50EF"/>
    <w:rsid w:val="000C517A"/>
    <w:rsid w:val="000C519B"/>
    <w:rsid w:val="000C52E9"/>
    <w:rsid w:val="000C537C"/>
    <w:rsid w:val="000C53D1"/>
    <w:rsid w:val="000C5431"/>
    <w:rsid w:val="000C5598"/>
    <w:rsid w:val="000C5624"/>
    <w:rsid w:val="000C5734"/>
    <w:rsid w:val="000C5736"/>
    <w:rsid w:val="000C5AEE"/>
    <w:rsid w:val="000C5CA2"/>
    <w:rsid w:val="000C5D23"/>
    <w:rsid w:val="000C5EE8"/>
    <w:rsid w:val="000C5EF9"/>
    <w:rsid w:val="000C61C0"/>
    <w:rsid w:val="000C626F"/>
    <w:rsid w:val="000C62DF"/>
    <w:rsid w:val="000C6334"/>
    <w:rsid w:val="000C63DA"/>
    <w:rsid w:val="000C653B"/>
    <w:rsid w:val="000C65B8"/>
    <w:rsid w:val="000C65BA"/>
    <w:rsid w:val="000C66BE"/>
    <w:rsid w:val="000C67CF"/>
    <w:rsid w:val="000C6A35"/>
    <w:rsid w:val="000C6AFA"/>
    <w:rsid w:val="000C6ECE"/>
    <w:rsid w:val="000C6ED3"/>
    <w:rsid w:val="000C70DD"/>
    <w:rsid w:val="000C71C6"/>
    <w:rsid w:val="000C7219"/>
    <w:rsid w:val="000C7402"/>
    <w:rsid w:val="000C7581"/>
    <w:rsid w:val="000C7661"/>
    <w:rsid w:val="000C776E"/>
    <w:rsid w:val="000C7982"/>
    <w:rsid w:val="000C7984"/>
    <w:rsid w:val="000C79E7"/>
    <w:rsid w:val="000C7A55"/>
    <w:rsid w:val="000C7ACB"/>
    <w:rsid w:val="000C7D9B"/>
    <w:rsid w:val="000C7E17"/>
    <w:rsid w:val="000C7EAD"/>
    <w:rsid w:val="000D0084"/>
    <w:rsid w:val="000D00BE"/>
    <w:rsid w:val="000D0195"/>
    <w:rsid w:val="000D02D1"/>
    <w:rsid w:val="000D02EC"/>
    <w:rsid w:val="000D03E4"/>
    <w:rsid w:val="000D0438"/>
    <w:rsid w:val="000D04A8"/>
    <w:rsid w:val="000D0564"/>
    <w:rsid w:val="000D06B9"/>
    <w:rsid w:val="000D06DF"/>
    <w:rsid w:val="000D06F6"/>
    <w:rsid w:val="000D0787"/>
    <w:rsid w:val="000D0837"/>
    <w:rsid w:val="000D0839"/>
    <w:rsid w:val="000D096C"/>
    <w:rsid w:val="000D0AA5"/>
    <w:rsid w:val="000D0D60"/>
    <w:rsid w:val="000D0E59"/>
    <w:rsid w:val="000D0E5A"/>
    <w:rsid w:val="000D0EC2"/>
    <w:rsid w:val="000D0F35"/>
    <w:rsid w:val="000D0F8D"/>
    <w:rsid w:val="000D1086"/>
    <w:rsid w:val="000D1215"/>
    <w:rsid w:val="000D1242"/>
    <w:rsid w:val="000D12F5"/>
    <w:rsid w:val="000D12FC"/>
    <w:rsid w:val="000D141A"/>
    <w:rsid w:val="000D14C2"/>
    <w:rsid w:val="000D14F5"/>
    <w:rsid w:val="000D15AD"/>
    <w:rsid w:val="000D15C9"/>
    <w:rsid w:val="000D166B"/>
    <w:rsid w:val="000D171C"/>
    <w:rsid w:val="000D1838"/>
    <w:rsid w:val="000D1839"/>
    <w:rsid w:val="000D1A61"/>
    <w:rsid w:val="000D1A6F"/>
    <w:rsid w:val="000D1BE9"/>
    <w:rsid w:val="000D1DDF"/>
    <w:rsid w:val="000D1E0A"/>
    <w:rsid w:val="000D1F3B"/>
    <w:rsid w:val="000D1F99"/>
    <w:rsid w:val="000D2014"/>
    <w:rsid w:val="000D20BC"/>
    <w:rsid w:val="000D20D2"/>
    <w:rsid w:val="000D21E8"/>
    <w:rsid w:val="000D24F2"/>
    <w:rsid w:val="000D250B"/>
    <w:rsid w:val="000D2ABA"/>
    <w:rsid w:val="000D2B10"/>
    <w:rsid w:val="000D2BD5"/>
    <w:rsid w:val="000D2FD2"/>
    <w:rsid w:val="000D315F"/>
    <w:rsid w:val="000D3169"/>
    <w:rsid w:val="000D3175"/>
    <w:rsid w:val="000D3180"/>
    <w:rsid w:val="000D334B"/>
    <w:rsid w:val="000D352C"/>
    <w:rsid w:val="000D3597"/>
    <w:rsid w:val="000D366B"/>
    <w:rsid w:val="000D38CD"/>
    <w:rsid w:val="000D38CF"/>
    <w:rsid w:val="000D3B05"/>
    <w:rsid w:val="000D3BEC"/>
    <w:rsid w:val="000D3C8D"/>
    <w:rsid w:val="000D3D38"/>
    <w:rsid w:val="000D3DB5"/>
    <w:rsid w:val="000D3E4F"/>
    <w:rsid w:val="000D3E54"/>
    <w:rsid w:val="000D4138"/>
    <w:rsid w:val="000D4294"/>
    <w:rsid w:val="000D430F"/>
    <w:rsid w:val="000D433D"/>
    <w:rsid w:val="000D439A"/>
    <w:rsid w:val="000D4500"/>
    <w:rsid w:val="000D4552"/>
    <w:rsid w:val="000D4568"/>
    <w:rsid w:val="000D45B8"/>
    <w:rsid w:val="000D4923"/>
    <w:rsid w:val="000D49BA"/>
    <w:rsid w:val="000D4A64"/>
    <w:rsid w:val="000D4B5E"/>
    <w:rsid w:val="000D4B96"/>
    <w:rsid w:val="000D4BC9"/>
    <w:rsid w:val="000D4C5B"/>
    <w:rsid w:val="000D4D10"/>
    <w:rsid w:val="000D4D33"/>
    <w:rsid w:val="000D5264"/>
    <w:rsid w:val="000D5309"/>
    <w:rsid w:val="000D544D"/>
    <w:rsid w:val="000D546E"/>
    <w:rsid w:val="000D55D5"/>
    <w:rsid w:val="000D5779"/>
    <w:rsid w:val="000D580D"/>
    <w:rsid w:val="000D5860"/>
    <w:rsid w:val="000D5886"/>
    <w:rsid w:val="000D5A72"/>
    <w:rsid w:val="000D5B13"/>
    <w:rsid w:val="000D5C7A"/>
    <w:rsid w:val="000D5CF4"/>
    <w:rsid w:val="000D5DBE"/>
    <w:rsid w:val="000D5EA9"/>
    <w:rsid w:val="000D600C"/>
    <w:rsid w:val="000D619C"/>
    <w:rsid w:val="000D619D"/>
    <w:rsid w:val="000D61F5"/>
    <w:rsid w:val="000D6297"/>
    <w:rsid w:val="000D6588"/>
    <w:rsid w:val="000D6641"/>
    <w:rsid w:val="000D66BD"/>
    <w:rsid w:val="000D675A"/>
    <w:rsid w:val="000D6B1A"/>
    <w:rsid w:val="000D6B3E"/>
    <w:rsid w:val="000D6B91"/>
    <w:rsid w:val="000D6C4C"/>
    <w:rsid w:val="000D6D5A"/>
    <w:rsid w:val="000D6DCF"/>
    <w:rsid w:val="000D6E3F"/>
    <w:rsid w:val="000D6FA0"/>
    <w:rsid w:val="000D7031"/>
    <w:rsid w:val="000D71B0"/>
    <w:rsid w:val="000D749A"/>
    <w:rsid w:val="000D74A9"/>
    <w:rsid w:val="000D759B"/>
    <w:rsid w:val="000D75E0"/>
    <w:rsid w:val="000D7620"/>
    <w:rsid w:val="000D76C6"/>
    <w:rsid w:val="000D76CB"/>
    <w:rsid w:val="000D76F5"/>
    <w:rsid w:val="000D7727"/>
    <w:rsid w:val="000D7768"/>
    <w:rsid w:val="000D776A"/>
    <w:rsid w:val="000D7956"/>
    <w:rsid w:val="000D79D4"/>
    <w:rsid w:val="000D7A13"/>
    <w:rsid w:val="000D7A3A"/>
    <w:rsid w:val="000D7C14"/>
    <w:rsid w:val="000D7C46"/>
    <w:rsid w:val="000D7C5D"/>
    <w:rsid w:val="000D7E18"/>
    <w:rsid w:val="000E005D"/>
    <w:rsid w:val="000E009D"/>
    <w:rsid w:val="000E0131"/>
    <w:rsid w:val="000E01C7"/>
    <w:rsid w:val="000E02A0"/>
    <w:rsid w:val="000E034C"/>
    <w:rsid w:val="000E0405"/>
    <w:rsid w:val="000E0570"/>
    <w:rsid w:val="000E06F6"/>
    <w:rsid w:val="000E071A"/>
    <w:rsid w:val="000E0819"/>
    <w:rsid w:val="000E0850"/>
    <w:rsid w:val="000E0970"/>
    <w:rsid w:val="000E0ACB"/>
    <w:rsid w:val="000E0B64"/>
    <w:rsid w:val="000E0B9E"/>
    <w:rsid w:val="000E0BCC"/>
    <w:rsid w:val="000E0C19"/>
    <w:rsid w:val="000E0C65"/>
    <w:rsid w:val="000E0F51"/>
    <w:rsid w:val="000E1011"/>
    <w:rsid w:val="000E112D"/>
    <w:rsid w:val="000E11E6"/>
    <w:rsid w:val="000E1230"/>
    <w:rsid w:val="000E14B6"/>
    <w:rsid w:val="000E1519"/>
    <w:rsid w:val="000E1688"/>
    <w:rsid w:val="000E16A8"/>
    <w:rsid w:val="000E171B"/>
    <w:rsid w:val="000E176F"/>
    <w:rsid w:val="000E182E"/>
    <w:rsid w:val="000E185B"/>
    <w:rsid w:val="000E197E"/>
    <w:rsid w:val="000E19EB"/>
    <w:rsid w:val="000E1BC3"/>
    <w:rsid w:val="000E1BDC"/>
    <w:rsid w:val="000E1D6C"/>
    <w:rsid w:val="000E1DA4"/>
    <w:rsid w:val="000E1DB2"/>
    <w:rsid w:val="000E1DCC"/>
    <w:rsid w:val="000E1DEC"/>
    <w:rsid w:val="000E1E25"/>
    <w:rsid w:val="000E1E7F"/>
    <w:rsid w:val="000E1EB6"/>
    <w:rsid w:val="000E1F7E"/>
    <w:rsid w:val="000E2099"/>
    <w:rsid w:val="000E2112"/>
    <w:rsid w:val="000E230D"/>
    <w:rsid w:val="000E2649"/>
    <w:rsid w:val="000E269F"/>
    <w:rsid w:val="000E2828"/>
    <w:rsid w:val="000E28D6"/>
    <w:rsid w:val="000E291B"/>
    <w:rsid w:val="000E2956"/>
    <w:rsid w:val="000E2AA9"/>
    <w:rsid w:val="000E2AB4"/>
    <w:rsid w:val="000E2D13"/>
    <w:rsid w:val="000E2D26"/>
    <w:rsid w:val="000E2E98"/>
    <w:rsid w:val="000E2F82"/>
    <w:rsid w:val="000E3255"/>
    <w:rsid w:val="000E327D"/>
    <w:rsid w:val="000E3536"/>
    <w:rsid w:val="000E3551"/>
    <w:rsid w:val="000E37D4"/>
    <w:rsid w:val="000E390F"/>
    <w:rsid w:val="000E3924"/>
    <w:rsid w:val="000E392E"/>
    <w:rsid w:val="000E39C4"/>
    <w:rsid w:val="000E3B4F"/>
    <w:rsid w:val="000E3B5F"/>
    <w:rsid w:val="000E3C55"/>
    <w:rsid w:val="000E3CC7"/>
    <w:rsid w:val="000E3D36"/>
    <w:rsid w:val="000E3D8B"/>
    <w:rsid w:val="000E3DEC"/>
    <w:rsid w:val="000E3DF5"/>
    <w:rsid w:val="000E3ED3"/>
    <w:rsid w:val="000E3F1C"/>
    <w:rsid w:val="000E41FD"/>
    <w:rsid w:val="000E4454"/>
    <w:rsid w:val="000E4509"/>
    <w:rsid w:val="000E465E"/>
    <w:rsid w:val="000E46C3"/>
    <w:rsid w:val="000E476D"/>
    <w:rsid w:val="000E47F8"/>
    <w:rsid w:val="000E495D"/>
    <w:rsid w:val="000E4A37"/>
    <w:rsid w:val="000E4AA0"/>
    <w:rsid w:val="000E4AF4"/>
    <w:rsid w:val="000E4B85"/>
    <w:rsid w:val="000E4B8D"/>
    <w:rsid w:val="000E4D7F"/>
    <w:rsid w:val="000E4DA1"/>
    <w:rsid w:val="000E4E6B"/>
    <w:rsid w:val="000E4EC3"/>
    <w:rsid w:val="000E50D8"/>
    <w:rsid w:val="000E5158"/>
    <w:rsid w:val="000E5159"/>
    <w:rsid w:val="000E5276"/>
    <w:rsid w:val="000E543B"/>
    <w:rsid w:val="000E555A"/>
    <w:rsid w:val="000E577D"/>
    <w:rsid w:val="000E5781"/>
    <w:rsid w:val="000E58D0"/>
    <w:rsid w:val="000E5988"/>
    <w:rsid w:val="000E5A99"/>
    <w:rsid w:val="000E5AC6"/>
    <w:rsid w:val="000E5B83"/>
    <w:rsid w:val="000E5D90"/>
    <w:rsid w:val="000E607B"/>
    <w:rsid w:val="000E60F0"/>
    <w:rsid w:val="000E615B"/>
    <w:rsid w:val="000E6300"/>
    <w:rsid w:val="000E6387"/>
    <w:rsid w:val="000E6508"/>
    <w:rsid w:val="000E6762"/>
    <w:rsid w:val="000E6926"/>
    <w:rsid w:val="000E69FD"/>
    <w:rsid w:val="000E6A7C"/>
    <w:rsid w:val="000E6AAE"/>
    <w:rsid w:val="000E6B11"/>
    <w:rsid w:val="000E6BC0"/>
    <w:rsid w:val="000E6BD4"/>
    <w:rsid w:val="000E6D0B"/>
    <w:rsid w:val="000E6D6D"/>
    <w:rsid w:val="000E6E2A"/>
    <w:rsid w:val="000E6E80"/>
    <w:rsid w:val="000E6F8E"/>
    <w:rsid w:val="000E6FF5"/>
    <w:rsid w:val="000E70AC"/>
    <w:rsid w:val="000E7171"/>
    <w:rsid w:val="000E7222"/>
    <w:rsid w:val="000E745A"/>
    <w:rsid w:val="000E74F8"/>
    <w:rsid w:val="000E753C"/>
    <w:rsid w:val="000E758F"/>
    <w:rsid w:val="000E7613"/>
    <w:rsid w:val="000E7658"/>
    <w:rsid w:val="000E7776"/>
    <w:rsid w:val="000E77AC"/>
    <w:rsid w:val="000E798C"/>
    <w:rsid w:val="000E7ADC"/>
    <w:rsid w:val="000E7B49"/>
    <w:rsid w:val="000E7C7D"/>
    <w:rsid w:val="000E7CF8"/>
    <w:rsid w:val="000E7D5E"/>
    <w:rsid w:val="000E7E4A"/>
    <w:rsid w:val="000E7E9C"/>
    <w:rsid w:val="000F0254"/>
    <w:rsid w:val="000F035D"/>
    <w:rsid w:val="000F05F2"/>
    <w:rsid w:val="000F072B"/>
    <w:rsid w:val="000F0904"/>
    <w:rsid w:val="000F09E5"/>
    <w:rsid w:val="000F0BAF"/>
    <w:rsid w:val="000F0BC1"/>
    <w:rsid w:val="000F0BC5"/>
    <w:rsid w:val="000F0C45"/>
    <w:rsid w:val="000F0D45"/>
    <w:rsid w:val="000F0EAD"/>
    <w:rsid w:val="000F0EE3"/>
    <w:rsid w:val="000F0FD4"/>
    <w:rsid w:val="000F1060"/>
    <w:rsid w:val="000F1123"/>
    <w:rsid w:val="000F1147"/>
    <w:rsid w:val="000F11B2"/>
    <w:rsid w:val="000F1377"/>
    <w:rsid w:val="000F1399"/>
    <w:rsid w:val="000F14EF"/>
    <w:rsid w:val="000F1613"/>
    <w:rsid w:val="000F16D1"/>
    <w:rsid w:val="000F1780"/>
    <w:rsid w:val="000F17D6"/>
    <w:rsid w:val="000F17DA"/>
    <w:rsid w:val="000F1972"/>
    <w:rsid w:val="000F1A23"/>
    <w:rsid w:val="000F1B58"/>
    <w:rsid w:val="000F1BDC"/>
    <w:rsid w:val="000F1C76"/>
    <w:rsid w:val="000F1C9D"/>
    <w:rsid w:val="000F1D25"/>
    <w:rsid w:val="000F1D88"/>
    <w:rsid w:val="000F1DE0"/>
    <w:rsid w:val="000F1F1E"/>
    <w:rsid w:val="000F1F3F"/>
    <w:rsid w:val="000F1F48"/>
    <w:rsid w:val="000F2072"/>
    <w:rsid w:val="000F20C4"/>
    <w:rsid w:val="000F20D6"/>
    <w:rsid w:val="000F212C"/>
    <w:rsid w:val="000F216F"/>
    <w:rsid w:val="000F2173"/>
    <w:rsid w:val="000F2259"/>
    <w:rsid w:val="000F234B"/>
    <w:rsid w:val="000F2383"/>
    <w:rsid w:val="000F23A1"/>
    <w:rsid w:val="000F23DA"/>
    <w:rsid w:val="000F23E6"/>
    <w:rsid w:val="000F2400"/>
    <w:rsid w:val="000F244B"/>
    <w:rsid w:val="000F2580"/>
    <w:rsid w:val="000F27A9"/>
    <w:rsid w:val="000F288D"/>
    <w:rsid w:val="000F2A98"/>
    <w:rsid w:val="000F2AB4"/>
    <w:rsid w:val="000F2B57"/>
    <w:rsid w:val="000F2C22"/>
    <w:rsid w:val="000F2D54"/>
    <w:rsid w:val="000F2DDA"/>
    <w:rsid w:val="000F2E42"/>
    <w:rsid w:val="000F2E5D"/>
    <w:rsid w:val="000F2E6B"/>
    <w:rsid w:val="000F2EA0"/>
    <w:rsid w:val="000F3060"/>
    <w:rsid w:val="000F309A"/>
    <w:rsid w:val="000F30BE"/>
    <w:rsid w:val="000F30CD"/>
    <w:rsid w:val="000F30DE"/>
    <w:rsid w:val="000F313A"/>
    <w:rsid w:val="000F3517"/>
    <w:rsid w:val="000F3543"/>
    <w:rsid w:val="000F3598"/>
    <w:rsid w:val="000F35A7"/>
    <w:rsid w:val="000F369E"/>
    <w:rsid w:val="000F36A1"/>
    <w:rsid w:val="000F36F4"/>
    <w:rsid w:val="000F393E"/>
    <w:rsid w:val="000F39CA"/>
    <w:rsid w:val="000F3B63"/>
    <w:rsid w:val="000F3BD8"/>
    <w:rsid w:val="000F3D09"/>
    <w:rsid w:val="000F3D5E"/>
    <w:rsid w:val="000F3F2A"/>
    <w:rsid w:val="000F3F4F"/>
    <w:rsid w:val="000F3F85"/>
    <w:rsid w:val="000F3FBB"/>
    <w:rsid w:val="000F41F1"/>
    <w:rsid w:val="000F4260"/>
    <w:rsid w:val="000F42D8"/>
    <w:rsid w:val="000F4455"/>
    <w:rsid w:val="000F4492"/>
    <w:rsid w:val="000F44B5"/>
    <w:rsid w:val="000F44E0"/>
    <w:rsid w:val="000F4512"/>
    <w:rsid w:val="000F478C"/>
    <w:rsid w:val="000F49BB"/>
    <w:rsid w:val="000F4A5B"/>
    <w:rsid w:val="000F4A8D"/>
    <w:rsid w:val="000F4C1D"/>
    <w:rsid w:val="000F4D18"/>
    <w:rsid w:val="000F4D30"/>
    <w:rsid w:val="000F4DF7"/>
    <w:rsid w:val="000F4E14"/>
    <w:rsid w:val="000F4F8B"/>
    <w:rsid w:val="000F4F93"/>
    <w:rsid w:val="000F4FD7"/>
    <w:rsid w:val="000F4FE2"/>
    <w:rsid w:val="000F5155"/>
    <w:rsid w:val="000F5213"/>
    <w:rsid w:val="000F52A4"/>
    <w:rsid w:val="000F52EF"/>
    <w:rsid w:val="000F5390"/>
    <w:rsid w:val="000F5464"/>
    <w:rsid w:val="000F5576"/>
    <w:rsid w:val="000F55D0"/>
    <w:rsid w:val="000F5605"/>
    <w:rsid w:val="000F593B"/>
    <w:rsid w:val="000F5B29"/>
    <w:rsid w:val="000F5BBD"/>
    <w:rsid w:val="000F5C1B"/>
    <w:rsid w:val="000F5C35"/>
    <w:rsid w:val="000F5D1E"/>
    <w:rsid w:val="000F5ED1"/>
    <w:rsid w:val="000F5FAD"/>
    <w:rsid w:val="000F60D2"/>
    <w:rsid w:val="000F6173"/>
    <w:rsid w:val="000F61C9"/>
    <w:rsid w:val="000F6240"/>
    <w:rsid w:val="000F6248"/>
    <w:rsid w:val="000F6322"/>
    <w:rsid w:val="000F63AB"/>
    <w:rsid w:val="000F6487"/>
    <w:rsid w:val="000F6539"/>
    <w:rsid w:val="000F669F"/>
    <w:rsid w:val="000F66FD"/>
    <w:rsid w:val="000F6719"/>
    <w:rsid w:val="000F6776"/>
    <w:rsid w:val="000F6779"/>
    <w:rsid w:val="000F6923"/>
    <w:rsid w:val="000F6A02"/>
    <w:rsid w:val="000F6BB0"/>
    <w:rsid w:val="000F6C84"/>
    <w:rsid w:val="000F6D55"/>
    <w:rsid w:val="000F6DB6"/>
    <w:rsid w:val="000F6FA1"/>
    <w:rsid w:val="000F712B"/>
    <w:rsid w:val="000F71CC"/>
    <w:rsid w:val="000F74A7"/>
    <w:rsid w:val="000F7601"/>
    <w:rsid w:val="000F76E6"/>
    <w:rsid w:val="000F7700"/>
    <w:rsid w:val="000F793E"/>
    <w:rsid w:val="000F7B2F"/>
    <w:rsid w:val="000F7C55"/>
    <w:rsid w:val="000F7D07"/>
    <w:rsid w:val="000F7D99"/>
    <w:rsid w:val="000F7EC9"/>
    <w:rsid w:val="000F7FFB"/>
    <w:rsid w:val="00100255"/>
    <w:rsid w:val="0010028A"/>
    <w:rsid w:val="001004E3"/>
    <w:rsid w:val="00100635"/>
    <w:rsid w:val="001007B0"/>
    <w:rsid w:val="001007B6"/>
    <w:rsid w:val="00100990"/>
    <w:rsid w:val="001009BE"/>
    <w:rsid w:val="001009E7"/>
    <w:rsid w:val="00100A92"/>
    <w:rsid w:val="00100B67"/>
    <w:rsid w:val="00100BCA"/>
    <w:rsid w:val="00100CFA"/>
    <w:rsid w:val="00100D97"/>
    <w:rsid w:val="00100DCB"/>
    <w:rsid w:val="00100DFC"/>
    <w:rsid w:val="00100F65"/>
    <w:rsid w:val="00100FC2"/>
    <w:rsid w:val="00101001"/>
    <w:rsid w:val="00101083"/>
    <w:rsid w:val="0010111A"/>
    <w:rsid w:val="0010111D"/>
    <w:rsid w:val="00101716"/>
    <w:rsid w:val="00101814"/>
    <w:rsid w:val="00101847"/>
    <w:rsid w:val="001018DC"/>
    <w:rsid w:val="00101902"/>
    <w:rsid w:val="00101959"/>
    <w:rsid w:val="00101A4E"/>
    <w:rsid w:val="00101A64"/>
    <w:rsid w:val="00101AA7"/>
    <w:rsid w:val="00101B3E"/>
    <w:rsid w:val="00101CC1"/>
    <w:rsid w:val="00101D99"/>
    <w:rsid w:val="00101EB5"/>
    <w:rsid w:val="00101EBA"/>
    <w:rsid w:val="00101F42"/>
    <w:rsid w:val="00101F92"/>
    <w:rsid w:val="00101F94"/>
    <w:rsid w:val="00101FB2"/>
    <w:rsid w:val="0010204B"/>
    <w:rsid w:val="00102095"/>
    <w:rsid w:val="00102101"/>
    <w:rsid w:val="00102257"/>
    <w:rsid w:val="001024F8"/>
    <w:rsid w:val="00102663"/>
    <w:rsid w:val="00102774"/>
    <w:rsid w:val="00102A4A"/>
    <w:rsid w:val="00102AD9"/>
    <w:rsid w:val="00102B67"/>
    <w:rsid w:val="00102B79"/>
    <w:rsid w:val="00102BCF"/>
    <w:rsid w:val="00102DB8"/>
    <w:rsid w:val="00102DCA"/>
    <w:rsid w:val="00102EF7"/>
    <w:rsid w:val="00102F92"/>
    <w:rsid w:val="0010307F"/>
    <w:rsid w:val="001030EF"/>
    <w:rsid w:val="0010312B"/>
    <w:rsid w:val="0010325D"/>
    <w:rsid w:val="00103276"/>
    <w:rsid w:val="00103398"/>
    <w:rsid w:val="001033D2"/>
    <w:rsid w:val="0010344A"/>
    <w:rsid w:val="00103530"/>
    <w:rsid w:val="00103571"/>
    <w:rsid w:val="00103624"/>
    <w:rsid w:val="0010377B"/>
    <w:rsid w:val="00103828"/>
    <w:rsid w:val="0010391E"/>
    <w:rsid w:val="00103923"/>
    <w:rsid w:val="0010392D"/>
    <w:rsid w:val="00103A26"/>
    <w:rsid w:val="00103AD9"/>
    <w:rsid w:val="00103AF8"/>
    <w:rsid w:val="00103BF0"/>
    <w:rsid w:val="00103C78"/>
    <w:rsid w:val="0010409C"/>
    <w:rsid w:val="00104265"/>
    <w:rsid w:val="001042E6"/>
    <w:rsid w:val="00104411"/>
    <w:rsid w:val="0010447F"/>
    <w:rsid w:val="0010457E"/>
    <w:rsid w:val="00104597"/>
    <w:rsid w:val="00104644"/>
    <w:rsid w:val="001048BF"/>
    <w:rsid w:val="00104C1B"/>
    <w:rsid w:val="00104C2E"/>
    <w:rsid w:val="00104C82"/>
    <w:rsid w:val="00104D5F"/>
    <w:rsid w:val="00104EBC"/>
    <w:rsid w:val="00104F8C"/>
    <w:rsid w:val="00104FE3"/>
    <w:rsid w:val="00105021"/>
    <w:rsid w:val="0010514E"/>
    <w:rsid w:val="001051EE"/>
    <w:rsid w:val="00105271"/>
    <w:rsid w:val="00105279"/>
    <w:rsid w:val="001053A4"/>
    <w:rsid w:val="0010549F"/>
    <w:rsid w:val="001054BD"/>
    <w:rsid w:val="001054F3"/>
    <w:rsid w:val="00105516"/>
    <w:rsid w:val="00105545"/>
    <w:rsid w:val="001055FF"/>
    <w:rsid w:val="0010565F"/>
    <w:rsid w:val="0010571F"/>
    <w:rsid w:val="00105896"/>
    <w:rsid w:val="00105913"/>
    <w:rsid w:val="0010598A"/>
    <w:rsid w:val="001059C0"/>
    <w:rsid w:val="00105BFD"/>
    <w:rsid w:val="00105EA6"/>
    <w:rsid w:val="0010607C"/>
    <w:rsid w:val="001062EC"/>
    <w:rsid w:val="00106366"/>
    <w:rsid w:val="00106442"/>
    <w:rsid w:val="0010649B"/>
    <w:rsid w:val="001065EB"/>
    <w:rsid w:val="00106641"/>
    <w:rsid w:val="0010666A"/>
    <w:rsid w:val="001067A1"/>
    <w:rsid w:val="00106C75"/>
    <w:rsid w:val="00106D28"/>
    <w:rsid w:val="00106D95"/>
    <w:rsid w:val="00106FA5"/>
    <w:rsid w:val="0010714F"/>
    <w:rsid w:val="001072B4"/>
    <w:rsid w:val="001073D3"/>
    <w:rsid w:val="0010741A"/>
    <w:rsid w:val="001075B6"/>
    <w:rsid w:val="0010763F"/>
    <w:rsid w:val="0010766E"/>
    <w:rsid w:val="00107716"/>
    <w:rsid w:val="00107755"/>
    <w:rsid w:val="00107772"/>
    <w:rsid w:val="00107831"/>
    <w:rsid w:val="00107839"/>
    <w:rsid w:val="0010788D"/>
    <w:rsid w:val="001078E7"/>
    <w:rsid w:val="001079C9"/>
    <w:rsid w:val="00107A73"/>
    <w:rsid w:val="00107ACC"/>
    <w:rsid w:val="00107B29"/>
    <w:rsid w:val="00107C04"/>
    <w:rsid w:val="00107CED"/>
    <w:rsid w:val="00107D9D"/>
    <w:rsid w:val="00107E27"/>
    <w:rsid w:val="00107F7F"/>
    <w:rsid w:val="0011002E"/>
    <w:rsid w:val="001100B1"/>
    <w:rsid w:val="001101EC"/>
    <w:rsid w:val="001102D6"/>
    <w:rsid w:val="001105B6"/>
    <w:rsid w:val="00110625"/>
    <w:rsid w:val="00110676"/>
    <w:rsid w:val="0011073F"/>
    <w:rsid w:val="001107D3"/>
    <w:rsid w:val="00110A4E"/>
    <w:rsid w:val="00110A6F"/>
    <w:rsid w:val="00110A74"/>
    <w:rsid w:val="00110BE5"/>
    <w:rsid w:val="00110C54"/>
    <w:rsid w:val="00110DA6"/>
    <w:rsid w:val="00110DAC"/>
    <w:rsid w:val="00110FC9"/>
    <w:rsid w:val="0011109C"/>
    <w:rsid w:val="00111128"/>
    <w:rsid w:val="0011114E"/>
    <w:rsid w:val="0011123B"/>
    <w:rsid w:val="00111302"/>
    <w:rsid w:val="00111356"/>
    <w:rsid w:val="0011144E"/>
    <w:rsid w:val="0011151B"/>
    <w:rsid w:val="0011156C"/>
    <w:rsid w:val="00111733"/>
    <w:rsid w:val="00111B70"/>
    <w:rsid w:val="00111D23"/>
    <w:rsid w:val="00111E33"/>
    <w:rsid w:val="00111F2C"/>
    <w:rsid w:val="0011204C"/>
    <w:rsid w:val="001120C5"/>
    <w:rsid w:val="001120E1"/>
    <w:rsid w:val="00112241"/>
    <w:rsid w:val="001122D0"/>
    <w:rsid w:val="00112306"/>
    <w:rsid w:val="0011231F"/>
    <w:rsid w:val="001123BF"/>
    <w:rsid w:val="001124D1"/>
    <w:rsid w:val="00112540"/>
    <w:rsid w:val="001125E3"/>
    <w:rsid w:val="001128D4"/>
    <w:rsid w:val="00112A7F"/>
    <w:rsid w:val="00112AD9"/>
    <w:rsid w:val="00112B59"/>
    <w:rsid w:val="00112C2B"/>
    <w:rsid w:val="00112D1F"/>
    <w:rsid w:val="00112F3A"/>
    <w:rsid w:val="00112F3E"/>
    <w:rsid w:val="001130DA"/>
    <w:rsid w:val="00113123"/>
    <w:rsid w:val="00113205"/>
    <w:rsid w:val="00113221"/>
    <w:rsid w:val="00113292"/>
    <w:rsid w:val="001132C0"/>
    <w:rsid w:val="00113454"/>
    <w:rsid w:val="00113504"/>
    <w:rsid w:val="00113561"/>
    <w:rsid w:val="00113665"/>
    <w:rsid w:val="00113758"/>
    <w:rsid w:val="0011378C"/>
    <w:rsid w:val="00113A02"/>
    <w:rsid w:val="00113A4C"/>
    <w:rsid w:val="00113A87"/>
    <w:rsid w:val="00113A91"/>
    <w:rsid w:val="00113F57"/>
    <w:rsid w:val="00113FCD"/>
    <w:rsid w:val="00114048"/>
    <w:rsid w:val="0011404A"/>
    <w:rsid w:val="001140B4"/>
    <w:rsid w:val="001141AC"/>
    <w:rsid w:val="001141E0"/>
    <w:rsid w:val="001143CB"/>
    <w:rsid w:val="001143F7"/>
    <w:rsid w:val="00114436"/>
    <w:rsid w:val="0011445A"/>
    <w:rsid w:val="0011449A"/>
    <w:rsid w:val="0011449C"/>
    <w:rsid w:val="001144C6"/>
    <w:rsid w:val="0011450B"/>
    <w:rsid w:val="0011463F"/>
    <w:rsid w:val="001146DC"/>
    <w:rsid w:val="00114A4C"/>
    <w:rsid w:val="00114AB8"/>
    <w:rsid w:val="00114B42"/>
    <w:rsid w:val="00114B4F"/>
    <w:rsid w:val="00114D42"/>
    <w:rsid w:val="00114DC1"/>
    <w:rsid w:val="00114EB5"/>
    <w:rsid w:val="00114F4A"/>
    <w:rsid w:val="001151AB"/>
    <w:rsid w:val="0011521C"/>
    <w:rsid w:val="00115267"/>
    <w:rsid w:val="0011537C"/>
    <w:rsid w:val="00115429"/>
    <w:rsid w:val="0011558E"/>
    <w:rsid w:val="001155BD"/>
    <w:rsid w:val="00115634"/>
    <w:rsid w:val="00115702"/>
    <w:rsid w:val="00115753"/>
    <w:rsid w:val="001157AC"/>
    <w:rsid w:val="001157B5"/>
    <w:rsid w:val="001157BF"/>
    <w:rsid w:val="0011585E"/>
    <w:rsid w:val="00115935"/>
    <w:rsid w:val="00115A28"/>
    <w:rsid w:val="00115A47"/>
    <w:rsid w:val="00115A58"/>
    <w:rsid w:val="00115AD1"/>
    <w:rsid w:val="00115BF7"/>
    <w:rsid w:val="00115E57"/>
    <w:rsid w:val="00115EED"/>
    <w:rsid w:val="00115FCA"/>
    <w:rsid w:val="001160C6"/>
    <w:rsid w:val="00116171"/>
    <w:rsid w:val="001161B3"/>
    <w:rsid w:val="0011641A"/>
    <w:rsid w:val="0011649A"/>
    <w:rsid w:val="001168A8"/>
    <w:rsid w:val="00116AB5"/>
    <w:rsid w:val="00116AFA"/>
    <w:rsid w:val="00116B57"/>
    <w:rsid w:val="00116C35"/>
    <w:rsid w:val="00116CB5"/>
    <w:rsid w:val="00116CF4"/>
    <w:rsid w:val="00116DE2"/>
    <w:rsid w:val="00116DF9"/>
    <w:rsid w:val="00116FF3"/>
    <w:rsid w:val="001172FD"/>
    <w:rsid w:val="001173FE"/>
    <w:rsid w:val="00117573"/>
    <w:rsid w:val="001176A6"/>
    <w:rsid w:val="001176E8"/>
    <w:rsid w:val="00117906"/>
    <w:rsid w:val="00117AEB"/>
    <w:rsid w:val="00117B2A"/>
    <w:rsid w:val="00117D83"/>
    <w:rsid w:val="00117DA0"/>
    <w:rsid w:val="00117DEF"/>
    <w:rsid w:val="00117F09"/>
    <w:rsid w:val="00117F4B"/>
    <w:rsid w:val="00117FCE"/>
    <w:rsid w:val="00117FD7"/>
    <w:rsid w:val="0012007B"/>
    <w:rsid w:val="001200E8"/>
    <w:rsid w:val="00120104"/>
    <w:rsid w:val="001201CE"/>
    <w:rsid w:val="001202EC"/>
    <w:rsid w:val="00120323"/>
    <w:rsid w:val="001203A0"/>
    <w:rsid w:val="00120628"/>
    <w:rsid w:val="00120764"/>
    <w:rsid w:val="001208A8"/>
    <w:rsid w:val="0012091C"/>
    <w:rsid w:val="00120BD3"/>
    <w:rsid w:val="00120C40"/>
    <w:rsid w:val="00120C95"/>
    <w:rsid w:val="00120D19"/>
    <w:rsid w:val="00120D7B"/>
    <w:rsid w:val="00120F93"/>
    <w:rsid w:val="00121054"/>
    <w:rsid w:val="0012111E"/>
    <w:rsid w:val="00121249"/>
    <w:rsid w:val="0012127F"/>
    <w:rsid w:val="00121339"/>
    <w:rsid w:val="001214F0"/>
    <w:rsid w:val="00121522"/>
    <w:rsid w:val="001215B1"/>
    <w:rsid w:val="001218C1"/>
    <w:rsid w:val="00121AF5"/>
    <w:rsid w:val="00121B6B"/>
    <w:rsid w:val="00121CA8"/>
    <w:rsid w:val="00121CFC"/>
    <w:rsid w:val="00121DBB"/>
    <w:rsid w:val="00121E7C"/>
    <w:rsid w:val="00121EA1"/>
    <w:rsid w:val="00121EE1"/>
    <w:rsid w:val="00121FB0"/>
    <w:rsid w:val="0012208A"/>
    <w:rsid w:val="001221D5"/>
    <w:rsid w:val="00122309"/>
    <w:rsid w:val="0012237A"/>
    <w:rsid w:val="001224D3"/>
    <w:rsid w:val="001224E6"/>
    <w:rsid w:val="0012256E"/>
    <w:rsid w:val="001226EA"/>
    <w:rsid w:val="001228F8"/>
    <w:rsid w:val="00122A83"/>
    <w:rsid w:val="00122B29"/>
    <w:rsid w:val="00122C05"/>
    <w:rsid w:val="00122C47"/>
    <w:rsid w:val="00122E43"/>
    <w:rsid w:val="00122FEA"/>
    <w:rsid w:val="00123102"/>
    <w:rsid w:val="00123179"/>
    <w:rsid w:val="001231C1"/>
    <w:rsid w:val="001231E7"/>
    <w:rsid w:val="00123238"/>
    <w:rsid w:val="001232BD"/>
    <w:rsid w:val="00123355"/>
    <w:rsid w:val="001233AD"/>
    <w:rsid w:val="001234A6"/>
    <w:rsid w:val="00123539"/>
    <w:rsid w:val="001237A6"/>
    <w:rsid w:val="0012388A"/>
    <w:rsid w:val="0012388E"/>
    <w:rsid w:val="001238C1"/>
    <w:rsid w:val="00123A71"/>
    <w:rsid w:val="00123B47"/>
    <w:rsid w:val="00123B60"/>
    <w:rsid w:val="00123B95"/>
    <w:rsid w:val="00123B97"/>
    <w:rsid w:val="00123C1E"/>
    <w:rsid w:val="00123DAC"/>
    <w:rsid w:val="00123E0E"/>
    <w:rsid w:val="00123F2E"/>
    <w:rsid w:val="001240AF"/>
    <w:rsid w:val="001241F0"/>
    <w:rsid w:val="0012420E"/>
    <w:rsid w:val="0012424F"/>
    <w:rsid w:val="00124374"/>
    <w:rsid w:val="00124438"/>
    <w:rsid w:val="001244CA"/>
    <w:rsid w:val="0012457B"/>
    <w:rsid w:val="001245C9"/>
    <w:rsid w:val="00124650"/>
    <w:rsid w:val="001246A6"/>
    <w:rsid w:val="001246AD"/>
    <w:rsid w:val="0012487B"/>
    <w:rsid w:val="00124AFA"/>
    <w:rsid w:val="00124B09"/>
    <w:rsid w:val="00124CE3"/>
    <w:rsid w:val="00124DA8"/>
    <w:rsid w:val="00124ED5"/>
    <w:rsid w:val="00124F20"/>
    <w:rsid w:val="00124FF4"/>
    <w:rsid w:val="00125066"/>
    <w:rsid w:val="00125191"/>
    <w:rsid w:val="00125398"/>
    <w:rsid w:val="001253D7"/>
    <w:rsid w:val="0012548B"/>
    <w:rsid w:val="001257E8"/>
    <w:rsid w:val="001257F1"/>
    <w:rsid w:val="00125846"/>
    <w:rsid w:val="001258B8"/>
    <w:rsid w:val="001258C6"/>
    <w:rsid w:val="00125964"/>
    <w:rsid w:val="00125A57"/>
    <w:rsid w:val="00125BB6"/>
    <w:rsid w:val="0012613E"/>
    <w:rsid w:val="001261A0"/>
    <w:rsid w:val="001264AE"/>
    <w:rsid w:val="001265D5"/>
    <w:rsid w:val="00126746"/>
    <w:rsid w:val="001267DC"/>
    <w:rsid w:val="00126809"/>
    <w:rsid w:val="00126856"/>
    <w:rsid w:val="00126917"/>
    <w:rsid w:val="001269BE"/>
    <w:rsid w:val="00126BC8"/>
    <w:rsid w:val="00126D3C"/>
    <w:rsid w:val="00126E38"/>
    <w:rsid w:val="00126E68"/>
    <w:rsid w:val="00126EDA"/>
    <w:rsid w:val="00126F50"/>
    <w:rsid w:val="00126FC2"/>
    <w:rsid w:val="00127110"/>
    <w:rsid w:val="001271BC"/>
    <w:rsid w:val="0012721B"/>
    <w:rsid w:val="001276FA"/>
    <w:rsid w:val="00127863"/>
    <w:rsid w:val="00127B33"/>
    <w:rsid w:val="00127CA0"/>
    <w:rsid w:val="00127D64"/>
    <w:rsid w:val="00127DDF"/>
    <w:rsid w:val="00130258"/>
    <w:rsid w:val="0013031F"/>
    <w:rsid w:val="00130333"/>
    <w:rsid w:val="0013037B"/>
    <w:rsid w:val="00130476"/>
    <w:rsid w:val="001304F2"/>
    <w:rsid w:val="0013062D"/>
    <w:rsid w:val="0013068E"/>
    <w:rsid w:val="0013081C"/>
    <w:rsid w:val="00130863"/>
    <w:rsid w:val="00130917"/>
    <w:rsid w:val="00130A57"/>
    <w:rsid w:val="00130B64"/>
    <w:rsid w:val="00130B6F"/>
    <w:rsid w:val="00130BE4"/>
    <w:rsid w:val="00130CA6"/>
    <w:rsid w:val="00130D99"/>
    <w:rsid w:val="00130F9B"/>
    <w:rsid w:val="00131168"/>
    <w:rsid w:val="00131320"/>
    <w:rsid w:val="00131346"/>
    <w:rsid w:val="00131404"/>
    <w:rsid w:val="0013143C"/>
    <w:rsid w:val="00131533"/>
    <w:rsid w:val="00131616"/>
    <w:rsid w:val="001316A4"/>
    <w:rsid w:val="0013172A"/>
    <w:rsid w:val="001317C4"/>
    <w:rsid w:val="001318C5"/>
    <w:rsid w:val="001319D0"/>
    <w:rsid w:val="00131A4D"/>
    <w:rsid w:val="00131C3B"/>
    <w:rsid w:val="00131C9A"/>
    <w:rsid w:val="00131CC5"/>
    <w:rsid w:val="00131CF6"/>
    <w:rsid w:val="00131E16"/>
    <w:rsid w:val="00131E4C"/>
    <w:rsid w:val="00131F3F"/>
    <w:rsid w:val="00132013"/>
    <w:rsid w:val="001322AD"/>
    <w:rsid w:val="00132443"/>
    <w:rsid w:val="00132644"/>
    <w:rsid w:val="00132759"/>
    <w:rsid w:val="001328E0"/>
    <w:rsid w:val="00132ABA"/>
    <w:rsid w:val="00132B07"/>
    <w:rsid w:val="00132B11"/>
    <w:rsid w:val="00132BB8"/>
    <w:rsid w:val="00132C3D"/>
    <w:rsid w:val="00132EBA"/>
    <w:rsid w:val="00132F7E"/>
    <w:rsid w:val="00132F97"/>
    <w:rsid w:val="00132FEB"/>
    <w:rsid w:val="00133117"/>
    <w:rsid w:val="001332C4"/>
    <w:rsid w:val="001332E6"/>
    <w:rsid w:val="00133323"/>
    <w:rsid w:val="0013332D"/>
    <w:rsid w:val="0013340B"/>
    <w:rsid w:val="00133479"/>
    <w:rsid w:val="001334E7"/>
    <w:rsid w:val="0013354B"/>
    <w:rsid w:val="0013365F"/>
    <w:rsid w:val="00133682"/>
    <w:rsid w:val="00133767"/>
    <w:rsid w:val="00133769"/>
    <w:rsid w:val="001337EF"/>
    <w:rsid w:val="00133802"/>
    <w:rsid w:val="00133957"/>
    <w:rsid w:val="00133A9E"/>
    <w:rsid w:val="00133D4F"/>
    <w:rsid w:val="00133DC5"/>
    <w:rsid w:val="00133E1C"/>
    <w:rsid w:val="00133F05"/>
    <w:rsid w:val="00133F2F"/>
    <w:rsid w:val="00133F69"/>
    <w:rsid w:val="00134009"/>
    <w:rsid w:val="00134010"/>
    <w:rsid w:val="00134078"/>
    <w:rsid w:val="001340ED"/>
    <w:rsid w:val="001341BE"/>
    <w:rsid w:val="001341F5"/>
    <w:rsid w:val="0013432F"/>
    <w:rsid w:val="00134380"/>
    <w:rsid w:val="0013442E"/>
    <w:rsid w:val="0013444A"/>
    <w:rsid w:val="001344AA"/>
    <w:rsid w:val="001344CA"/>
    <w:rsid w:val="00134739"/>
    <w:rsid w:val="00134768"/>
    <w:rsid w:val="001347B1"/>
    <w:rsid w:val="001347D9"/>
    <w:rsid w:val="00134864"/>
    <w:rsid w:val="001348CC"/>
    <w:rsid w:val="00134917"/>
    <w:rsid w:val="0013497C"/>
    <w:rsid w:val="00134A86"/>
    <w:rsid w:val="00134E07"/>
    <w:rsid w:val="00134F80"/>
    <w:rsid w:val="00134FE0"/>
    <w:rsid w:val="00134FEA"/>
    <w:rsid w:val="0013504D"/>
    <w:rsid w:val="001351F5"/>
    <w:rsid w:val="0013524C"/>
    <w:rsid w:val="0013534A"/>
    <w:rsid w:val="0013558A"/>
    <w:rsid w:val="0013558F"/>
    <w:rsid w:val="00135600"/>
    <w:rsid w:val="0013567E"/>
    <w:rsid w:val="00135892"/>
    <w:rsid w:val="0013592C"/>
    <w:rsid w:val="00135CD7"/>
    <w:rsid w:val="00135CDB"/>
    <w:rsid w:val="00135DBB"/>
    <w:rsid w:val="00135E27"/>
    <w:rsid w:val="00135F6D"/>
    <w:rsid w:val="00135FFD"/>
    <w:rsid w:val="00136054"/>
    <w:rsid w:val="001360B4"/>
    <w:rsid w:val="0013616A"/>
    <w:rsid w:val="001362B7"/>
    <w:rsid w:val="0013639D"/>
    <w:rsid w:val="001364EA"/>
    <w:rsid w:val="00136544"/>
    <w:rsid w:val="0013655E"/>
    <w:rsid w:val="00136648"/>
    <w:rsid w:val="0013668F"/>
    <w:rsid w:val="0013675B"/>
    <w:rsid w:val="001367BF"/>
    <w:rsid w:val="00136871"/>
    <w:rsid w:val="00136880"/>
    <w:rsid w:val="001368BE"/>
    <w:rsid w:val="0013693F"/>
    <w:rsid w:val="00136979"/>
    <w:rsid w:val="00136D00"/>
    <w:rsid w:val="00136D6E"/>
    <w:rsid w:val="00136DB5"/>
    <w:rsid w:val="00136E09"/>
    <w:rsid w:val="00136E9B"/>
    <w:rsid w:val="00136EE5"/>
    <w:rsid w:val="00136FC4"/>
    <w:rsid w:val="00137042"/>
    <w:rsid w:val="0013726F"/>
    <w:rsid w:val="0013731A"/>
    <w:rsid w:val="00137359"/>
    <w:rsid w:val="001376A6"/>
    <w:rsid w:val="00137970"/>
    <w:rsid w:val="00137ADB"/>
    <w:rsid w:val="00137B49"/>
    <w:rsid w:val="00137BCF"/>
    <w:rsid w:val="00137CDA"/>
    <w:rsid w:val="00137CFD"/>
    <w:rsid w:val="00137D8F"/>
    <w:rsid w:val="00137E91"/>
    <w:rsid w:val="00137F91"/>
    <w:rsid w:val="0014006E"/>
    <w:rsid w:val="00140117"/>
    <w:rsid w:val="001401AE"/>
    <w:rsid w:val="00140426"/>
    <w:rsid w:val="001405D8"/>
    <w:rsid w:val="001406F7"/>
    <w:rsid w:val="001406FD"/>
    <w:rsid w:val="00140713"/>
    <w:rsid w:val="00140793"/>
    <w:rsid w:val="001408CE"/>
    <w:rsid w:val="00140988"/>
    <w:rsid w:val="001409A2"/>
    <w:rsid w:val="00140A58"/>
    <w:rsid w:val="00140BCD"/>
    <w:rsid w:val="00140C86"/>
    <w:rsid w:val="00140DF6"/>
    <w:rsid w:val="00140E2B"/>
    <w:rsid w:val="00140EC1"/>
    <w:rsid w:val="00140F4D"/>
    <w:rsid w:val="00140F73"/>
    <w:rsid w:val="00141067"/>
    <w:rsid w:val="00141105"/>
    <w:rsid w:val="0014128F"/>
    <w:rsid w:val="00141338"/>
    <w:rsid w:val="001413C2"/>
    <w:rsid w:val="001416C0"/>
    <w:rsid w:val="0014174C"/>
    <w:rsid w:val="00141834"/>
    <w:rsid w:val="001419A7"/>
    <w:rsid w:val="00141A57"/>
    <w:rsid w:val="00141AFC"/>
    <w:rsid w:val="00141C1B"/>
    <w:rsid w:val="00141C45"/>
    <w:rsid w:val="00141C84"/>
    <w:rsid w:val="00141CAA"/>
    <w:rsid w:val="00141D2E"/>
    <w:rsid w:val="00141D54"/>
    <w:rsid w:val="00141D5D"/>
    <w:rsid w:val="00141DD7"/>
    <w:rsid w:val="00141E0E"/>
    <w:rsid w:val="00141E8B"/>
    <w:rsid w:val="00141ED1"/>
    <w:rsid w:val="00141F98"/>
    <w:rsid w:val="00141FB1"/>
    <w:rsid w:val="0014209B"/>
    <w:rsid w:val="00142121"/>
    <w:rsid w:val="001421DC"/>
    <w:rsid w:val="001422C5"/>
    <w:rsid w:val="001422FC"/>
    <w:rsid w:val="00142455"/>
    <w:rsid w:val="001424D1"/>
    <w:rsid w:val="001424FD"/>
    <w:rsid w:val="0014251D"/>
    <w:rsid w:val="001426A2"/>
    <w:rsid w:val="0014279F"/>
    <w:rsid w:val="0014288D"/>
    <w:rsid w:val="0014297A"/>
    <w:rsid w:val="001429A6"/>
    <w:rsid w:val="00142D0F"/>
    <w:rsid w:val="00142D10"/>
    <w:rsid w:val="00142DCE"/>
    <w:rsid w:val="00142E9A"/>
    <w:rsid w:val="00142F39"/>
    <w:rsid w:val="00142F63"/>
    <w:rsid w:val="00142FC4"/>
    <w:rsid w:val="00142FFB"/>
    <w:rsid w:val="0014306A"/>
    <w:rsid w:val="0014334A"/>
    <w:rsid w:val="0014336B"/>
    <w:rsid w:val="00143443"/>
    <w:rsid w:val="001435BF"/>
    <w:rsid w:val="0014366C"/>
    <w:rsid w:val="00143702"/>
    <w:rsid w:val="0014378A"/>
    <w:rsid w:val="001438F7"/>
    <w:rsid w:val="00143982"/>
    <w:rsid w:val="001439C8"/>
    <w:rsid w:val="001439FD"/>
    <w:rsid w:val="00143A58"/>
    <w:rsid w:val="00143B5E"/>
    <w:rsid w:val="00143C36"/>
    <w:rsid w:val="00143C47"/>
    <w:rsid w:val="00143DB6"/>
    <w:rsid w:val="00143EB2"/>
    <w:rsid w:val="00143FF8"/>
    <w:rsid w:val="0014406C"/>
    <w:rsid w:val="00144222"/>
    <w:rsid w:val="001443F1"/>
    <w:rsid w:val="001446B1"/>
    <w:rsid w:val="00144761"/>
    <w:rsid w:val="0014477E"/>
    <w:rsid w:val="001447B3"/>
    <w:rsid w:val="00144855"/>
    <w:rsid w:val="00144915"/>
    <w:rsid w:val="0014492A"/>
    <w:rsid w:val="001449F4"/>
    <w:rsid w:val="00144ABE"/>
    <w:rsid w:val="00144BBA"/>
    <w:rsid w:val="00144C74"/>
    <w:rsid w:val="00144C8E"/>
    <w:rsid w:val="00144DC1"/>
    <w:rsid w:val="00144DFA"/>
    <w:rsid w:val="00144E64"/>
    <w:rsid w:val="00144E94"/>
    <w:rsid w:val="00145081"/>
    <w:rsid w:val="00145082"/>
    <w:rsid w:val="00145388"/>
    <w:rsid w:val="001454FC"/>
    <w:rsid w:val="0014558D"/>
    <w:rsid w:val="0014560C"/>
    <w:rsid w:val="0014565E"/>
    <w:rsid w:val="00145745"/>
    <w:rsid w:val="00145759"/>
    <w:rsid w:val="001458A7"/>
    <w:rsid w:val="00145B5D"/>
    <w:rsid w:val="00145B5F"/>
    <w:rsid w:val="00145BEF"/>
    <w:rsid w:val="00145EE1"/>
    <w:rsid w:val="00145F90"/>
    <w:rsid w:val="00145F95"/>
    <w:rsid w:val="00146144"/>
    <w:rsid w:val="00146150"/>
    <w:rsid w:val="0014622D"/>
    <w:rsid w:val="0014638B"/>
    <w:rsid w:val="001463A9"/>
    <w:rsid w:val="0014671B"/>
    <w:rsid w:val="00146752"/>
    <w:rsid w:val="001467C8"/>
    <w:rsid w:val="00146863"/>
    <w:rsid w:val="001468B8"/>
    <w:rsid w:val="00146AF2"/>
    <w:rsid w:val="00146E45"/>
    <w:rsid w:val="00146F9A"/>
    <w:rsid w:val="00146F9D"/>
    <w:rsid w:val="00146FD8"/>
    <w:rsid w:val="0014705C"/>
    <w:rsid w:val="001470F6"/>
    <w:rsid w:val="0014710B"/>
    <w:rsid w:val="0014714B"/>
    <w:rsid w:val="001471A5"/>
    <w:rsid w:val="001471DB"/>
    <w:rsid w:val="00147201"/>
    <w:rsid w:val="001472B6"/>
    <w:rsid w:val="00147384"/>
    <w:rsid w:val="0014743D"/>
    <w:rsid w:val="001474AD"/>
    <w:rsid w:val="001474B4"/>
    <w:rsid w:val="00147532"/>
    <w:rsid w:val="00147553"/>
    <w:rsid w:val="00147654"/>
    <w:rsid w:val="00147658"/>
    <w:rsid w:val="001476C9"/>
    <w:rsid w:val="001476D0"/>
    <w:rsid w:val="00147780"/>
    <w:rsid w:val="0014778B"/>
    <w:rsid w:val="001478B0"/>
    <w:rsid w:val="00147DA0"/>
    <w:rsid w:val="00147EBE"/>
    <w:rsid w:val="00147FCE"/>
    <w:rsid w:val="00150016"/>
    <w:rsid w:val="00150170"/>
    <w:rsid w:val="00150279"/>
    <w:rsid w:val="00150302"/>
    <w:rsid w:val="00150361"/>
    <w:rsid w:val="001503B9"/>
    <w:rsid w:val="00150439"/>
    <w:rsid w:val="00150498"/>
    <w:rsid w:val="00150509"/>
    <w:rsid w:val="0015059F"/>
    <w:rsid w:val="001505C7"/>
    <w:rsid w:val="001506F4"/>
    <w:rsid w:val="00150862"/>
    <w:rsid w:val="00150940"/>
    <w:rsid w:val="00150992"/>
    <w:rsid w:val="00150B56"/>
    <w:rsid w:val="00150C14"/>
    <w:rsid w:val="00150D19"/>
    <w:rsid w:val="00150F2A"/>
    <w:rsid w:val="00151133"/>
    <w:rsid w:val="001511ED"/>
    <w:rsid w:val="001511F4"/>
    <w:rsid w:val="001512E6"/>
    <w:rsid w:val="00151354"/>
    <w:rsid w:val="0015145D"/>
    <w:rsid w:val="001514C9"/>
    <w:rsid w:val="001514D2"/>
    <w:rsid w:val="00151605"/>
    <w:rsid w:val="001516AF"/>
    <w:rsid w:val="00151732"/>
    <w:rsid w:val="001519C6"/>
    <w:rsid w:val="00151A43"/>
    <w:rsid w:val="00151AB4"/>
    <w:rsid w:val="00151B7C"/>
    <w:rsid w:val="00151E25"/>
    <w:rsid w:val="00151FB8"/>
    <w:rsid w:val="00152073"/>
    <w:rsid w:val="001521D1"/>
    <w:rsid w:val="00152329"/>
    <w:rsid w:val="00152414"/>
    <w:rsid w:val="00152429"/>
    <w:rsid w:val="0015245E"/>
    <w:rsid w:val="001525AF"/>
    <w:rsid w:val="001526B2"/>
    <w:rsid w:val="00152868"/>
    <w:rsid w:val="00152888"/>
    <w:rsid w:val="0015293E"/>
    <w:rsid w:val="0015296E"/>
    <w:rsid w:val="001529B9"/>
    <w:rsid w:val="00152AA9"/>
    <w:rsid w:val="00152BC6"/>
    <w:rsid w:val="00152BCF"/>
    <w:rsid w:val="00152BD2"/>
    <w:rsid w:val="00152CEE"/>
    <w:rsid w:val="00152D74"/>
    <w:rsid w:val="00152E56"/>
    <w:rsid w:val="00152F4A"/>
    <w:rsid w:val="00153076"/>
    <w:rsid w:val="00153205"/>
    <w:rsid w:val="001532A2"/>
    <w:rsid w:val="001533AE"/>
    <w:rsid w:val="00153438"/>
    <w:rsid w:val="001534BA"/>
    <w:rsid w:val="001536C5"/>
    <w:rsid w:val="00153856"/>
    <w:rsid w:val="00153917"/>
    <w:rsid w:val="00153A1C"/>
    <w:rsid w:val="00153B4B"/>
    <w:rsid w:val="00153DE9"/>
    <w:rsid w:val="00153E0E"/>
    <w:rsid w:val="00153E87"/>
    <w:rsid w:val="00153F1D"/>
    <w:rsid w:val="0015404B"/>
    <w:rsid w:val="001541B1"/>
    <w:rsid w:val="0015433C"/>
    <w:rsid w:val="00154379"/>
    <w:rsid w:val="00154424"/>
    <w:rsid w:val="001544D8"/>
    <w:rsid w:val="00154587"/>
    <w:rsid w:val="0015466C"/>
    <w:rsid w:val="00154753"/>
    <w:rsid w:val="001547CC"/>
    <w:rsid w:val="00154A51"/>
    <w:rsid w:val="00154BFB"/>
    <w:rsid w:val="00154DD5"/>
    <w:rsid w:val="00154EC5"/>
    <w:rsid w:val="00155009"/>
    <w:rsid w:val="0015521F"/>
    <w:rsid w:val="0015522B"/>
    <w:rsid w:val="0015534A"/>
    <w:rsid w:val="00155392"/>
    <w:rsid w:val="001553CA"/>
    <w:rsid w:val="00155435"/>
    <w:rsid w:val="00155445"/>
    <w:rsid w:val="001554E6"/>
    <w:rsid w:val="0015551F"/>
    <w:rsid w:val="0015555D"/>
    <w:rsid w:val="00155591"/>
    <w:rsid w:val="00155693"/>
    <w:rsid w:val="001556D8"/>
    <w:rsid w:val="00155776"/>
    <w:rsid w:val="00155A39"/>
    <w:rsid w:val="00155B56"/>
    <w:rsid w:val="00155CCB"/>
    <w:rsid w:val="00155E28"/>
    <w:rsid w:val="00155E4F"/>
    <w:rsid w:val="0015606E"/>
    <w:rsid w:val="0015613B"/>
    <w:rsid w:val="0015625E"/>
    <w:rsid w:val="0015633F"/>
    <w:rsid w:val="00156426"/>
    <w:rsid w:val="00156454"/>
    <w:rsid w:val="001564B2"/>
    <w:rsid w:val="001564C9"/>
    <w:rsid w:val="001564D0"/>
    <w:rsid w:val="00156545"/>
    <w:rsid w:val="00156598"/>
    <w:rsid w:val="001565C9"/>
    <w:rsid w:val="0015664E"/>
    <w:rsid w:val="00156672"/>
    <w:rsid w:val="001566B9"/>
    <w:rsid w:val="00156733"/>
    <w:rsid w:val="00156880"/>
    <w:rsid w:val="001568E4"/>
    <w:rsid w:val="00156B10"/>
    <w:rsid w:val="00156BF3"/>
    <w:rsid w:val="00156FE1"/>
    <w:rsid w:val="001571F6"/>
    <w:rsid w:val="00157200"/>
    <w:rsid w:val="00157311"/>
    <w:rsid w:val="001574C9"/>
    <w:rsid w:val="00157666"/>
    <w:rsid w:val="001576ED"/>
    <w:rsid w:val="001576FE"/>
    <w:rsid w:val="00157771"/>
    <w:rsid w:val="0015780F"/>
    <w:rsid w:val="00157953"/>
    <w:rsid w:val="00157BA7"/>
    <w:rsid w:val="00157BCD"/>
    <w:rsid w:val="00157C66"/>
    <w:rsid w:val="00157F11"/>
    <w:rsid w:val="00157FB9"/>
    <w:rsid w:val="001601BE"/>
    <w:rsid w:val="001602CB"/>
    <w:rsid w:val="00160582"/>
    <w:rsid w:val="0016063D"/>
    <w:rsid w:val="001606B7"/>
    <w:rsid w:val="00160722"/>
    <w:rsid w:val="00160753"/>
    <w:rsid w:val="0016077C"/>
    <w:rsid w:val="001609C6"/>
    <w:rsid w:val="00160AB8"/>
    <w:rsid w:val="00160BAF"/>
    <w:rsid w:val="00160BC0"/>
    <w:rsid w:val="00160ED8"/>
    <w:rsid w:val="00160EE0"/>
    <w:rsid w:val="001610F9"/>
    <w:rsid w:val="001611C8"/>
    <w:rsid w:val="001614F8"/>
    <w:rsid w:val="00161514"/>
    <w:rsid w:val="00161778"/>
    <w:rsid w:val="00161939"/>
    <w:rsid w:val="00161943"/>
    <w:rsid w:val="00161A98"/>
    <w:rsid w:val="00161AA0"/>
    <w:rsid w:val="00161B3D"/>
    <w:rsid w:val="00161BCE"/>
    <w:rsid w:val="00161C61"/>
    <w:rsid w:val="00161D08"/>
    <w:rsid w:val="00161D2E"/>
    <w:rsid w:val="00161E0C"/>
    <w:rsid w:val="00161E5C"/>
    <w:rsid w:val="00161F3E"/>
    <w:rsid w:val="00161F5C"/>
    <w:rsid w:val="00161FB4"/>
    <w:rsid w:val="00162051"/>
    <w:rsid w:val="00162092"/>
    <w:rsid w:val="00162093"/>
    <w:rsid w:val="001622E9"/>
    <w:rsid w:val="0016231B"/>
    <w:rsid w:val="00162541"/>
    <w:rsid w:val="0016270F"/>
    <w:rsid w:val="001627B0"/>
    <w:rsid w:val="0016281A"/>
    <w:rsid w:val="0016282B"/>
    <w:rsid w:val="00162925"/>
    <w:rsid w:val="00162972"/>
    <w:rsid w:val="00162CA9"/>
    <w:rsid w:val="00162CC3"/>
    <w:rsid w:val="0016309C"/>
    <w:rsid w:val="0016313B"/>
    <w:rsid w:val="001632A3"/>
    <w:rsid w:val="0016332E"/>
    <w:rsid w:val="00163375"/>
    <w:rsid w:val="001633F2"/>
    <w:rsid w:val="00163400"/>
    <w:rsid w:val="001634C0"/>
    <w:rsid w:val="0016357D"/>
    <w:rsid w:val="00163625"/>
    <w:rsid w:val="00163697"/>
    <w:rsid w:val="00163842"/>
    <w:rsid w:val="001639C3"/>
    <w:rsid w:val="00163B86"/>
    <w:rsid w:val="00163BC4"/>
    <w:rsid w:val="00163C5B"/>
    <w:rsid w:val="00163D19"/>
    <w:rsid w:val="00163E04"/>
    <w:rsid w:val="00163E98"/>
    <w:rsid w:val="00163EAD"/>
    <w:rsid w:val="00163FA9"/>
    <w:rsid w:val="00164169"/>
    <w:rsid w:val="001641B3"/>
    <w:rsid w:val="001642F1"/>
    <w:rsid w:val="001643F0"/>
    <w:rsid w:val="001644BB"/>
    <w:rsid w:val="001645BE"/>
    <w:rsid w:val="001645EA"/>
    <w:rsid w:val="00164822"/>
    <w:rsid w:val="00164866"/>
    <w:rsid w:val="00164972"/>
    <w:rsid w:val="00164A8B"/>
    <w:rsid w:val="00164B06"/>
    <w:rsid w:val="00164C35"/>
    <w:rsid w:val="00164C60"/>
    <w:rsid w:val="00164E3E"/>
    <w:rsid w:val="001651B4"/>
    <w:rsid w:val="0016536D"/>
    <w:rsid w:val="0016540B"/>
    <w:rsid w:val="00165459"/>
    <w:rsid w:val="00165463"/>
    <w:rsid w:val="00165651"/>
    <w:rsid w:val="0016576F"/>
    <w:rsid w:val="00165877"/>
    <w:rsid w:val="00165A33"/>
    <w:rsid w:val="00165A57"/>
    <w:rsid w:val="00165A73"/>
    <w:rsid w:val="00165ADA"/>
    <w:rsid w:val="00165BC7"/>
    <w:rsid w:val="00165CC8"/>
    <w:rsid w:val="00165DBB"/>
    <w:rsid w:val="00165E78"/>
    <w:rsid w:val="00165E99"/>
    <w:rsid w:val="00165EAA"/>
    <w:rsid w:val="00165EDD"/>
    <w:rsid w:val="00165FF8"/>
    <w:rsid w:val="00166058"/>
    <w:rsid w:val="001661D0"/>
    <w:rsid w:val="0016635A"/>
    <w:rsid w:val="001664BD"/>
    <w:rsid w:val="001664E3"/>
    <w:rsid w:val="0016658C"/>
    <w:rsid w:val="00166624"/>
    <w:rsid w:val="00166699"/>
    <w:rsid w:val="001666CC"/>
    <w:rsid w:val="00166751"/>
    <w:rsid w:val="00166758"/>
    <w:rsid w:val="0016688E"/>
    <w:rsid w:val="001668DF"/>
    <w:rsid w:val="00166922"/>
    <w:rsid w:val="00166A36"/>
    <w:rsid w:val="00166CE3"/>
    <w:rsid w:val="00166E18"/>
    <w:rsid w:val="00166F5B"/>
    <w:rsid w:val="00166FF0"/>
    <w:rsid w:val="0016712C"/>
    <w:rsid w:val="001673CA"/>
    <w:rsid w:val="001674C5"/>
    <w:rsid w:val="001676BA"/>
    <w:rsid w:val="001676CA"/>
    <w:rsid w:val="00167712"/>
    <w:rsid w:val="001677E9"/>
    <w:rsid w:val="00167840"/>
    <w:rsid w:val="00167847"/>
    <w:rsid w:val="001679B8"/>
    <w:rsid w:val="00167C7C"/>
    <w:rsid w:val="00167D16"/>
    <w:rsid w:val="00167DB5"/>
    <w:rsid w:val="00167DC8"/>
    <w:rsid w:val="00167FC1"/>
    <w:rsid w:val="00167FDC"/>
    <w:rsid w:val="00167FEE"/>
    <w:rsid w:val="0017002B"/>
    <w:rsid w:val="00170113"/>
    <w:rsid w:val="00170126"/>
    <w:rsid w:val="001701DF"/>
    <w:rsid w:val="00170293"/>
    <w:rsid w:val="0017030B"/>
    <w:rsid w:val="0017033C"/>
    <w:rsid w:val="0017038E"/>
    <w:rsid w:val="001703CD"/>
    <w:rsid w:val="00170433"/>
    <w:rsid w:val="0017049F"/>
    <w:rsid w:val="0017053D"/>
    <w:rsid w:val="00170544"/>
    <w:rsid w:val="00170572"/>
    <w:rsid w:val="001705A8"/>
    <w:rsid w:val="001707C5"/>
    <w:rsid w:val="001708A9"/>
    <w:rsid w:val="00170A11"/>
    <w:rsid w:val="00170ACA"/>
    <w:rsid w:val="00170B4D"/>
    <w:rsid w:val="00170CE0"/>
    <w:rsid w:val="00170F28"/>
    <w:rsid w:val="00170F7F"/>
    <w:rsid w:val="00171013"/>
    <w:rsid w:val="00171216"/>
    <w:rsid w:val="00171291"/>
    <w:rsid w:val="00171293"/>
    <w:rsid w:val="001712C2"/>
    <w:rsid w:val="0017132D"/>
    <w:rsid w:val="00171332"/>
    <w:rsid w:val="001713C8"/>
    <w:rsid w:val="001715C0"/>
    <w:rsid w:val="001716EC"/>
    <w:rsid w:val="00171754"/>
    <w:rsid w:val="00171975"/>
    <w:rsid w:val="00171980"/>
    <w:rsid w:val="00171B4D"/>
    <w:rsid w:val="00171B52"/>
    <w:rsid w:val="00171E98"/>
    <w:rsid w:val="00172120"/>
    <w:rsid w:val="00172146"/>
    <w:rsid w:val="0017239E"/>
    <w:rsid w:val="001723A9"/>
    <w:rsid w:val="00172585"/>
    <w:rsid w:val="00172594"/>
    <w:rsid w:val="001725EC"/>
    <w:rsid w:val="001727BA"/>
    <w:rsid w:val="001727FF"/>
    <w:rsid w:val="001728F1"/>
    <w:rsid w:val="001729FF"/>
    <w:rsid w:val="00172A2E"/>
    <w:rsid w:val="00172A5A"/>
    <w:rsid w:val="00172BAF"/>
    <w:rsid w:val="00172BC6"/>
    <w:rsid w:val="00172C4C"/>
    <w:rsid w:val="00172D6D"/>
    <w:rsid w:val="00172E26"/>
    <w:rsid w:val="00172ED0"/>
    <w:rsid w:val="00172F44"/>
    <w:rsid w:val="001730F8"/>
    <w:rsid w:val="001731ED"/>
    <w:rsid w:val="00173204"/>
    <w:rsid w:val="00173247"/>
    <w:rsid w:val="001732B6"/>
    <w:rsid w:val="001733A6"/>
    <w:rsid w:val="001733E6"/>
    <w:rsid w:val="00173557"/>
    <w:rsid w:val="00173567"/>
    <w:rsid w:val="00173595"/>
    <w:rsid w:val="001735CE"/>
    <w:rsid w:val="001736DD"/>
    <w:rsid w:val="001737C6"/>
    <w:rsid w:val="00173BE4"/>
    <w:rsid w:val="00173F6A"/>
    <w:rsid w:val="00173FF1"/>
    <w:rsid w:val="00174032"/>
    <w:rsid w:val="001740E4"/>
    <w:rsid w:val="001742AB"/>
    <w:rsid w:val="00174307"/>
    <w:rsid w:val="00174394"/>
    <w:rsid w:val="00174397"/>
    <w:rsid w:val="00174473"/>
    <w:rsid w:val="001744CA"/>
    <w:rsid w:val="00174509"/>
    <w:rsid w:val="00174546"/>
    <w:rsid w:val="0017487C"/>
    <w:rsid w:val="00174921"/>
    <w:rsid w:val="00174AE1"/>
    <w:rsid w:val="00174E56"/>
    <w:rsid w:val="00174F2D"/>
    <w:rsid w:val="00175053"/>
    <w:rsid w:val="0017517E"/>
    <w:rsid w:val="001751AB"/>
    <w:rsid w:val="00175571"/>
    <w:rsid w:val="00175590"/>
    <w:rsid w:val="00175656"/>
    <w:rsid w:val="0017567B"/>
    <w:rsid w:val="00175735"/>
    <w:rsid w:val="00175739"/>
    <w:rsid w:val="00175759"/>
    <w:rsid w:val="0017596D"/>
    <w:rsid w:val="00175A55"/>
    <w:rsid w:val="00175B03"/>
    <w:rsid w:val="00175E64"/>
    <w:rsid w:val="00175F76"/>
    <w:rsid w:val="00175F7B"/>
    <w:rsid w:val="00176166"/>
    <w:rsid w:val="001761C0"/>
    <w:rsid w:val="001764EE"/>
    <w:rsid w:val="0017652F"/>
    <w:rsid w:val="001765FF"/>
    <w:rsid w:val="001766C2"/>
    <w:rsid w:val="001766E5"/>
    <w:rsid w:val="0017674D"/>
    <w:rsid w:val="001768A8"/>
    <w:rsid w:val="00176A14"/>
    <w:rsid w:val="00176A5A"/>
    <w:rsid w:val="00176B26"/>
    <w:rsid w:val="00176CA5"/>
    <w:rsid w:val="00176DD8"/>
    <w:rsid w:val="00176E5B"/>
    <w:rsid w:val="00176EEC"/>
    <w:rsid w:val="00176F8E"/>
    <w:rsid w:val="00176FD2"/>
    <w:rsid w:val="0017704D"/>
    <w:rsid w:val="00177071"/>
    <w:rsid w:val="001771DD"/>
    <w:rsid w:val="001772DC"/>
    <w:rsid w:val="00177314"/>
    <w:rsid w:val="0017736A"/>
    <w:rsid w:val="0017747E"/>
    <w:rsid w:val="00177551"/>
    <w:rsid w:val="00177561"/>
    <w:rsid w:val="00177579"/>
    <w:rsid w:val="0017762E"/>
    <w:rsid w:val="001776B4"/>
    <w:rsid w:val="0017772E"/>
    <w:rsid w:val="001777C8"/>
    <w:rsid w:val="0017790C"/>
    <w:rsid w:val="00177995"/>
    <w:rsid w:val="00177A8C"/>
    <w:rsid w:val="00177C1C"/>
    <w:rsid w:val="00177C6D"/>
    <w:rsid w:val="00177C77"/>
    <w:rsid w:val="00177D49"/>
    <w:rsid w:val="00177F49"/>
    <w:rsid w:val="00180089"/>
    <w:rsid w:val="0018013A"/>
    <w:rsid w:val="00180153"/>
    <w:rsid w:val="0018029C"/>
    <w:rsid w:val="001802DC"/>
    <w:rsid w:val="001803AE"/>
    <w:rsid w:val="00180570"/>
    <w:rsid w:val="00180630"/>
    <w:rsid w:val="00180767"/>
    <w:rsid w:val="0018093C"/>
    <w:rsid w:val="001809C0"/>
    <w:rsid w:val="00180AAC"/>
    <w:rsid w:val="00180AB2"/>
    <w:rsid w:val="00180BE8"/>
    <w:rsid w:val="00180C58"/>
    <w:rsid w:val="00180C69"/>
    <w:rsid w:val="00180CD6"/>
    <w:rsid w:val="00180E05"/>
    <w:rsid w:val="00180EB7"/>
    <w:rsid w:val="00180EFE"/>
    <w:rsid w:val="0018122A"/>
    <w:rsid w:val="001812F4"/>
    <w:rsid w:val="0018134D"/>
    <w:rsid w:val="00181515"/>
    <w:rsid w:val="001815BB"/>
    <w:rsid w:val="001817B7"/>
    <w:rsid w:val="0018182B"/>
    <w:rsid w:val="001818C7"/>
    <w:rsid w:val="001819DC"/>
    <w:rsid w:val="00181A90"/>
    <w:rsid w:val="00181AAA"/>
    <w:rsid w:val="00181B91"/>
    <w:rsid w:val="00181BA2"/>
    <w:rsid w:val="00181C5E"/>
    <w:rsid w:val="00181DD4"/>
    <w:rsid w:val="00181E67"/>
    <w:rsid w:val="00181EC8"/>
    <w:rsid w:val="00181EF3"/>
    <w:rsid w:val="00182010"/>
    <w:rsid w:val="00182038"/>
    <w:rsid w:val="00182122"/>
    <w:rsid w:val="0018225D"/>
    <w:rsid w:val="001822A1"/>
    <w:rsid w:val="001822ED"/>
    <w:rsid w:val="0018233B"/>
    <w:rsid w:val="0018240F"/>
    <w:rsid w:val="0018244E"/>
    <w:rsid w:val="001824B1"/>
    <w:rsid w:val="001827EC"/>
    <w:rsid w:val="00182834"/>
    <w:rsid w:val="00182837"/>
    <w:rsid w:val="00182B57"/>
    <w:rsid w:val="00182C28"/>
    <w:rsid w:val="00182D09"/>
    <w:rsid w:val="00182DB7"/>
    <w:rsid w:val="00182DE4"/>
    <w:rsid w:val="00182E40"/>
    <w:rsid w:val="00182EDA"/>
    <w:rsid w:val="00182EFE"/>
    <w:rsid w:val="00182F67"/>
    <w:rsid w:val="00182F6F"/>
    <w:rsid w:val="00182F94"/>
    <w:rsid w:val="00182FA1"/>
    <w:rsid w:val="00183004"/>
    <w:rsid w:val="00183086"/>
    <w:rsid w:val="0018315B"/>
    <w:rsid w:val="00183204"/>
    <w:rsid w:val="00183311"/>
    <w:rsid w:val="0018331C"/>
    <w:rsid w:val="0018333A"/>
    <w:rsid w:val="001833C9"/>
    <w:rsid w:val="0018358B"/>
    <w:rsid w:val="00183595"/>
    <w:rsid w:val="0018373F"/>
    <w:rsid w:val="00183754"/>
    <w:rsid w:val="001837D1"/>
    <w:rsid w:val="001838F0"/>
    <w:rsid w:val="00183942"/>
    <w:rsid w:val="00183A2A"/>
    <w:rsid w:val="00183A6A"/>
    <w:rsid w:val="00183B26"/>
    <w:rsid w:val="00183B3E"/>
    <w:rsid w:val="00183BD2"/>
    <w:rsid w:val="00183C74"/>
    <w:rsid w:val="00184022"/>
    <w:rsid w:val="001840D6"/>
    <w:rsid w:val="0018412D"/>
    <w:rsid w:val="00184237"/>
    <w:rsid w:val="0018432E"/>
    <w:rsid w:val="0018455E"/>
    <w:rsid w:val="0018472B"/>
    <w:rsid w:val="001847A2"/>
    <w:rsid w:val="00184838"/>
    <w:rsid w:val="00184890"/>
    <w:rsid w:val="00184897"/>
    <w:rsid w:val="00184970"/>
    <w:rsid w:val="00184B3D"/>
    <w:rsid w:val="00184C27"/>
    <w:rsid w:val="00184E14"/>
    <w:rsid w:val="00184E15"/>
    <w:rsid w:val="00184F21"/>
    <w:rsid w:val="00184FCC"/>
    <w:rsid w:val="00185009"/>
    <w:rsid w:val="00185069"/>
    <w:rsid w:val="0018521A"/>
    <w:rsid w:val="0018539F"/>
    <w:rsid w:val="0018543B"/>
    <w:rsid w:val="00185541"/>
    <w:rsid w:val="001856D0"/>
    <w:rsid w:val="001856DA"/>
    <w:rsid w:val="001856FC"/>
    <w:rsid w:val="001856FD"/>
    <w:rsid w:val="001857EF"/>
    <w:rsid w:val="0018588E"/>
    <w:rsid w:val="00185892"/>
    <w:rsid w:val="001858B7"/>
    <w:rsid w:val="00185B60"/>
    <w:rsid w:val="00185BA8"/>
    <w:rsid w:val="00185BAE"/>
    <w:rsid w:val="00185C62"/>
    <w:rsid w:val="00185D96"/>
    <w:rsid w:val="00185E63"/>
    <w:rsid w:val="00185E70"/>
    <w:rsid w:val="00186065"/>
    <w:rsid w:val="001860DE"/>
    <w:rsid w:val="00186285"/>
    <w:rsid w:val="00186348"/>
    <w:rsid w:val="001863A6"/>
    <w:rsid w:val="001863B6"/>
    <w:rsid w:val="001863F1"/>
    <w:rsid w:val="00186512"/>
    <w:rsid w:val="001865F9"/>
    <w:rsid w:val="001867E7"/>
    <w:rsid w:val="001868FB"/>
    <w:rsid w:val="001869C1"/>
    <w:rsid w:val="00186B33"/>
    <w:rsid w:val="00186DF6"/>
    <w:rsid w:val="00186E04"/>
    <w:rsid w:val="00186E7F"/>
    <w:rsid w:val="00187083"/>
    <w:rsid w:val="001870C9"/>
    <w:rsid w:val="0018711E"/>
    <w:rsid w:val="00187141"/>
    <w:rsid w:val="001871C6"/>
    <w:rsid w:val="00187266"/>
    <w:rsid w:val="00187268"/>
    <w:rsid w:val="0018734C"/>
    <w:rsid w:val="0018736C"/>
    <w:rsid w:val="001875CB"/>
    <w:rsid w:val="001876FA"/>
    <w:rsid w:val="001877D8"/>
    <w:rsid w:val="00187801"/>
    <w:rsid w:val="00187870"/>
    <w:rsid w:val="00187892"/>
    <w:rsid w:val="0018792C"/>
    <w:rsid w:val="00187950"/>
    <w:rsid w:val="001879A7"/>
    <w:rsid w:val="00187B48"/>
    <w:rsid w:val="00187CF4"/>
    <w:rsid w:val="00187D38"/>
    <w:rsid w:val="00187E01"/>
    <w:rsid w:val="00187E1E"/>
    <w:rsid w:val="00190066"/>
    <w:rsid w:val="001901E5"/>
    <w:rsid w:val="001901E9"/>
    <w:rsid w:val="001902FE"/>
    <w:rsid w:val="00190557"/>
    <w:rsid w:val="00190607"/>
    <w:rsid w:val="00190629"/>
    <w:rsid w:val="0019074C"/>
    <w:rsid w:val="00190753"/>
    <w:rsid w:val="00190760"/>
    <w:rsid w:val="00190B8D"/>
    <w:rsid w:val="00190B8F"/>
    <w:rsid w:val="00190BC8"/>
    <w:rsid w:val="00190CED"/>
    <w:rsid w:val="00190E23"/>
    <w:rsid w:val="00190F69"/>
    <w:rsid w:val="00190F76"/>
    <w:rsid w:val="001911F0"/>
    <w:rsid w:val="0019138B"/>
    <w:rsid w:val="001913B3"/>
    <w:rsid w:val="00191401"/>
    <w:rsid w:val="00191418"/>
    <w:rsid w:val="00191483"/>
    <w:rsid w:val="0019155D"/>
    <w:rsid w:val="0019159F"/>
    <w:rsid w:val="001915C7"/>
    <w:rsid w:val="00191732"/>
    <w:rsid w:val="00191745"/>
    <w:rsid w:val="00191762"/>
    <w:rsid w:val="001917DB"/>
    <w:rsid w:val="00191809"/>
    <w:rsid w:val="00191933"/>
    <w:rsid w:val="0019193B"/>
    <w:rsid w:val="00191A7E"/>
    <w:rsid w:val="00191B9E"/>
    <w:rsid w:val="00191BEA"/>
    <w:rsid w:val="00191C6F"/>
    <w:rsid w:val="00191C75"/>
    <w:rsid w:val="00191E52"/>
    <w:rsid w:val="00191ECB"/>
    <w:rsid w:val="00191ED7"/>
    <w:rsid w:val="00191F33"/>
    <w:rsid w:val="00192312"/>
    <w:rsid w:val="001923FA"/>
    <w:rsid w:val="0019276D"/>
    <w:rsid w:val="00192902"/>
    <w:rsid w:val="00192928"/>
    <w:rsid w:val="00192994"/>
    <w:rsid w:val="00192A62"/>
    <w:rsid w:val="00192BE8"/>
    <w:rsid w:val="00192C32"/>
    <w:rsid w:val="00192C6C"/>
    <w:rsid w:val="00192CFD"/>
    <w:rsid w:val="00192D5F"/>
    <w:rsid w:val="00192DFF"/>
    <w:rsid w:val="00192EE8"/>
    <w:rsid w:val="00192F24"/>
    <w:rsid w:val="00192F7B"/>
    <w:rsid w:val="00192F9D"/>
    <w:rsid w:val="00193005"/>
    <w:rsid w:val="0019305D"/>
    <w:rsid w:val="00193090"/>
    <w:rsid w:val="001931EC"/>
    <w:rsid w:val="00193205"/>
    <w:rsid w:val="00193322"/>
    <w:rsid w:val="00193446"/>
    <w:rsid w:val="00193496"/>
    <w:rsid w:val="0019354B"/>
    <w:rsid w:val="00193578"/>
    <w:rsid w:val="0019370E"/>
    <w:rsid w:val="0019371B"/>
    <w:rsid w:val="0019375B"/>
    <w:rsid w:val="001937A7"/>
    <w:rsid w:val="001937D7"/>
    <w:rsid w:val="00193805"/>
    <w:rsid w:val="0019386D"/>
    <w:rsid w:val="001938DB"/>
    <w:rsid w:val="00193A4B"/>
    <w:rsid w:val="00193BB2"/>
    <w:rsid w:val="00193BE3"/>
    <w:rsid w:val="00193CED"/>
    <w:rsid w:val="00193D5A"/>
    <w:rsid w:val="00193E6A"/>
    <w:rsid w:val="00193EE1"/>
    <w:rsid w:val="00193F01"/>
    <w:rsid w:val="00194052"/>
    <w:rsid w:val="0019422C"/>
    <w:rsid w:val="00194520"/>
    <w:rsid w:val="0019457A"/>
    <w:rsid w:val="001945EE"/>
    <w:rsid w:val="00194629"/>
    <w:rsid w:val="0019462F"/>
    <w:rsid w:val="00194724"/>
    <w:rsid w:val="00194751"/>
    <w:rsid w:val="00194BCA"/>
    <w:rsid w:val="00194C29"/>
    <w:rsid w:val="00194C5D"/>
    <w:rsid w:val="00194C77"/>
    <w:rsid w:val="00194C9D"/>
    <w:rsid w:val="00194CB8"/>
    <w:rsid w:val="00194D2D"/>
    <w:rsid w:val="00194E5C"/>
    <w:rsid w:val="00194F95"/>
    <w:rsid w:val="00195159"/>
    <w:rsid w:val="001951B9"/>
    <w:rsid w:val="001953F3"/>
    <w:rsid w:val="0019543C"/>
    <w:rsid w:val="0019546B"/>
    <w:rsid w:val="00195501"/>
    <w:rsid w:val="00195898"/>
    <w:rsid w:val="00195AF7"/>
    <w:rsid w:val="00195B47"/>
    <w:rsid w:val="00195CFB"/>
    <w:rsid w:val="00195D69"/>
    <w:rsid w:val="00195D9B"/>
    <w:rsid w:val="00195EC6"/>
    <w:rsid w:val="00196103"/>
    <w:rsid w:val="00196188"/>
    <w:rsid w:val="001961BE"/>
    <w:rsid w:val="00196361"/>
    <w:rsid w:val="001963E3"/>
    <w:rsid w:val="001963EC"/>
    <w:rsid w:val="00196584"/>
    <w:rsid w:val="001965F7"/>
    <w:rsid w:val="00196737"/>
    <w:rsid w:val="001967BB"/>
    <w:rsid w:val="00196985"/>
    <w:rsid w:val="001969B8"/>
    <w:rsid w:val="00196A2D"/>
    <w:rsid w:val="00196B23"/>
    <w:rsid w:val="00196BAE"/>
    <w:rsid w:val="00196C6B"/>
    <w:rsid w:val="00196E30"/>
    <w:rsid w:val="00196EB8"/>
    <w:rsid w:val="00196EFB"/>
    <w:rsid w:val="00196F53"/>
    <w:rsid w:val="00196F9D"/>
    <w:rsid w:val="001970BA"/>
    <w:rsid w:val="001970D9"/>
    <w:rsid w:val="0019712D"/>
    <w:rsid w:val="0019718F"/>
    <w:rsid w:val="00197198"/>
    <w:rsid w:val="001971F1"/>
    <w:rsid w:val="00197277"/>
    <w:rsid w:val="001972C0"/>
    <w:rsid w:val="0019738D"/>
    <w:rsid w:val="001973C6"/>
    <w:rsid w:val="00197421"/>
    <w:rsid w:val="0019744E"/>
    <w:rsid w:val="0019753E"/>
    <w:rsid w:val="00197587"/>
    <w:rsid w:val="0019775D"/>
    <w:rsid w:val="0019779D"/>
    <w:rsid w:val="0019789F"/>
    <w:rsid w:val="001978C3"/>
    <w:rsid w:val="00197913"/>
    <w:rsid w:val="001979C0"/>
    <w:rsid w:val="001979FF"/>
    <w:rsid w:val="00197AAC"/>
    <w:rsid w:val="00197AF7"/>
    <w:rsid w:val="00197B17"/>
    <w:rsid w:val="00197B38"/>
    <w:rsid w:val="00197BFC"/>
    <w:rsid w:val="00197CB0"/>
    <w:rsid w:val="00197F24"/>
    <w:rsid w:val="00197F66"/>
    <w:rsid w:val="001A0116"/>
    <w:rsid w:val="001A01EB"/>
    <w:rsid w:val="001A023E"/>
    <w:rsid w:val="001A0477"/>
    <w:rsid w:val="001A048F"/>
    <w:rsid w:val="001A04B1"/>
    <w:rsid w:val="001A0635"/>
    <w:rsid w:val="001A0735"/>
    <w:rsid w:val="001A076E"/>
    <w:rsid w:val="001A07D6"/>
    <w:rsid w:val="001A0855"/>
    <w:rsid w:val="001A0A29"/>
    <w:rsid w:val="001A0A65"/>
    <w:rsid w:val="001A0B4E"/>
    <w:rsid w:val="001A0C44"/>
    <w:rsid w:val="001A0C6E"/>
    <w:rsid w:val="001A0D43"/>
    <w:rsid w:val="001A0DAF"/>
    <w:rsid w:val="001A0E21"/>
    <w:rsid w:val="001A1079"/>
    <w:rsid w:val="001A11E1"/>
    <w:rsid w:val="001A120B"/>
    <w:rsid w:val="001A126E"/>
    <w:rsid w:val="001A127F"/>
    <w:rsid w:val="001A132D"/>
    <w:rsid w:val="001A13A3"/>
    <w:rsid w:val="001A1420"/>
    <w:rsid w:val="001A191E"/>
    <w:rsid w:val="001A1950"/>
    <w:rsid w:val="001A19CD"/>
    <w:rsid w:val="001A19FE"/>
    <w:rsid w:val="001A1A63"/>
    <w:rsid w:val="001A1B51"/>
    <w:rsid w:val="001A1BE5"/>
    <w:rsid w:val="001A1C54"/>
    <w:rsid w:val="001A1CAD"/>
    <w:rsid w:val="001A1CAF"/>
    <w:rsid w:val="001A1D5E"/>
    <w:rsid w:val="001A1E76"/>
    <w:rsid w:val="001A1EDA"/>
    <w:rsid w:val="001A1EDE"/>
    <w:rsid w:val="001A1EE0"/>
    <w:rsid w:val="001A20F3"/>
    <w:rsid w:val="001A212C"/>
    <w:rsid w:val="001A21DC"/>
    <w:rsid w:val="001A2206"/>
    <w:rsid w:val="001A2306"/>
    <w:rsid w:val="001A233B"/>
    <w:rsid w:val="001A243D"/>
    <w:rsid w:val="001A24AF"/>
    <w:rsid w:val="001A24F4"/>
    <w:rsid w:val="001A2537"/>
    <w:rsid w:val="001A25FB"/>
    <w:rsid w:val="001A2815"/>
    <w:rsid w:val="001A2DBA"/>
    <w:rsid w:val="001A2E3E"/>
    <w:rsid w:val="001A303A"/>
    <w:rsid w:val="001A324A"/>
    <w:rsid w:val="001A3300"/>
    <w:rsid w:val="001A3422"/>
    <w:rsid w:val="001A342E"/>
    <w:rsid w:val="001A3483"/>
    <w:rsid w:val="001A3895"/>
    <w:rsid w:val="001A38C7"/>
    <w:rsid w:val="001A38D7"/>
    <w:rsid w:val="001A3ACE"/>
    <w:rsid w:val="001A3AE2"/>
    <w:rsid w:val="001A3CBC"/>
    <w:rsid w:val="001A3D1B"/>
    <w:rsid w:val="001A3DC4"/>
    <w:rsid w:val="001A3E10"/>
    <w:rsid w:val="001A3FB5"/>
    <w:rsid w:val="001A4026"/>
    <w:rsid w:val="001A4070"/>
    <w:rsid w:val="001A415F"/>
    <w:rsid w:val="001A428C"/>
    <w:rsid w:val="001A434B"/>
    <w:rsid w:val="001A447F"/>
    <w:rsid w:val="001A450D"/>
    <w:rsid w:val="001A4565"/>
    <w:rsid w:val="001A4571"/>
    <w:rsid w:val="001A46D6"/>
    <w:rsid w:val="001A46FB"/>
    <w:rsid w:val="001A4806"/>
    <w:rsid w:val="001A4BA5"/>
    <w:rsid w:val="001A4C74"/>
    <w:rsid w:val="001A4C90"/>
    <w:rsid w:val="001A4DC0"/>
    <w:rsid w:val="001A5085"/>
    <w:rsid w:val="001A50C4"/>
    <w:rsid w:val="001A5130"/>
    <w:rsid w:val="001A525C"/>
    <w:rsid w:val="001A5332"/>
    <w:rsid w:val="001A5407"/>
    <w:rsid w:val="001A5414"/>
    <w:rsid w:val="001A54E1"/>
    <w:rsid w:val="001A556B"/>
    <w:rsid w:val="001A5AE9"/>
    <w:rsid w:val="001A5B1C"/>
    <w:rsid w:val="001A5BB1"/>
    <w:rsid w:val="001A5BBE"/>
    <w:rsid w:val="001A5C25"/>
    <w:rsid w:val="001A5D86"/>
    <w:rsid w:val="001A5E9F"/>
    <w:rsid w:val="001A5FD2"/>
    <w:rsid w:val="001A604C"/>
    <w:rsid w:val="001A6050"/>
    <w:rsid w:val="001A612F"/>
    <w:rsid w:val="001A61D8"/>
    <w:rsid w:val="001A6272"/>
    <w:rsid w:val="001A629F"/>
    <w:rsid w:val="001A62AD"/>
    <w:rsid w:val="001A63A8"/>
    <w:rsid w:val="001A644C"/>
    <w:rsid w:val="001A6467"/>
    <w:rsid w:val="001A6473"/>
    <w:rsid w:val="001A64E0"/>
    <w:rsid w:val="001A650F"/>
    <w:rsid w:val="001A663F"/>
    <w:rsid w:val="001A6779"/>
    <w:rsid w:val="001A68A0"/>
    <w:rsid w:val="001A68E9"/>
    <w:rsid w:val="001A6A94"/>
    <w:rsid w:val="001A6B2A"/>
    <w:rsid w:val="001A6EBF"/>
    <w:rsid w:val="001A6EC7"/>
    <w:rsid w:val="001A6F79"/>
    <w:rsid w:val="001A70B3"/>
    <w:rsid w:val="001A7522"/>
    <w:rsid w:val="001A7540"/>
    <w:rsid w:val="001A7542"/>
    <w:rsid w:val="001A7633"/>
    <w:rsid w:val="001A7820"/>
    <w:rsid w:val="001A7A3C"/>
    <w:rsid w:val="001A7D26"/>
    <w:rsid w:val="001B024D"/>
    <w:rsid w:val="001B0257"/>
    <w:rsid w:val="001B02B3"/>
    <w:rsid w:val="001B02ED"/>
    <w:rsid w:val="001B02F7"/>
    <w:rsid w:val="001B0421"/>
    <w:rsid w:val="001B0481"/>
    <w:rsid w:val="001B04B3"/>
    <w:rsid w:val="001B058F"/>
    <w:rsid w:val="001B06C7"/>
    <w:rsid w:val="001B0841"/>
    <w:rsid w:val="001B09B7"/>
    <w:rsid w:val="001B09F6"/>
    <w:rsid w:val="001B0A99"/>
    <w:rsid w:val="001B0ABB"/>
    <w:rsid w:val="001B0BA4"/>
    <w:rsid w:val="001B0F81"/>
    <w:rsid w:val="001B0FA2"/>
    <w:rsid w:val="001B1081"/>
    <w:rsid w:val="001B13D9"/>
    <w:rsid w:val="001B1472"/>
    <w:rsid w:val="001B14BE"/>
    <w:rsid w:val="001B151D"/>
    <w:rsid w:val="001B153B"/>
    <w:rsid w:val="001B168D"/>
    <w:rsid w:val="001B169A"/>
    <w:rsid w:val="001B1785"/>
    <w:rsid w:val="001B182D"/>
    <w:rsid w:val="001B18E1"/>
    <w:rsid w:val="001B1960"/>
    <w:rsid w:val="001B19E2"/>
    <w:rsid w:val="001B1A4E"/>
    <w:rsid w:val="001B1AF8"/>
    <w:rsid w:val="001B1BEF"/>
    <w:rsid w:val="001B1E2E"/>
    <w:rsid w:val="001B1FD9"/>
    <w:rsid w:val="001B206E"/>
    <w:rsid w:val="001B20F4"/>
    <w:rsid w:val="001B2495"/>
    <w:rsid w:val="001B24C2"/>
    <w:rsid w:val="001B262B"/>
    <w:rsid w:val="001B26B7"/>
    <w:rsid w:val="001B2B6C"/>
    <w:rsid w:val="001B2B73"/>
    <w:rsid w:val="001B2B81"/>
    <w:rsid w:val="001B2BBC"/>
    <w:rsid w:val="001B2C86"/>
    <w:rsid w:val="001B2DE8"/>
    <w:rsid w:val="001B2DFC"/>
    <w:rsid w:val="001B2FA8"/>
    <w:rsid w:val="001B2FBB"/>
    <w:rsid w:val="001B3112"/>
    <w:rsid w:val="001B3176"/>
    <w:rsid w:val="001B31C3"/>
    <w:rsid w:val="001B32A4"/>
    <w:rsid w:val="001B32FA"/>
    <w:rsid w:val="001B33A6"/>
    <w:rsid w:val="001B33B8"/>
    <w:rsid w:val="001B349F"/>
    <w:rsid w:val="001B3519"/>
    <w:rsid w:val="001B3534"/>
    <w:rsid w:val="001B3633"/>
    <w:rsid w:val="001B36B0"/>
    <w:rsid w:val="001B37C1"/>
    <w:rsid w:val="001B38DF"/>
    <w:rsid w:val="001B3BDC"/>
    <w:rsid w:val="001B3C52"/>
    <w:rsid w:val="001B3CAC"/>
    <w:rsid w:val="001B3E2E"/>
    <w:rsid w:val="001B3E38"/>
    <w:rsid w:val="001B3E62"/>
    <w:rsid w:val="001B3F16"/>
    <w:rsid w:val="001B3F2C"/>
    <w:rsid w:val="001B3FAB"/>
    <w:rsid w:val="001B3FBE"/>
    <w:rsid w:val="001B40F8"/>
    <w:rsid w:val="001B412A"/>
    <w:rsid w:val="001B4151"/>
    <w:rsid w:val="001B4209"/>
    <w:rsid w:val="001B43EF"/>
    <w:rsid w:val="001B443F"/>
    <w:rsid w:val="001B449D"/>
    <w:rsid w:val="001B45B2"/>
    <w:rsid w:val="001B4672"/>
    <w:rsid w:val="001B489C"/>
    <w:rsid w:val="001B48F7"/>
    <w:rsid w:val="001B4902"/>
    <w:rsid w:val="001B4A66"/>
    <w:rsid w:val="001B4A82"/>
    <w:rsid w:val="001B4BB8"/>
    <w:rsid w:val="001B4BBB"/>
    <w:rsid w:val="001B4E9D"/>
    <w:rsid w:val="001B509F"/>
    <w:rsid w:val="001B50D9"/>
    <w:rsid w:val="001B5230"/>
    <w:rsid w:val="001B5266"/>
    <w:rsid w:val="001B5269"/>
    <w:rsid w:val="001B52A8"/>
    <w:rsid w:val="001B532B"/>
    <w:rsid w:val="001B5526"/>
    <w:rsid w:val="001B5621"/>
    <w:rsid w:val="001B5733"/>
    <w:rsid w:val="001B5744"/>
    <w:rsid w:val="001B574D"/>
    <w:rsid w:val="001B589F"/>
    <w:rsid w:val="001B5911"/>
    <w:rsid w:val="001B59C8"/>
    <w:rsid w:val="001B5AF3"/>
    <w:rsid w:val="001B5B0C"/>
    <w:rsid w:val="001B5C24"/>
    <w:rsid w:val="001B5C67"/>
    <w:rsid w:val="001B5C90"/>
    <w:rsid w:val="001B5CBE"/>
    <w:rsid w:val="001B5D87"/>
    <w:rsid w:val="001B6136"/>
    <w:rsid w:val="001B620E"/>
    <w:rsid w:val="001B6250"/>
    <w:rsid w:val="001B645D"/>
    <w:rsid w:val="001B6604"/>
    <w:rsid w:val="001B663E"/>
    <w:rsid w:val="001B6644"/>
    <w:rsid w:val="001B6751"/>
    <w:rsid w:val="001B6770"/>
    <w:rsid w:val="001B6ADF"/>
    <w:rsid w:val="001B6B96"/>
    <w:rsid w:val="001B6C64"/>
    <w:rsid w:val="001B6DEA"/>
    <w:rsid w:val="001B6DED"/>
    <w:rsid w:val="001B6E84"/>
    <w:rsid w:val="001B6FE6"/>
    <w:rsid w:val="001B71A8"/>
    <w:rsid w:val="001B71CD"/>
    <w:rsid w:val="001B72AF"/>
    <w:rsid w:val="001B738B"/>
    <w:rsid w:val="001B741E"/>
    <w:rsid w:val="001B7696"/>
    <w:rsid w:val="001B7979"/>
    <w:rsid w:val="001B7AC9"/>
    <w:rsid w:val="001B7CDE"/>
    <w:rsid w:val="001B7E7E"/>
    <w:rsid w:val="001B7F65"/>
    <w:rsid w:val="001B7F81"/>
    <w:rsid w:val="001C0156"/>
    <w:rsid w:val="001C02F3"/>
    <w:rsid w:val="001C04DA"/>
    <w:rsid w:val="001C04EA"/>
    <w:rsid w:val="001C06D3"/>
    <w:rsid w:val="001C06F8"/>
    <w:rsid w:val="001C0766"/>
    <w:rsid w:val="001C08A8"/>
    <w:rsid w:val="001C08D6"/>
    <w:rsid w:val="001C09DB"/>
    <w:rsid w:val="001C0A47"/>
    <w:rsid w:val="001C0ABB"/>
    <w:rsid w:val="001C0BC5"/>
    <w:rsid w:val="001C0BD4"/>
    <w:rsid w:val="001C0DB8"/>
    <w:rsid w:val="001C0F28"/>
    <w:rsid w:val="001C0F33"/>
    <w:rsid w:val="001C0F47"/>
    <w:rsid w:val="001C10F7"/>
    <w:rsid w:val="001C120E"/>
    <w:rsid w:val="001C125B"/>
    <w:rsid w:val="001C125F"/>
    <w:rsid w:val="001C1312"/>
    <w:rsid w:val="001C133C"/>
    <w:rsid w:val="001C1458"/>
    <w:rsid w:val="001C14FB"/>
    <w:rsid w:val="001C15B4"/>
    <w:rsid w:val="001C16E3"/>
    <w:rsid w:val="001C1721"/>
    <w:rsid w:val="001C1738"/>
    <w:rsid w:val="001C173C"/>
    <w:rsid w:val="001C1753"/>
    <w:rsid w:val="001C1979"/>
    <w:rsid w:val="001C19DE"/>
    <w:rsid w:val="001C1A5C"/>
    <w:rsid w:val="001C1A64"/>
    <w:rsid w:val="001C1B49"/>
    <w:rsid w:val="001C1D4A"/>
    <w:rsid w:val="001C1D4F"/>
    <w:rsid w:val="001C1E45"/>
    <w:rsid w:val="001C1FBB"/>
    <w:rsid w:val="001C2094"/>
    <w:rsid w:val="001C20AE"/>
    <w:rsid w:val="001C21C0"/>
    <w:rsid w:val="001C21F5"/>
    <w:rsid w:val="001C2235"/>
    <w:rsid w:val="001C2288"/>
    <w:rsid w:val="001C2419"/>
    <w:rsid w:val="001C264E"/>
    <w:rsid w:val="001C277E"/>
    <w:rsid w:val="001C284D"/>
    <w:rsid w:val="001C28B8"/>
    <w:rsid w:val="001C293C"/>
    <w:rsid w:val="001C297A"/>
    <w:rsid w:val="001C2A40"/>
    <w:rsid w:val="001C2A72"/>
    <w:rsid w:val="001C2BD6"/>
    <w:rsid w:val="001C2BE8"/>
    <w:rsid w:val="001C2DBC"/>
    <w:rsid w:val="001C2E0F"/>
    <w:rsid w:val="001C2E18"/>
    <w:rsid w:val="001C2E1B"/>
    <w:rsid w:val="001C2F7C"/>
    <w:rsid w:val="001C310F"/>
    <w:rsid w:val="001C3115"/>
    <w:rsid w:val="001C3137"/>
    <w:rsid w:val="001C319C"/>
    <w:rsid w:val="001C31B7"/>
    <w:rsid w:val="001C32ED"/>
    <w:rsid w:val="001C33BC"/>
    <w:rsid w:val="001C3510"/>
    <w:rsid w:val="001C38D1"/>
    <w:rsid w:val="001C38F8"/>
    <w:rsid w:val="001C38FC"/>
    <w:rsid w:val="001C39F1"/>
    <w:rsid w:val="001C3A2F"/>
    <w:rsid w:val="001C3C9A"/>
    <w:rsid w:val="001C3D12"/>
    <w:rsid w:val="001C3DBD"/>
    <w:rsid w:val="001C3E25"/>
    <w:rsid w:val="001C41A7"/>
    <w:rsid w:val="001C429F"/>
    <w:rsid w:val="001C43B4"/>
    <w:rsid w:val="001C4449"/>
    <w:rsid w:val="001C4481"/>
    <w:rsid w:val="001C4510"/>
    <w:rsid w:val="001C457A"/>
    <w:rsid w:val="001C45A7"/>
    <w:rsid w:val="001C48D4"/>
    <w:rsid w:val="001C48F6"/>
    <w:rsid w:val="001C491B"/>
    <w:rsid w:val="001C4926"/>
    <w:rsid w:val="001C49FE"/>
    <w:rsid w:val="001C4A78"/>
    <w:rsid w:val="001C4A7E"/>
    <w:rsid w:val="001C4B8E"/>
    <w:rsid w:val="001C4C5E"/>
    <w:rsid w:val="001C4CF5"/>
    <w:rsid w:val="001C4E96"/>
    <w:rsid w:val="001C4EAA"/>
    <w:rsid w:val="001C4FF2"/>
    <w:rsid w:val="001C521D"/>
    <w:rsid w:val="001C5228"/>
    <w:rsid w:val="001C5235"/>
    <w:rsid w:val="001C54C8"/>
    <w:rsid w:val="001C55CB"/>
    <w:rsid w:val="001C55F8"/>
    <w:rsid w:val="001C5604"/>
    <w:rsid w:val="001C56D8"/>
    <w:rsid w:val="001C5B51"/>
    <w:rsid w:val="001C5B71"/>
    <w:rsid w:val="001C5CEE"/>
    <w:rsid w:val="001C5DE0"/>
    <w:rsid w:val="001C5E45"/>
    <w:rsid w:val="001C5ED3"/>
    <w:rsid w:val="001C5EFE"/>
    <w:rsid w:val="001C5F8E"/>
    <w:rsid w:val="001C6031"/>
    <w:rsid w:val="001C625C"/>
    <w:rsid w:val="001C6321"/>
    <w:rsid w:val="001C640C"/>
    <w:rsid w:val="001C66CA"/>
    <w:rsid w:val="001C66CF"/>
    <w:rsid w:val="001C672F"/>
    <w:rsid w:val="001C6B38"/>
    <w:rsid w:val="001C6BB6"/>
    <w:rsid w:val="001C6CB2"/>
    <w:rsid w:val="001C6D49"/>
    <w:rsid w:val="001C6D91"/>
    <w:rsid w:val="001C6DAF"/>
    <w:rsid w:val="001C6DEB"/>
    <w:rsid w:val="001C6F8A"/>
    <w:rsid w:val="001C700D"/>
    <w:rsid w:val="001C708A"/>
    <w:rsid w:val="001C70A5"/>
    <w:rsid w:val="001C7128"/>
    <w:rsid w:val="001C719E"/>
    <w:rsid w:val="001C725B"/>
    <w:rsid w:val="001C7312"/>
    <w:rsid w:val="001C7336"/>
    <w:rsid w:val="001C744D"/>
    <w:rsid w:val="001C78A4"/>
    <w:rsid w:val="001C7953"/>
    <w:rsid w:val="001C79F8"/>
    <w:rsid w:val="001C7A28"/>
    <w:rsid w:val="001C7A82"/>
    <w:rsid w:val="001C7AAC"/>
    <w:rsid w:val="001C7BFF"/>
    <w:rsid w:val="001C7C1A"/>
    <w:rsid w:val="001C7C28"/>
    <w:rsid w:val="001C7C2D"/>
    <w:rsid w:val="001C7DBD"/>
    <w:rsid w:val="001C7E66"/>
    <w:rsid w:val="001C7F71"/>
    <w:rsid w:val="001D0227"/>
    <w:rsid w:val="001D023B"/>
    <w:rsid w:val="001D02B6"/>
    <w:rsid w:val="001D02E0"/>
    <w:rsid w:val="001D02E5"/>
    <w:rsid w:val="001D0309"/>
    <w:rsid w:val="001D030C"/>
    <w:rsid w:val="001D0377"/>
    <w:rsid w:val="001D049E"/>
    <w:rsid w:val="001D04F4"/>
    <w:rsid w:val="001D056E"/>
    <w:rsid w:val="001D05BC"/>
    <w:rsid w:val="001D06A1"/>
    <w:rsid w:val="001D0762"/>
    <w:rsid w:val="001D0799"/>
    <w:rsid w:val="001D07FC"/>
    <w:rsid w:val="001D0831"/>
    <w:rsid w:val="001D0853"/>
    <w:rsid w:val="001D0AF8"/>
    <w:rsid w:val="001D0B75"/>
    <w:rsid w:val="001D0C26"/>
    <w:rsid w:val="001D0D62"/>
    <w:rsid w:val="001D0DA1"/>
    <w:rsid w:val="001D0E55"/>
    <w:rsid w:val="001D0F6A"/>
    <w:rsid w:val="001D0F9E"/>
    <w:rsid w:val="001D104C"/>
    <w:rsid w:val="001D1059"/>
    <w:rsid w:val="001D10DB"/>
    <w:rsid w:val="001D11E0"/>
    <w:rsid w:val="001D1256"/>
    <w:rsid w:val="001D1281"/>
    <w:rsid w:val="001D12AF"/>
    <w:rsid w:val="001D13D0"/>
    <w:rsid w:val="001D13D8"/>
    <w:rsid w:val="001D1567"/>
    <w:rsid w:val="001D164B"/>
    <w:rsid w:val="001D17C7"/>
    <w:rsid w:val="001D1814"/>
    <w:rsid w:val="001D1833"/>
    <w:rsid w:val="001D1854"/>
    <w:rsid w:val="001D193A"/>
    <w:rsid w:val="001D1AEF"/>
    <w:rsid w:val="001D1B0C"/>
    <w:rsid w:val="001D1FCC"/>
    <w:rsid w:val="001D20C2"/>
    <w:rsid w:val="001D2387"/>
    <w:rsid w:val="001D23C5"/>
    <w:rsid w:val="001D241E"/>
    <w:rsid w:val="001D25C8"/>
    <w:rsid w:val="001D265F"/>
    <w:rsid w:val="001D2709"/>
    <w:rsid w:val="001D2788"/>
    <w:rsid w:val="001D29E7"/>
    <w:rsid w:val="001D2DA4"/>
    <w:rsid w:val="001D2DEB"/>
    <w:rsid w:val="001D2FFD"/>
    <w:rsid w:val="001D30D7"/>
    <w:rsid w:val="001D322F"/>
    <w:rsid w:val="001D32A1"/>
    <w:rsid w:val="001D32D2"/>
    <w:rsid w:val="001D3374"/>
    <w:rsid w:val="001D3376"/>
    <w:rsid w:val="001D33DC"/>
    <w:rsid w:val="001D3428"/>
    <w:rsid w:val="001D3450"/>
    <w:rsid w:val="001D3639"/>
    <w:rsid w:val="001D3653"/>
    <w:rsid w:val="001D367E"/>
    <w:rsid w:val="001D37D9"/>
    <w:rsid w:val="001D37E0"/>
    <w:rsid w:val="001D3869"/>
    <w:rsid w:val="001D3883"/>
    <w:rsid w:val="001D39A5"/>
    <w:rsid w:val="001D3ABA"/>
    <w:rsid w:val="001D3C09"/>
    <w:rsid w:val="001D3E44"/>
    <w:rsid w:val="001D3EF2"/>
    <w:rsid w:val="001D3F23"/>
    <w:rsid w:val="001D3F6D"/>
    <w:rsid w:val="001D3FBC"/>
    <w:rsid w:val="001D4143"/>
    <w:rsid w:val="001D41B0"/>
    <w:rsid w:val="001D4222"/>
    <w:rsid w:val="001D42DD"/>
    <w:rsid w:val="001D4301"/>
    <w:rsid w:val="001D4302"/>
    <w:rsid w:val="001D4387"/>
    <w:rsid w:val="001D43CF"/>
    <w:rsid w:val="001D448B"/>
    <w:rsid w:val="001D44E8"/>
    <w:rsid w:val="001D4532"/>
    <w:rsid w:val="001D4565"/>
    <w:rsid w:val="001D4612"/>
    <w:rsid w:val="001D46F2"/>
    <w:rsid w:val="001D4767"/>
    <w:rsid w:val="001D47A0"/>
    <w:rsid w:val="001D489F"/>
    <w:rsid w:val="001D4937"/>
    <w:rsid w:val="001D49F2"/>
    <w:rsid w:val="001D4C2F"/>
    <w:rsid w:val="001D4DF2"/>
    <w:rsid w:val="001D524D"/>
    <w:rsid w:val="001D5452"/>
    <w:rsid w:val="001D54A0"/>
    <w:rsid w:val="001D5519"/>
    <w:rsid w:val="001D5708"/>
    <w:rsid w:val="001D590F"/>
    <w:rsid w:val="001D59E4"/>
    <w:rsid w:val="001D5B14"/>
    <w:rsid w:val="001D5E87"/>
    <w:rsid w:val="001D5ECC"/>
    <w:rsid w:val="001D5F13"/>
    <w:rsid w:val="001D60EC"/>
    <w:rsid w:val="001D6245"/>
    <w:rsid w:val="001D628A"/>
    <w:rsid w:val="001D62F4"/>
    <w:rsid w:val="001D63BE"/>
    <w:rsid w:val="001D648C"/>
    <w:rsid w:val="001D669A"/>
    <w:rsid w:val="001D66A8"/>
    <w:rsid w:val="001D66B2"/>
    <w:rsid w:val="001D66E1"/>
    <w:rsid w:val="001D6736"/>
    <w:rsid w:val="001D6774"/>
    <w:rsid w:val="001D67C6"/>
    <w:rsid w:val="001D686D"/>
    <w:rsid w:val="001D68A5"/>
    <w:rsid w:val="001D6938"/>
    <w:rsid w:val="001D6B1A"/>
    <w:rsid w:val="001D6B6A"/>
    <w:rsid w:val="001D6C12"/>
    <w:rsid w:val="001D6C4C"/>
    <w:rsid w:val="001D6EFC"/>
    <w:rsid w:val="001D6F59"/>
    <w:rsid w:val="001D7070"/>
    <w:rsid w:val="001D70B9"/>
    <w:rsid w:val="001D70BF"/>
    <w:rsid w:val="001D7216"/>
    <w:rsid w:val="001D7369"/>
    <w:rsid w:val="001D7443"/>
    <w:rsid w:val="001D747B"/>
    <w:rsid w:val="001D74A8"/>
    <w:rsid w:val="001D74CD"/>
    <w:rsid w:val="001D74E9"/>
    <w:rsid w:val="001D7545"/>
    <w:rsid w:val="001D7663"/>
    <w:rsid w:val="001D76CB"/>
    <w:rsid w:val="001D7720"/>
    <w:rsid w:val="001D77D5"/>
    <w:rsid w:val="001D7907"/>
    <w:rsid w:val="001D7B73"/>
    <w:rsid w:val="001D7CAC"/>
    <w:rsid w:val="001D7DA2"/>
    <w:rsid w:val="001D7DC0"/>
    <w:rsid w:val="001D7EB1"/>
    <w:rsid w:val="001D7F02"/>
    <w:rsid w:val="001D7F49"/>
    <w:rsid w:val="001E004B"/>
    <w:rsid w:val="001E010D"/>
    <w:rsid w:val="001E01F3"/>
    <w:rsid w:val="001E01FE"/>
    <w:rsid w:val="001E030F"/>
    <w:rsid w:val="001E051F"/>
    <w:rsid w:val="001E0682"/>
    <w:rsid w:val="001E06CC"/>
    <w:rsid w:val="001E0718"/>
    <w:rsid w:val="001E07E8"/>
    <w:rsid w:val="001E0A0E"/>
    <w:rsid w:val="001E0B19"/>
    <w:rsid w:val="001E0B4F"/>
    <w:rsid w:val="001E0CC2"/>
    <w:rsid w:val="001E0CDB"/>
    <w:rsid w:val="001E0D1D"/>
    <w:rsid w:val="001E0DF8"/>
    <w:rsid w:val="001E0E5D"/>
    <w:rsid w:val="001E0E65"/>
    <w:rsid w:val="001E0F0A"/>
    <w:rsid w:val="001E0F11"/>
    <w:rsid w:val="001E0F6A"/>
    <w:rsid w:val="001E0F82"/>
    <w:rsid w:val="001E0F83"/>
    <w:rsid w:val="001E1043"/>
    <w:rsid w:val="001E10A0"/>
    <w:rsid w:val="001E10E0"/>
    <w:rsid w:val="001E119A"/>
    <w:rsid w:val="001E11D7"/>
    <w:rsid w:val="001E135C"/>
    <w:rsid w:val="001E13F8"/>
    <w:rsid w:val="001E15B6"/>
    <w:rsid w:val="001E1776"/>
    <w:rsid w:val="001E17E1"/>
    <w:rsid w:val="001E18FC"/>
    <w:rsid w:val="001E1A2A"/>
    <w:rsid w:val="001E1AC7"/>
    <w:rsid w:val="001E1BA7"/>
    <w:rsid w:val="001E1CC0"/>
    <w:rsid w:val="001E1D00"/>
    <w:rsid w:val="001E1D02"/>
    <w:rsid w:val="001E1DC3"/>
    <w:rsid w:val="001E1DD7"/>
    <w:rsid w:val="001E1DF4"/>
    <w:rsid w:val="001E205E"/>
    <w:rsid w:val="001E20F9"/>
    <w:rsid w:val="001E2176"/>
    <w:rsid w:val="001E21B5"/>
    <w:rsid w:val="001E227E"/>
    <w:rsid w:val="001E24B5"/>
    <w:rsid w:val="001E256A"/>
    <w:rsid w:val="001E2799"/>
    <w:rsid w:val="001E280F"/>
    <w:rsid w:val="001E2862"/>
    <w:rsid w:val="001E28AD"/>
    <w:rsid w:val="001E28CC"/>
    <w:rsid w:val="001E296B"/>
    <w:rsid w:val="001E296C"/>
    <w:rsid w:val="001E2989"/>
    <w:rsid w:val="001E2C0F"/>
    <w:rsid w:val="001E2CE9"/>
    <w:rsid w:val="001E2EB3"/>
    <w:rsid w:val="001E2F2E"/>
    <w:rsid w:val="001E3009"/>
    <w:rsid w:val="001E3356"/>
    <w:rsid w:val="001E344B"/>
    <w:rsid w:val="001E35EA"/>
    <w:rsid w:val="001E363F"/>
    <w:rsid w:val="001E3723"/>
    <w:rsid w:val="001E3728"/>
    <w:rsid w:val="001E390C"/>
    <w:rsid w:val="001E3926"/>
    <w:rsid w:val="001E393B"/>
    <w:rsid w:val="001E3B72"/>
    <w:rsid w:val="001E3C06"/>
    <w:rsid w:val="001E3C56"/>
    <w:rsid w:val="001E3CAD"/>
    <w:rsid w:val="001E3D2F"/>
    <w:rsid w:val="001E3DCF"/>
    <w:rsid w:val="001E3E9D"/>
    <w:rsid w:val="001E3EB8"/>
    <w:rsid w:val="001E404A"/>
    <w:rsid w:val="001E421D"/>
    <w:rsid w:val="001E427C"/>
    <w:rsid w:val="001E43A7"/>
    <w:rsid w:val="001E43D6"/>
    <w:rsid w:val="001E44B0"/>
    <w:rsid w:val="001E44DF"/>
    <w:rsid w:val="001E45C9"/>
    <w:rsid w:val="001E46D2"/>
    <w:rsid w:val="001E47CD"/>
    <w:rsid w:val="001E481F"/>
    <w:rsid w:val="001E482E"/>
    <w:rsid w:val="001E4928"/>
    <w:rsid w:val="001E4A21"/>
    <w:rsid w:val="001E4B95"/>
    <w:rsid w:val="001E4BB8"/>
    <w:rsid w:val="001E4CAD"/>
    <w:rsid w:val="001E4CEC"/>
    <w:rsid w:val="001E4D2A"/>
    <w:rsid w:val="001E4E4A"/>
    <w:rsid w:val="001E4F54"/>
    <w:rsid w:val="001E502D"/>
    <w:rsid w:val="001E51BB"/>
    <w:rsid w:val="001E525C"/>
    <w:rsid w:val="001E52BA"/>
    <w:rsid w:val="001E52F8"/>
    <w:rsid w:val="001E5326"/>
    <w:rsid w:val="001E53EB"/>
    <w:rsid w:val="001E57C1"/>
    <w:rsid w:val="001E580E"/>
    <w:rsid w:val="001E59BD"/>
    <w:rsid w:val="001E5AA8"/>
    <w:rsid w:val="001E5B04"/>
    <w:rsid w:val="001E5C06"/>
    <w:rsid w:val="001E5DB5"/>
    <w:rsid w:val="001E5EF9"/>
    <w:rsid w:val="001E5F78"/>
    <w:rsid w:val="001E5FBF"/>
    <w:rsid w:val="001E60B2"/>
    <w:rsid w:val="001E6143"/>
    <w:rsid w:val="001E61B4"/>
    <w:rsid w:val="001E61FF"/>
    <w:rsid w:val="001E621B"/>
    <w:rsid w:val="001E6229"/>
    <w:rsid w:val="001E646C"/>
    <w:rsid w:val="001E64CA"/>
    <w:rsid w:val="001E6544"/>
    <w:rsid w:val="001E65F6"/>
    <w:rsid w:val="001E670D"/>
    <w:rsid w:val="001E67A2"/>
    <w:rsid w:val="001E67CA"/>
    <w:rsid w:val="001E68A5"/>
    <w:rsid w:val="001E68E1"/>
    <w:rsid w:val="001E6966"/>
    <w:rsid w:val="001E69C5"/>
    <w:rsid w:val="001E69CB"/>
    <w:rsid w:val="001E6A4F"/>
    <w:rsid w:val="001E6AEE"/>
    <w:rsid w:val="001E6B83"/>
    <w:rsid w:val="001E6BA4"/>
    <w:rsid w:val="001E6BB0"/>
    <w:rsid w:val="001E6BC2"/>
    <w:rsid w:val="001E6C8D"/>
    <w:rsid w:val="001E6D45"/>
    <w:rsid w:val="001E6DAF"/>
    <w:rsid w:val="001E6DF4"/>
    <w:rsid w:val="001E6EBF"/>
    <w:rsid w:val="001E6EC3"/>
    <w:rsid w:val="001E6FAB"/>
    <w:rsid w:val="001E7089"/>
    <w:rsid w:val="001E7282"/>
    <w:rsid w:val="001E728C"/>
    <w:rsid w:val="001E7363"/>
    <w:rsid w:val="001E75A2"/>
    <w:rsid w:val="001E771C"/>
    <w:rsid w:val="001E7751"/>
    <w:rsid w:val="001E776C"/>
    <w:rsid w:val="001E7837"/>
    <w:rsid w:val="001E78A9"/>
    <w:rsid w:val="001E793C"/>
    <w:rsid w:val="001E7A0B"/>
    <w:rsid w:val="001E7A9B"/>
    <w:rsid w:val="001E7B0E"/>
    <w:rsid w:val="001E7B10"/>
    <w:rsid w:val="001E7BF8"/>
    <w:rsid w:val="001E7C50"/>
    <w:rsid w:val="001E7CD3"/>
    <w:rsid w:val="001E7CE1"/>
    <w:rsid w:val="001E7D62"/>
    <w:rsid w:val="001E7D6F"/>
    <w:rsid w:val="001E7E5F"/>
    <w:rsid w:val="001F0012"/>
    <w:rsid w:val="001F01E3"/>
    <w:rsid w:val="001F02C4"/>
    <w:rsid w:val="001F032E"/>
    <w:rsid w:val="001F036E"/>
    <w:rsid w:val="001F043F"/>
    <w:rsid w:val="001F04BA"/>
    <w:rsid w:val="001F04C6"/>
    <w:rsid w:val="001F058C"/>
    <w:rsid w:val="001F058E"/>
    <w:rsid w:val="001F05E3"/>
    <w:rsid w:val="001F0649"/>
    <w:rsid w:val="001F0737"/>
    <w:rsid w:val="001F07CC"/>
    <w:rsid w:val="001F0863"/>
    <w:rsid w:val="001F09AB"/>
    <w:rsid w:val="001F09E9"/>
    <w:rsid w:val="001F0B54"/>
    <w:rsid w:val="001F0C75"/>
    <w:rsid w:val="001F0C90"/>
    <w:rsid w:val="001F0E0C"/>
    <w:rsid w:val="001F0E2B"/>
    <w:rsid w:val="001F0E6D"/>
    <w:rsid w:val="001F0EA1"/>
    <w:rsid w:val="001F0F2E"/>
    <w:rsid w:val="001F0F47"/>
    <w:rsid w:val="001F0F78"/>
    <w:rsid w:val="001F10DC"/>
    <w:rsid w:val="001F1252"/>
    <w:rsid w:val="001F1517"/>
    <w:rsid w:val="001F153C"/>
    <w:rsid w:val="001F15D9"/>
    <w:rsid w:val="001F17E6"/>
    <w:rsid w:val="001F18B6"/>
    <w:rsid w:val="001F190E"/>
    <w:rsid w:val="001F1A11"/>
    <w:rsid w:val="001F1A1D"/>
    <w:rsid w:val="001F1ADC"/>
    <w:rsid w:val="001F1B13"/>
    <w:rsid w:val="001F1B4F"/>
    <w:rsid w:val="001F1C3A"/>
    <w:rsid w:val="001F1C3D"/>
    <w:rsid w:val="001F1CB9"/>
    <w:rsid w:val="001F1DBB"/>
    <w:rsid w:val="001F1E4A"/>
    <w:rsid w:val="001F2176"/>
    <w:rsid w:val="001F226C"/>
    <w:rsid w:val="001F2274"/>
    <w:rsid w:val="001F24D0"/>
    <w:rsid w:val="001F250E"/>
    <w:rsid w:val="001F2525"/>
    <w:rsid w:val="001F255A"/>
    <w:rsid w:val="001F26C5"/>
    <w:rsid w:val="001F2709"/>
    <w:rsid w:val="001F2738"/>
    <w:rsid w:val="001F2783"/>
    <w:rsid w:val="001F2833"/>
    <w:rsid w:val="001F2966"/>
    <w:rsid w:val="001F2967"/>
    <w:rsid w:val="001F29A2"/>
    <w:rsid w:val="001F2AEA"/>
    <w:rsid w:val="001F2AF3"/>
    <w:rsid w:val="001F2B61"/>
    <w:rsid w:val="001F2B63"/>
    <w:rsid w:val="001F2C48"/>
    <w:rsid w:val="001F2C82"/>
    <w:rsid w:val="001F2C85"/>
    <w:rsid w:val="001F2DD5"/>
    <w:rsid w:val="001F2E25"/>
    <w:rsid w:val="001F2E26"/>
    <w:rsid w:val="001F3095"/>
    <w:rsid w:val="001F3281"/>
    <w:rsid w:val="001F3380"/>
    <w:rsid w:val="001F343C"/>
    <w:rsid w:val="001F3460"/>
    <w:rsid w:val="001F3494"/>
    <w:rsid w:val="001F34BD"/>
    <w:rsid w:val="001F34DE"/>
    <w:rsid w:val="001F36F5"/>
    <w:rsid w:val="001F3826"/>
    <w:rsid w:val="001F3884"/>
    <w:rsid w:val="001F394D"/>
    <w:rsid w:val="001F3D1D"/>
    <w:rsid w:val="001F3DBF"/>
    <w:rsid w:val="001F3E8B"/>
    <w:rsid w:val="001F3E8F"/>
    <w:rsid w:val="001F3E97"/>
    <w:rsid w:val="001F3ECE"/>
    <w:rsid w:val="001F3F60"/>
    <w:rsid w:val="001F419C"/>
    <w:rsid w:val="001F41AB"/>
    <w:rsid w:val="001F41B4"/>
    <w:rsid w:val="001F431F"/>
    <w:rsid w:val="001F462C"/>
    <w:rsid w:val="001F4630"/>
    <w:rsid w:val="001F475B"/>
    <w:rsid w:val="001F477F"/>
    <w:rsid w:val="001F4823"/>
    <w:rsid w:val="001F4BE0"/>
    <w:rsid w:val="001F4CD4"/>
    <w:rsid w:val="001F4D07"/>
    <w:rsid w:val="001F4E69"/>
    <w:rsid w:val="001F4ECC"/>
    <w:rsid w:val="001F4ECE"/>
    <w:rsid w:val="001F4F7C"/>
    <w:rsid w:val="001F4FAE"/>
    <w:rsid w:val="001F5025"/>
    <w:rsid w:val="001F502D"/>
    <w:rsid w:val="001F51BF"/>
    <w:rsid w:val="001F51CA"/>
    <w:rsid w:val="001F520A"/>
    <w:rsid w:val="001F545E"/>
    <w:rsid w:val="001F5471"/>
    <w:rsid w:val="001F55C4"/>
    <w:rsid w:val="001F56EB"/>
    <w:rsid w:val="001F5B6C"/>
    <w:rsid w:val="001F5D00"/>
    <w:rsid w:val="001F5EDA"/>
    <w:rsid w:val="001F5F53"/>
    <w:rsid w:val="001F5FA7"/>
    <w:rsid w:val="001F5FDA"/>
    <w:rsid w:val="001F61C1"/>
    <w:rsid w:val="001F625C"/>
    <w:rsid w:val="001F6748"/>
    <w:rsid w:val="001F6916"/>
    <w:rsid w:val="001F6970"/>
    <w:rsid w:val="001F6974"/>
    <w:rsid w:val="001F69DA"/>
    <w:rsid w:val="001F6A7F"/>
    <w:rsid w:val="001F6B18"/>
    <w:rsid w:val="001F6B37"/>
    <w:rsid w:val="001F6DD2"/>
    <w:rsid w:val="001F6DE4"/>
    <w:rsid w:val="001F6E00"/>
    <w:rsid w:val="001F6E46"/>
    <w:rsid w:val="001F6EA6"/>
    <w:rsid w:val="001F7011"/>
    <w:rsid w:val="001F709D"/>
    <w:rsid w:val="001F70A5"/>
    <w:rsid w:val="001F716B"/>
    <w:rsid w:val="001F71FE"/>
    <w:rsid w:val="001F726F"/>
    <w:rsid w:val="001F7529"/>
    <w:rsid w:val="001F7558"/>
    <w:rsid w:val="001F76DA"/>
    <w:rsid w:val="001F7755"/>
    <w:rsid w:val="001F784C"/>
    <w:rsid w:val="001F7871"/>
    <w:rsid w:val="001F7912"/>
    <w:rsid w:val="001F7A44"/>
    <w:rsid w:val="001F7A61"/>
    <w:rsid w:val="001F7B26"/>
    <w:rsid w:val="001F7C8F"/>
    <w:rsid w:val="001F7C91"/>
    <w:rsid w:val="001F7E54"/>
    <w:rsid w:val="001F7F5D"/>
    <w:rsid w:val="0020007E"/>
    <w:rsid w:val="002000CA"/>
    <w:rsid w:val="00200180"/>
    <w:rsid w:val="0020073C"/>
    <w:rsid w:val="00200852"/>
    <w:rsid w:val="002009D0"/>
    <w:rsid w:val="00200C8C"/>
    <w:rsid w:val="00200C91"/>
    <w:rsid w:val="00200E4D"/>
    <w:rsid w:val="002010A5"/>
    <w:rsid w:val="0020110A"/>
    <w:rsid w:val="002014AE"/>
    <w:rsid w:val="00201627"/>
    <w:rsid w:val="0020173D"/>
    <w:rsid w:val="002017A8"/>
    <w:rsid w:val="002018F6"/>
    <w:rsid w:val="0020194E"/>
    <w:rsid w:val="00201989"/>
    <w:rsid w:val="00201A62"/>
    <w:rsid w:val="00201AA9"/>
    <w:rsid w:val="00201B4E"/>
    <w:rsid w:val="00201B68"/>
    <w:rsid w:val="00201CB2"/>
    <w:rsid w:val="00201D38"/>
    <w:rsid w:val="00201E38"/>
    <w:rsid w:val="00201FED"/>
    <w:rsid w:val="00202023"/>
    <w:rsid w:val="00202080"/>
    <w:rsid w:val="0020212A"/>
    <w:rsid w:val="002023C5"/>
    <w:rsid w:val="0020244E"/>
    <w:rsid w:val="00202629"/>
    <w:rsid w:val="0020268B"/>
    <w:rsid w:val="002027C3"/>
    <w:rsid w:val="00202893"/>
    <w:rsid w:val="002029E9"/>
    <w:rsid w:val="002029FA"/>
    <w:rsid w:val="00202A40"/>
    <w:rsid w:val="00202A74"/>
    <w:rsid w:val="00202A75"/>
    <w:rsid w:val="00202A7F"/>
    <w:rsid w:val="00202C3F"/>
    <w:rsid w:val="00202C9D"/>
    <w:rsid w:val="00202CAB"/>
    <w:rsid w:val="00202CB6"/>
    <w:rsid w:val="00202D44"/>
    <w:rsid w:val="00202E1A"/>
    <w:rsid w:val="00203078"/>
    <w:rsid w:val="002030F5"/>
    <w:rsid w:val="00203197"/>
    <w:rsid w:val="002032F9"/>
    <w:rsid w:val="0020337C"/>
    <w:rsid w:val="002033B7"/>
    <w:rsid w:val="0020352E"/>
    <w:rsid w:val="002035B9"/>
    <w:rsid w:val="0020372D"/>
    <w:rsid w:val="002037AA"/>
    <w:rsid w:val="002037BA"/>
    <w:rsid w:val="00203872"/>
    <w:rsid w:val="00203896"/>
    <w:rsid w:val="00203922"/>
    <w:rsid w:val="00203A0D"/>
    <w:rsid w:val="00203C27"/>
    <w:rsid w:val="00203E91"/>
    <w:rsid w:val="00203EA0"/>
    <w:rsid w:val="00203ED8"/>
    <w:rsid w:val="00203EDC"/>
    <w:rsid w:val="00203FB1"/>
    <w:rsid w:val="002041A2"/>
    <w:rsid w:val="002043C3"/>
    <w:rsid w:val="002043CE"/>
    <w:rsid w:val="00204481"/>
    <w:rsid w:val="00204639"/>
    <w:rsid w:val="002047E8"/>
    <w:rsid w:val="002049B1"/>
    <w:rsid w:val="00204A38"/>
    <w:rsid w:val="00204ADB"/>
    <w:rsid w:val="00204CBF"/>
    <w:rsid w:val="00204D71"/>
    <w:rsid w:val="00204E73"/>
    <w:rsid w:val="00204EB7"/>
    <w:rsid w:val="00205172"/>
    <w:rsid w:val="002051E2"/>
    <w:rsid w:val="002051EB"/>
    <w:rsid w:val="002052CF"/>
    <w:rsid w:val="002054A7"/>
    <w:rsid w:val="002056A7"/>
    <w:rsid w:val="002056D6"/>
    <w:rsid w:val="00205874"/>
    <w:rsid w:val="00205A24"/>
    <w:rsid w:val="00205AF5"/>
    <w:rsid w:val="00205B24"/>
    <w:rsid w:val="00205C1D"/>
    <w:rsid w:val="00205CE3"/>
    <w:rsid w:val="00205D3F"/>
    <w:rsid w:val="00205E17"/>
    <w:rsid w:val="00205F6F"/>
    <w:rsid w:val="00205FD4"/>
    <w:rsid w:val="00205FD6"/>
    <w:rsid w:val="00205FE4"/>
    <w:rsid w:val="002060E2"/>
    <w:rsid w:val="00206282"/>
    <w:rsid w:val="00206382"/>
    <w:rsid w:val="0020638A"/>
    <w:rsid w:val="002063F1"/>
    <w:rsid w:val="00206463"/>
    <w:rsid w:val="00206812"/>
    <w:rsid w:val="00206822"/>
    <w:rsid w:val="00206824"/>
    <w:rsid w:val="0020693E"/>
    <w:rsid w:val="002069CA"/>
    <w:rsid w:val="002069ED"/>
    <w:rsid w:val="00206C45"/>
    <w:rsid w:val="00206CCC"/>
    <w:rsid w:val="00206D15"/>
    <w:rsid w:val="00206E22"/>
    <w:rsid w:val="00206E49"/>
    <w:rsid w:val="00206E67"/>
    <w:rsid w:val="00206F2F"/>
    <w:rsid w:val="0020702B"/>
    <w:rsid w:val="002073B1"/>
    <w:rsid w:val="00207431"/>
    <w:rsid w:val="002075C4"/>
    <w:rsid w:val="002076B2"/>
    <w:rsid w:val="002076FA"/>
    <w:rsid w:val="00207717"/>
    <w:rsid w:val="00207A25"/>
    <w:rsid w:val="00207BA0"/>
    <w:rsid w:val="00207BA9"/>
    <w:rsid w:val="00207CB0"/>
    <w:rsid w:val="00207CB1"/>
    <w:rsid w:val="00207DD4"/>
    <w:rsid w:val="00207E5F"/>
    <w:rsid w:val="00210006"/>
    <w:rsid w:val="00210122"/>
    <w:rsid w:val="00210194"/>
    <w:rsid w:val="00210203"/>
    <w:rsid w:val="00210219"/>
    <w:rsid w:val="0021022D"/>
    <w:rsid w:val="00210258"/>
    <w:rsid w:val="00210261"/>
    <w:rsid w:val="00210267"/>
    <w:rsid w:val="0021040E"/>
    <w:rsid w:val="00210516"/>
    <w:rsid w:val="0021053D"/>
    <w:rsid w:val="0021054C"/>
    <w:rsid w:val="00210882"/>
    <w:rsid w:val="0021090B"/>
    <w:rsid w:val="0021093C"/>
    <w:rsid w:val="0021098C"/>
    <w:rsid w:val="00210A60"/>
    <w:rsid w:val="00210A92"/>
    <w:rsid w:val="00210B39"/>
    <w:rsid w:val="00210BEB"/>
    <w:rsid w:val="00210C86"/>
    <w:rsid w:val="00210CF3"/>
    <w:rsid w:val="00210DC6"/>
    <w:rsid w:val="00210EAD"/>
    <w:rsid w:val="00211095"/>
    <w:rsid w:val="00211141"/>
    <w:rsid w:val="002112F4"/>
    <w:rsid w:val="00211432"/>
    <w:rsid w:val="002114E8"/>
    <w:rsid w:val="00211590"/>
    <w:rsid w:val="002115A8"/>
    <w:rsid w:val="0021166A"/>
    <w:rsid w:val="00211790"/>
    <w:rsid w:val="002118C5"/>
    <w:rsid w:val="002118DB"/>
    <w:rsid w:val="00211922"/>
    <w:rsid w:val="002119B3"/>
    <w:rsid w:val="00211E0B"/>
    <w:rsid w:val="00211ED4"/>
    <w:rsid w:val="00212172"/>
    <w:rsid w:val="0021231A"/>
    <w:rsid w:val="00212383"/>
    <w:rsid w:val="002123A8"/>
    <w:rsid w:val="00212532"/>
    <w:rsid w:val="00212546"/>
    <w:rsid w:val="0021270C"/>
    <w:rsid w:val="00212894"/>
    <w:rsid w:val="00212910"/>
    <w:rsid w:val="002129A7"/>
    <w:rsid w:val="00212ADA"/>
    <w:rsid w:val="00212B09"/>
    <w:rsid w:val="00212B95"/>
    <w:rsid w:val="00212C0D"/>
    <w:rsid w:val="00212D81"/>
    <w:rsid w:val="00212D83"/>
    <w:rsid w:val="00212DB2"/>
    <w:rsid w:val="00212EE1"/>
    <w:rsid w:val="0021318B"/>
    <w:rsid w:val="002133D2"/>
    <w:rsid w:val="0021343E"/>
    <w:rsid w:val="00213626"/>
    <w:rsid w:val="0021364A"/>
    <w:rsid w:val="00213677"/>
    <w:rsid w:val="002138A6"/>
    <w:rsid w:val="0021398E"/>
    <w:rsid w:val="002139BA"/>
    <w:rsid w:val="00213C24"/>
    <w:rsid w:val="00213E55"/>
    <w:rsid w:val="00213EF8"/>
    <w:rsid w:val="00214057"/>
    <w:rsid w:val="00214094"/>
    <w:rsid w:val="002140ED"/>
    <w:rsid w:val="002141EF"/>
    <w:rsid w:val="0021432C"/>
    <w:rsid w:val="002144D2"/>
    <w:rsid w:val="00214531"/>
    <w:rsid w:val="0021457A"/>
    <w:rsid w:val="0021462E"/>
    <w:rsid w:val="00214640"/>
    <w:rsid w:val="00214815"/>
    <w:rsid w:val="00214897"/>
    <w:rsid w:val="002148F9"/>
    <w:rsid w:val="0021495D"/>
    <w:rsid w:val="00214A68"/>
    <w:rsid w:val="00214AFE"/>
    <w:rsid w:val="00214DC5"/>
    <w:rsid w:val="00214EEE"/>
    <w:rsid w:val="0021512E"/>
    <w:rsid w:val="00215293"/>
    <w:rsid w:val="002152CB"/>
    <w:rsid w:val="002153F7"/>
    <w:rsid w:val="00215595"/>
    <w:rsid w:val="00215631"/>
    <w:rsid w:val="002158C5"/>
    <w:rsid w:val="002158DC"/>
    <w:rsid w:val="00215B14"/>
    <w:rsid w:val="00215C80"/>
    <w:rsid w:val="00215CC8"/>
    <w:rsid w:val="00215D00"/>
    <w:rsid w:val="00215D6D"/>
    <w:rsid w:val="00215DC8"/>
    <w:rsid w:val="00215EE1"/>
    <w:rsid w:val="00216035"/>
    <w:rsid w:val="002160E2"/>
    <w:rsid w:val="00216294"/>
    <w:rsid w:val="00216297"/>
    <w:rsid w:val="00216320"/>
    <w:rsid w:val="0021642D"/>
    <w:rsid w:val="002164AE"/>
    <w:rsid w:val="0021652F"/>
    <w:rsid w:val="00216A0A"/>
    <w:rsid w:val="00216AB3"/>
    <w:rsid w:val="00216B88"/>
    <w:rsid w:val="00216BAA"/>
    <w:rsid w:val="00216C03"/>
    <w:rsid w:val="00216C80"/>
    <w:rsid w:val="00216DFF"/>
    <w:rsid w:val="00216E93"/>
    <w:rsid w:val="00216FCB"/>
    <w:rsid w:val="00216FF8"/>
    <w:rsid w:val="00217032"/>
    <w:rsid w:val="0021719B"/>
    <w:rsid w:val="00217355"/>
    <w:rsid w:val="00217367"/>
    <w:rsid w:val="0021737F"/>
    <w:rsid w:val="00217575"/>
    <w:rsid w:val="0021765D"/>
    <w:rsid w:val="002176EC"/>
    <w:rsid w:val="002177FE"/>
    <w:rsid w:val="00217AA7"/>
    <w:rsid w:val="00217B45"/>
    <w:rsid w:val="00217B52"/>
    <w:rsid w:val="00217BE5"/>
    <w:rsid w:val="00217C24"/>
    <w:rsid w:val="00217C58"/>
    <w:rsid w:val="00217DBD"/>
    <w:rsid w:val="00217DEB"/>
    <w:rsid w:val="002200F4"/>
    <w:rsid w:val="00220146"/>
    <w:rsid w:val="002201B1"/>
    <w:rsid w:val="002201EA"/>
    <w:rsid w:val="00220362"/>
    <w:rsid w:val="0022038B"/>
    <w:rsid w:val="002203C1"/>
    <w:rsid w:val="00220473"/>
    <w:rsid w:val="002204DA"/>
    <w:rsid w:val="002204DB"/>
    <w:rsid w:val="002205B1"/>
    <w:rsid w:val="00220891"/>
    <w:rsid w:val="00220A1A"/>
    <w:rsid w:val="00220B20"/>
    <w:rsid w:val="00220C04"/>
    <w:rsid w:val="00220C2D"/>
    <w:rsid w:val="00220CCA"/>
    <w:rsid w:val="00220D0B"/>
    <w:rsid w:val="00220D1A"/>
    <w:rsid w:val="00220E70"/>
    <w:rsid w:val="00220E92"/>
    <w:rsid w:val="0022101A"/>
    <w:rsid w:val="00221038"/>
    <w:rsid w:val="002210CF"/>
    <w:rsid w:val="002211DC"/>
    <w:rsid w:val="002211E0"/>
    <w:rsid w:val="00221257"/>
    <w:rsid w:val="002212B7"/>
    <w:rsid w:val="002212D6"/>
    <w:rsid w:val="00221341"/>
    <w:rsid w:val="002215DB"/>
    <w:rsid w:val="00221642"/>
    <w:rsid w:val="002217F5"/>
    <w:rsid w:val="002218F0"/>
    <w:rsid w:val="00221ADE"/>
    <w:rsid w:val="00221B37"/>
    <w:rsid w:val="00221B38"/>
    <w:rsid w:val="00221B7D"/>
    <w:rsid w:val="00221B8A"/>
    <w:rsid w:val="00221C29"/>
    <w:rsid w:val="00221C63"/>
    <w:rsid w:val="00221C76"/>
    <w:rsid w:val="00221C99"/>
    <w:rsid w:val="00221D23"/>
    <w:rsid w:val="00221D6D"/>
    <w:rsid w:val="00221FBA"/>
    <w:rsid w:val="00222080"/>
    <w:rsid w:val="002220A2"/>
    <w:rsid w:val="002220E2"/>
    <w:rsid w:val="002221AD"/>
    <w:rsid w:val="002222EB"/>
    <w:rsid w:val="002226DC"/>
    <w:rsid w:val="00222741"/>
    <w:rsid w:val="00222750"/>
    <w:rsid w:val="0022278D"/>
    <w:rsid w:val="00222794"/>
    <w:rsid w:val="002227B4"/>
    <w:rsid w:val="0022283F"/>
    <w:rsid w:val="00222893"/>
    <w:rsid w:val="002228B9"/>
    <w:rsid w:val="002229F2"/>
    <w:rsid w:val="00222A72"/>
    <w:rsid w:val="00222AB7"/>
    <w:rsid w:val="00222C25"/>
    <w:rsid w:val="00222D31"/>
    <w:rsid w:val="00222D8B"/>
    <w:rsid w:val="00222DC3"/>
    <w:rsid w:val="0022304D"/>
    <w:rsid w:val="002230BE"/>
    <w:rsid w:val="002230EA"/>
    <w:rsid w:val="002231B9"/>
    <w:rsid w:val="00223200"/>
    <w:rsid w:val="00223242"/>
    <w:rsid w:val="00223498"/>
    <w:rsid w:val="002234C9"/>
    <w:rsid w:val="0022358B"/>
    <w:rsid w:val="002235BC"/>
    <w:rsid w:val="002237BB"/>
    <w:rsid w:val="0022380D"/>
    <w:rsid w:val="002238DC"/>
    <w:rsid w:val="002238EC"/>
    <w:rsid w:val="002239F9"/>
    <w:rsid w:val="00223A18"/>
    <w:rsid w:val="00223A2F"/>
    <w:rsid w:val="00223A7D"/>
    <w:rsid w:val="00223A91"/>
    <w:rsid w:val="00223C6D"/>
    <w:rsid w:val="00223CB5"/>
    <w:rsid w:val="00223CF6"/>
    <w:rsid w:val="00223F9C"/>
    <w:rsid w:val="00224203"/>
    <w:rsid w:val="00224390"/>
    <w:rsid w:val="0022440A"/>
    <w:rsid w:val="0022446A"/>
    <w:rsid w:val="00224556"/>
    <w:rsid w:val="00224690"/>
    <w:rsid w:val="002247E2"/>
    <w:rsid w:val="002248E0"/>
    <w:rsid w:val="0022490B"/>
    <w:rsid w:val="00224A10"/>
    <w:rsid w:val="00224ABD"/>
    <w:rsid w:val="00224F6D"/>
    <w:rsid w:val="00225012"/>
    <w:rsid w:val="00225057"/>
    <w:rsid w:val="00225136"/>
    <w:rsid w:val="0022515A"/>
    <w:rsid w:val="002251CD"/>
    <w:rsid w:val="002251FD"/>
    <w:rsid w:val="00225241"/>
    <w:rsid w:val="0022524D"/>
    <w:rsid w:val="00225422"/>
    <w:rsid w:val="002256AC"/>
    <w:rsid w:val="00225782"/>
    <w:rsid w:val="00225893"/>
    <w:rsid w:val="002258DF"/>
    <w:rsid w:val="00225C73"/>
    <w:rsid w:val="00225DC9"/>
    <w:rsid w:val="00225E0F"/>
    <w:rsid w:val="00225E55"/>
    <w:rsid w:val="00226061"/>
    <w:rsid w:val="002260E2"/>
    <w:rsid w:val="002260F2"/>
    <w:rsid w:val="0022612F"/>
    <w:rsid w:val="00226189"/>
    <w:rsid w:val="0022619A"/>
    <w:rsid w:val="002261B3"/>
    <w:rsid w:val="00226236"/>
    <w:rsid w:val="00226328"/>
    <w:rsid w:val="00226412"/>
    <w:rsid w:val="002264A6"/>
    <w:rsid w:val="002264AA"/>
    <w:rsid w:val="002265A5"/>
    <w:rsid w:val="0022669D"/>
    <w:rsid w:val="002266D6"/>
    <w:rsid w:val="002268BF"/>
    <w:rsid w:val="00226A60"/>
    <w:rsid w:val="00226B23"/>
    <w:rsid w:val="00226D50"/>
    <w:rsid w:val="00226E4C"/>
    <w:rsid w:val="00226F44"/>
    <w:rsid w:val="00226FA4"/>
    <w:rsid w:val="00226FF6"/>
    <w:rsid w:val="0022701F"/>
    <w:rsid w:val="00227035"/>
    <w:rsid w:val="0022704F"/>
    <w:rsid w:val="00227081"/>
    <w:rsid w:val="0022718C"/>
    <w:rsid w:val="0022777D"/>
    <w:rsid w:val="002277DC"/>
    <w:rsid w:val="00227AEA"/>
    <w:rsid w:val="00227C68"/>
    <w:rsid w:val="00227D35"/>
    <w:rsid w:val="00227D75"/>
    <w:rsid w:val="00227F5B"/>
    <w:rsid w:val="00227F65"/>
    <w:rsid w:val="00230028"/>
    <w:rsid w:val="00230197"/>
    <w:rsid w:val="002301A6"/>
    <w:rsid w:val="002301CF"/>
    <w:rsid w:val="0023024D"/>
    <w:rsid w:val="0023026D"/>
    <w:rsid w:val="00230489"/>
    <w:rsid w:val="0023050F"/>
    <w:rsid w:val="0023063E"/>
    <w:rsid w:val="002306E2"/>
    <w:rsid w:val="002308C6"/>
    <w:rsid w:val="002309CF"/>
    <w:rsid w:val="00230A25"/>
    <w:rsid w:val="00230AEA"/>
    <w:rsid w:val="00230AF8"/>
    <w:rsid w:val="00230BD2"/>
    <w:rsid w:val="00230CFE"/>
    <w:rsid w:val="00230D05"/>
    <w:rsid w:val="00230D61"/>
    <w:rsid w:val="00230E9D"/>
    <w:rsid w:val="00230F40"/>
    <w:rsid w:val="00230FDB"/>
    <w:rsid w:val="002310C1"/>
    <w:rsid w:val="00231196"/>
    <w:rsid w:val="002311E0"/>
    <w:rsid w:val="002312E0"/>
    <w:rsid w:val="0023143D"/>
    <w:rsid w:val="0023151C"/>
    <w:rsid w:val="00231590"/>
    <w:rsid w:val="00231661"/>
    <w:rsid w:val="0023183E"/>
    <w:rsid w:val="002318A1"/>
    <w:rsid w:val="00231A44"/>
    <w:rsid w:val="00231B23"/>
    <w:rsid w:val="00231C1B"/>
    <w:rsid w:val="00231CBF"/>
    <w:rsid w:val="00231E70"/>
    <w:rsid w:val="0023200F"/>
    <w:rsid w:val="0023207C"/>
    <w:rsid w:val="00232168"/>
    <w:rsid w:val="002321C0"/>
    <w:rsid w:val="0023241D"/>
    <w:rsid w:val="00232435"/>
    <w:rsid w:val="002324CE"/>
    <w:rsid w:val="00232543"/>
    <w:rsid w:val="002326AC"/>
    <w:rsid w:val="00232860"/>
    <w:rsid w:val="002328EF"/>
    <w:rsid w:val="00232A1A"/>
    <w:rsid w:val="00232D0C"/>
    <w:rsid w:val="00232D50"/>
    <w:rsid w:val="00232EE9"/>
    <w:rsid w:val="00232F51"/>
    <w:rsid w:val="00233159"/>
    <w:rsid w:val="002332AA"/>
    <w:rsid w:val="002332E8"/>
    <w:rsid w:val="0023339A"/>
    <w:rsid w:val="002333F5"/>
    <w:rsid w:val="0023343C"/>
    <w:rsid w:val="00233502"/>
    <w:rsid w:val="00233520"/>
    <w:rsid w:val="002335E5"/>
    <w:rsid w:val="00233724"/>
    <w:rsid w:val="002338C1"/>
    <w:rsid w:val="00233A45"/>
    <w:rsid w:val="00233C8F"/>
    <w:rsid w:val="00233CCD"/>
    <w:rsid w:val="00233CD6"/>
    <w:rsid w:val="00233EC5"/>
    <w:rsid w:val="00233EE4"/>
    <w:rsid w:val="00233F1A"/>
    <w:rsid w:val="002340D4"/>
    <w:rsid w:val="002341DC"/>
    <w:rsid w:val="002341EB"/>
    <w:rsid w:val="002342AE"/>
    <w:rsid w:val="002343C3"/>
    <w:rsid w:val="0023483F"/>
    <w:rsid w:val="00234866"/>
    <w:rsid w:val="0023493A"/>
    <w:rsid w:val="002349AC"/>
    <w:rsid w:val="002349AF"/>
    <w:rsid w:val="00234A1A"/>
    <w:rsid w:val="00234A2F"/>
    <w:rsid w:val="00234AB1"/>
    <w:rsid w:val="00234BD1"/>
    <w:rsid w:val="00234BE8"/>
    <w:rsid w:val="00234D99"/>
    <w:rsid w:val="00234E3F"/>
    <w:rsid w:val="00234F4F"/>
    <w:rsid w:val="00235009"/>
    <w:rsid w:val="002350B7"/>
    <w:rsid w:val="00235226"/>
    <w:rsid w:val="0023523E"/>
    <w:rsid w:val="00235246"/>
    <w:rsid w:val="002352DD"/>
    <w:rsid w:val="002354BC"/>
    <w:rsid w:val="002354D4"/>
    <w:rsid w:val="0023560F"/>
    <w:rsid w:val="00235706"/>
    <w:rsid w:val="002359C9"/>
    <w:rsid w:val="00235C97"/>
    <w:rsid w:val="00235C98"/>
    <w:rsid w:val="00235DBD"/>
    <w:rsid w:val="00235EA3"/>
    <w:rsid w:val="00236095"/>
    <w:rsid w:val="002360E4"/>
    <w:rsid w:val="00236156"/>
    <w:rsid w:val="002361D6"/>
    <w:rsid w:val="00236223"/>
    <w:rsid w:val="00236243"/>
    <w:rsid w:val="00236286"/>
    <w:rsid w:val="002362BF"/>
    <w:rsid w:val="00236372"/>
    <w:rsid w:val="0023638B"/>
    <w:rsid w:val="00236525"/>
    <w:rsid w:val="00236592"/>
    <w:rsid w:val="002365B4"/>
    <w:rsid w:val="002366FE"/>
    <w:rsid w:val="002367F2"/>
    <w:rsid w:val="002367FB"/>
    <w:rsid w:val="002368A1"/>
    <w:rsid w:val="00236982"/>
    <w:rsid w:val="00236A85"/>
    <w:rsid w:val="00236CCC"/>
    <w:rsid w:val="00236CD9"/>
    <w:rsid w:val="00236D29"/>
    <w:rsid w:val="00236D37"/>
    <w:rsid w:val="00236E1D"/>
    <w:rsid w:val="00236F66"/>
    <w:rsid w:val="00237263"/>
    <w:rsid w:val="002372E4"/>
    <w:rsid w:val="00237314"/>
    <w:rsid w:val="002373B2"/>
    <w:rsid w:val="002374B9"/>
    <w:rsid w:val="002377B3"/>
    <w:rsid w:val="002378E2"/>
    <w:rsid w:val="00237AA1"/>
    <w:rsid w:val="00237B43"/>
    <w:rsid w:val="00237C64"/>
    <w:rsid w:val="00237C6F"/>
    <w:rsid w:val="00237CCA"/>
    <w:rsid w:val="00237EF2"/>
    <w:rsid w:val="00237F08"/>
    <w:rsid w:val="00237FBF"/>
    <w:rsid w:val="0024008C"/>
    <w:rsid w:val="0024008E"/>
    <w:rsid w:val="002400D3"/>
    <w:rsid w:val="00240108"/>
    <w:rsid w:val="00240185"/>
    <w:rsid w:val="0024027B"/>
    <w:rsid w:val="0024032D"/>
    <w:rsid w:val="00240415"/>
    <w:rsid w:val="00240656"/>
    <w:rsid w:val="002406AD"/>
    <w:rsid w:val="00240701"/>
    <w:rsid w:val="002407F5"/>
    <w:rsid w:val="00240851"/>
    <w:rsid w:val="002408A9"/>
    <w:rsid w:val="0024094B"/>
    <w:rsid w:val="00240C8A"/>
    <w:rsid w:val="00240CA3"/>
    <w:rsid w:val="00240D70"/>
    <w:rsid w:val="00240ED8"/>
    <w:rsid w:val="0024102F"/>
    <w:rsid w:val="00241058"/>
    <w:rsid w:val="00241151"/>
    <w:rsid w:val="002411BE"/>
    <w:rsid w:val="002411CD"/>
    <w:rsid w:val="00241254"/>
    <w:rsid w:val="002412B8"/>
    <w:rsid w:val="0024130A"/>
    <w:rsid w:val="002413CE"/>
    <w:rsid w:val="002414CF"/>
    <w:rsid w:val="002414E5"/>
    <w:rsid w:val="00241529"/>
    <w:rsid w:val="0024165E"/>
    <w:rsid w:val="002416D8"/>
    <w:rsid w:val="00241901"/>
    <w:rsid w:val="00241A3C"/>
    <w:rsid w:val="00241CCB"/>
    <w:rsid w:val="00241D0E"/>
    <w:rsid w:val="00241D21"/>
    <w:rsid w:val="00241F4A"/>
    <w:rsid w:val="00241F99"/>
    <w:rsid w:val="00242006"/>
    <w:rsid w:val="0024220A"/>
    <w:rsid w:val="0024230D"/>
    <w:rsid w:val="00242380"/>
    <w:rsid w:val="002423EE"/>
    <w:rsid w:val="002423F7"/>
    <w:rsid w:val="002423F9"/>
    <w:rsid w:val="00242487"/>
    <w:rsid w:val="002424D1"/>
    <w:rsid w:val="0024264B"/>
    <w:rsid w:val="00242670"/>
    <w:rsid w:val="002426BB"/>
    <w:rsid w:val="002427E0"/>
    <w:rsid w:val="002428BF"/>
    <w:rsid w:val="002429A3"/>
    <w:rsid w:val="00242DC5"/>
    <w:rsid w:val="00242DC6"/>
    <w:rsid w:val="00242DFA"/>
    <w:rsid w:val="00242E13"/>
    <w:rsid w:val="00242E29"/>
    <w:rsid w:val="00242E41"/>
    <w:rsid w:val="00242F06"/>
    <w:rsid w:val="002430E1"/>
    <w:rsid w:val="002431C7"/>
    <w:rsid w:val="00243257"/>
    <w:rsid w:val="002432E1"/>
    <w:rsid w:val="0024344D"/>
    <w:rsid w:val="0024346B"/>
    <w:rsid w:val="0024346E"/>
    <w:rsid w:val="0024352A"/>
    <w:rsid w:val="002436FA"/>
    <w:rsid w:val="00243718"/>
    <w:rsid w:val="00243999"/>
    <w:rsid w:val="00243B2F"/>
    <w:rsid w:val="00243B48"/>
    <w:rsid w:val="00243BA5"/>
    <w:rsid w:val="00243D55"/>
    <w:rsid w:val="00243E89"/>
    <w:rsid w:val="002440DA"/>
    <w:rsid w:val="00244138"/>
    <w:rsid w:val="002441C9"/>
    <w:rsid w:val="00244398"/>
    <w:rsid w:val="0024447E"/>
    <w:rsid w:val="0024456A"/>
    <w:rsid w:val="00244588"/>
    <w:rsid w:val="00244702"/>
    <w:rsid w:val="00244858"/>
    <w:rsid w:val="0024492B"/>
    <w:rsid w:val="00244A0A"/>
    <w:rsid w:val="00244A2C"/>
    <w:rsid w:val="00244A3F"/>
    <w:rsid w:val="00244AAA"/>
    <w:rsid w:val="00244CA8"/>
    <w:rsid w:val="00244D30"/>
    <w:rsid w:val="00244E87"/>
    <w:rsid w:val="0024503B"/>
    <w:rsid w:val="0024506C"/>
    <w:rsid w:val="002452AF"/>
    <w:rsid w:val="002452DC"/>
    <w:rsid w:val="00245332"/>
    <w:rsid w:val="00245420"/>
    <w:rsid w:val="00245458"/>
    <w:rsid w:val="00245659"/>
    <w:rsid w:val="0024585D"/>
    <w:rsid w:val="0024587A"/>
    <w:rsid w:val="00245AA4"/>
    <w:rsid w:val="00245B27"/>
    <w:rsid w:val="00245B4C"/>
    <w:rsid w:val="00245BC4"/>
    <w:rsid w:val="00245BED"/>
    <w:rsid w:val="00245C8A"/>
    <w:rsid w:val="00245D4C"/>
    <w:rsid w:val="00245D74"/>
    <w:rsid w:val="00245EF7"/>
    <w:rsid w:val="00245F16"/>
    <w:rsid w:val="00245FB3"/>
    <w:rsid w:val="00245FE9"/>
    <w:rsid w:val="00246064"/>
    <w:rsid w:val="002460AB"/>
    <w:rsid w:val="002461E4"/>
    <w:rsid w:val="00246207"/>
    <w:rsid w:val="00246268"/>
    <w:rsid w:val="0024628C"/>
    <w:rsid w:val="002462C7"/>
    <w:rsid w:val="002462D5"/>
    <w:rsid w:val="00246330"/>
    <w:rsid w:val="00246371"/>
    <w:rsid w:val="002464F8"/>
    <w:rsid w:val="00246798"/>
    <w:rsid w:val="002467B2"/>
    <w:rsid w:val="0024680B"/>
    <w:rsid w:val="0024684E"/>
    <w:rsid w:val="002469A6"/>
    <w:rsid w:val="002469C6"/>
    <w:rsid w:val="00246A1E"/>
    <w:rsid w:val="00246B87"/>
    <w:rsid w:val="00246BCB"/>
    <w:rsid w:val="00246C5E"/>
    <w:rsid w:val="00246C6F"/>
    <w:rsid w:val="00246CCC"/>
    <w:rsid w:val="00246E37"/>
    <w:rsid w:val="00246E61"/>
    <w:rsid w:val="00246E86"/>
    <w:rsid w:val="00246EC9"/>
    <w:rsid w:val="00246EDF"/>
    <w:rsid w:val="00247052"/>
    <w:rsid w:val="002470EC"/>
    <w:rsid w:val="00247242"/>
    <w:rsid w:val="00247381"/>
    <w:rsid w:val="00247394"/>
    <w:rsid w:val="00247684"/>
    <w:rsid w:val="002477C1"/>
    <w:rsid w:val="002477E0"/>
    <w:rsid w:val="002478C8"/>
    <w:rsid w:val="002478FD"/>
    <w:rsid w:val="0024796D"/>
    <w:rsid w:val="00247A4A"/>
    <w:rsid w:val="00247ACB"/>
    <w:rsid w:val="00247B96"/>
    <w:rsid w:val="00247CB9"/>
    <w:rsid w:val="00247D12"/>
    <w:rsid w:val="00247F8B"/>
    <w:rsid w:val="00247FE4"/>
    <w:rsid w:val="00250097"/>
    <w:rsid w:val="0025009B"/>
    <w:rsid w:val="00250137"/>
    <w:rsid w:val="00250331"/>
    <w:rsid w:val="0025039D"/>
    <w:rsid w:val="0025042A"/>
    <w:rsid w:val="00250437"/>
    <w:rsid w:val="0025056A"/>
    <w:rsid w:val="00250633"/>
    <w:rsid w:val="00250654"/>
    <w:rsid w:val="00250669"/>
    <w:rsid w:val="00250863"/>
    <w:rsid w:val="00250960"/>
    <w:rsid w:val="0025098E"/>
    <w:rsid w:val="002509FB"/>
    <w:rsid w:val="00250B04"/>
    <w:rsid w:val="00250D06"/>
    <w:rsid w:val="00250DDA"/>
    <w:rsid w:val="00250EAF"/>
    <w:rsid w:val="00250F90"/>
    <w:rsid w:val="00250FBB"/>
    <w:rsid w:val="00250FDF"/>
    <w:rsid w:val="0025111B"/>
    <w:rsid w:val="0025128A"/>
    <w:rsid w:val="00251343"/>
    <w:rsid w:val="002513F6"/>
    <w:rsid w:val="00251443"/>
    <w:rsid w:val="002514B5"/>
    <w:rsid w:val="002514CD"/>
    <w:rsid w:val="002514E2"/>
    <w:rsid w:val="0025158E"/>
    <w:rsid w:val="00251598"/>
    <w:rsid w:val="002515D5"/>
    <w:rsid w:val="0025184D"/>
    <w:rsid w:val="002518F1"/>
    <w:rsid w:val="002519C9"/>
    <w:rsid w:val="00251A51"/>
    <w:rsid w:val="00251B4E"/>
    <w:rsid w:val="00251DB9"/>
    <w:rsid w:val="00251E22"/>
    <w:rsid w:val="00251E56"/>
    <w:rsid w:val="00251EF7"/>
    <w:rsid w:val="0025200A"/>
    <w:rsid w:val="002520F1"/>
    <w:rsid w:val="002520F3"/>
    <w:rsid w:val="002521D3"/>
    <w:rsid w:val="00252330"/>
    <w:rsid w:val="002525EF"/>
    <w:rsid w:val="0025261C"/>
    <w:rsid w:val="00252741"/>
    <w:rsid w:val="002527C8"/>
    <w:rsid w:val="00252810"/>
    <w:rsid w:val="00252853"/>
    <w:rsid w:val="00252924"/>
    <w:rsid w:val="00252EB5"/>
    <w:rsid w:val="002530A7"/>
    <w:rsid w:val="002530E2"/>
    <w:rsid w:val="00253343"/>
    <w:rsid w:val="002534B1"/>
    <w:rsid w:val="002535E4"/>
    <w:rsid w:val="0025365F"/>
    <w:rsid w:val="002536A4"/>
    <w:rsid w:val="002536B2"/>
    <w:rsid w:val="0025389B"/>
    <w:rsid w:val="00253954"/>
    <w:rsid w:val="00253A3E"/>
    <w:rsid w:val="00253AF3"/>
    <w:rsid w:val="00253C5F"/>
    <w:rsid w:val="00253C6A"/>
    <w:rsid w:val="00253C74"/>
    <w:rsid w:val="00253F0C"/>
    <w:rsid w:val="00253F80"/>
    <w:rsid w:val="0025401E"/>
    <w:rsid w:val="0025417B"/>
    <w:rsid w:val="002543C7"/>
    <w:rsid w:val="002543D1"/>
    <w:rsid w:val="002544C4"/>
    <w:rsid w:val="002545CF"/>
    <w:rsid w:val="002547C3"/>
    <w:rsid w:val="0025493F"/>
    <w:rsid w:val="00254A83"/>
    <w:rsid w:val="00254B5C"/>
    <w:rsid w:val="00254CF3"/>
    <w:rsid w:val="00254E54"/>
    <w:rsid w:val="00254F58"/>
    <w:rsid w:val="00254FE7"/>
    <w:rsid w:val="00255078"/>
    <w:rsid w:val="002551D7"/>
    <w:rsid w:val="0025547D"/>
    <w:rsid w:val="00255630"/>
    <w:rsid w:val="00255917"/>
    <w:rsid w:val="0025598B"/>
    <w:rsid w:val="00255A1F"/>
    <w:rsid w:val="00255B62"/>
    <w:rsid w:val="00255CF6"/>
    <w:rsid w:val="00255D44"/>
    <w:rsid w:val="00255DE2"/>
    <w:rsid w:val="00255EC0"/>
    <w:rsid w:val="00255ED0"/>
    <w:rsid w:val="00255EE3"/>
    <w:rsid w:val="0025600F"/>
    <w:rsid w:val="0025601D"/>
    <w:rsid w:val="00256310"/>
    <w:rsid w:val="00256433"/>
    <w:rsid w:val="00256710"/>
    <w:rsid w:val="00256711"/>
    <w:rsid w:val="00256888"/>
    <w:rsid w:val="00256967"/>
    <w:rsid w:val="00256A06"/>
    <w:rsid w:val="00256A0B"/>
    <w:rsid w:val="00256A1B"/>
    <w:rsid w:val="00256BA0"/>
    <w:rsid w:val="00256BF7"/>
    <w:rsid w:val="00256C94"/>
    <w:rsid w:val="00256E71"/>
    <w:rsid w:val="00256E84"/>
    <w:rsid w:val="0025705A"/>
    <w:rsid w:val="00257141"/>
    <w:rsid w:val="002571DC"/>
    <w:rsid w:val="0025767E"/>
    <w:rsid w:val="002576E9"/>
    <w:rsid w:val="002578B9"/>
    <w:rsid w:val="002579BB"/>
    <w:rsid w:val="00257B2E"/>
    <w:rsid w:val="00257B7E"/>
    <w:rsid w:val="00257B87"/>
    <w:rsid w:val="00257C9F"/>
    <w:rsid w:val="00257D6A"/>
    <w:rsid w:val="00257E36"/>
    <w:rsid w:val="00257EDF"/>
    <w:rsid w:val="00257F26"/>
    <w:rsid w:val="00257F33"/>
    <w:rsid w:val="002600BD"/>
    <w:rsid w:val="002606EE"/>
    <w:rsid w:val="00260797"/>
    <w:rsid w:val="002607FD"/>
    <w:rsid w:val="002609BB"/>
    <w:rsid w:val="002609D5"/>
    <w:rsid w:val="00260B30"/>
    <w:rsid w:val="00260CA4"/>
    <w:rsid w:val="00260EC0"/>
    <w:rsid w:val="00260FCC"/>
    <w:rsid w:val="00260FE2"/>
    <w:rsid w:val="0026104B"/>
    <w:rsid w:val="002610AE"/>
    <w:rsid w:val="002610EA"/>
    <w:rsid w:val="0026115A"/>
    <w:rsid w:val="00261501"/>
    <w:rsid w:val="002616C3"/>
    <w:rsid w:val="002619BD"/>
    <w:rsid w:val="00261BFA"/>
    <w:rsid w:val="002620BC"/>
    <w:rsid w:val="002621AD"/>
    <w:rsid w:val="002622FF"/>
    <w:rsid w:val="0026243C"/>
    <w:rsid w:val="0026247B"/>
    <w:rsid w:val="002625D4"/>
    <w:rsid w:val="00262652"/>
    <w:rsid w:val="002626E6"/>
    <w:rsid w:val="00262784"/>
    <w:rsid w:val="002627E3"/>
    <w:rsid w:val="00262802"/>
    <w:rsid w:val="00262821"/>
    <w:rsid w:val="0026295E"/>
    <w:rsid w:val="00262AFC"/>
    <w:rsid w:val="00262C3C"/>
    <w:rsid w:val="00262C40"/>
    <w:rsid w:val="00262C58"/>
    <w:rsid w:val="00262CFF"/>
    <w:rsid w:val="00262D2E"/>
    <w:rsid w:val="00262DDD"/>
    <w:rsid w:val="00262E15"/>
    <w:rsid w:val="00262E20"/>
    <w:rsid w:val="002630BA"/>
    <w:rsid w:val="0026317B"/>
    <w:rsid w:val="002631D3"/>
    <w:rsid w:val="002631D9"/>
    <w:rsid w:val="0026332D"/>
    <w:rsid w:val="00263631"/>
    <w:rsid w:val="00263646"/>
    <w:rsid w:val="00263726"/>
    <w:rsid w:val="00263791"/>
    <w:rsid w:val="002638A0"/>
    <w:rsid w:val="00263A90"/>
    <w:rsid w:val="00263FF2"/>
    <w:rsid w:val="0026406F"/>
    <w:rsid w:val="0026408B"/>
    <w:rsid w:val="002640E4"/>
    <w:rsid w:val="002640E5"/>
    <w:rsid w:val="00264289"/>
    <w:rsid w:val="002642A8"/>
    <w:rsid w:val="002642D4"/>
    <w:rsid w:val="00264362"/>
    <w:rsid w:val="002643A0"/>
    <w:rsid w:val="002643F7"/>
    <w:rsid w:val="002644A1"/>
    <w:rsid w:val="00264516"/>
    <w:rsid w:val="00264535"/>
    <w:rsid w:val="00264622"/>
    <w:rsid w:val="00264757"/>
    <w:rsid w:val="0026477C"/>
    <w:rsid w:val="002647CA"/>
    <w:rsid w:val="002648B7"/>
    <w:rsid w:val="002649F8"/>
    <w:rsid w:val="00264A78"/>
    <w:rsid w:val="00264B03"/>
    <w:rsid w:val="00264B79"/>
    <w:rsid w:val="00264BBB"/>
    <w:rsid w:val="00264D31"/>
    <w:rsid w:val="00264E0C"/>
    <w:rsid w:val="00264ED3"/>
    <w:rsid w:val="00265031"/>
    <w:rsid w:val="002650C4"/>
    <w:rsid w:val="002651B8"/>
    <w:rsid w:val="00265318"/>
    <w:rsid w:val="00265383"/>
    <w:rsid w:val="00265458"/>
    <w:rsid w:val="0026545A"/>
    <w:rsid w:val="002654ED"/>
    <w:rsid w:val="002655E1"/>
    <w:rsid w:val="00265604"/>
    <w:rsid w:val="0026563C"/>
    <w:rsid w:val="0026588F"/>
    <w:rsid w:val="00265A02"/>
    <w:rsid w:val="00265A30"/>
    <w:rsid w:val="00265A72"/>
    <w:rsid w:val="00265B37"/>
    <w:rsid w:val="00265C57"/>
    <w:rsid w:val="00265D56"/>
    <w:rsid w:val="00265E05"/>
    <w:rsid w:val="00265F33"/>
    <w:rsid w:val="00265F8A"/>
    <w:rsid w:val="0026606B"/>
    <w:rsid w:val="002660FD"/>
    <w:rsid w:val="0026611C"/>
    <w:rsid w:val="002661A7"/>
    <w:rsid w:val="00266387"/>
    <w:rsid w:val="002665EA"/>
    <w:rsid w:val="00266797"/>
    <w:rsid w:val="002667CE"/>
    <w:rsid w:val="002668A0"/>
    <w:rsid w:val="002668A6"/>
    <w:rsid w:val="00266AE9"/>
    <w:rsid w:val="00266CCC"/>
    <w:rsid w:val="00266E14"/>
    <w:rsid w:val="00266E4B"/>
    <w:rsid w:val="00266E6C"/>
    <w:rsid w:val="0026728C"/>
    <w:rsid w:val="002673CE"/>
    <w:rsid w:val="0026754F"/>
    <w:rsid w:val="00267592"/>
    <w:rsid w:val="0026769E"/>
    <w:rsid w:val="0026770A"/>
    <w:rsid w:val="002678B0"/>
    <w:rsid w:val="00267C31"/>
    <w:rsid w:val="00267C3E"/>
    <w:rsid w:val="00267EDC"/>
    <w:rsid w:val="00267EE3"/>
    <w:rsid w:val="00270018"/>
    <w:rsid w:val="002701A3"/>
    <w:rsid w:val="002701B7"/>
    <w:rsid w:val="00270249"/>
    <w:rsid w:val="00270342"/>
    <w:rsid w:val="00270456"/>
    <w:rsid w:val="00270499"/>
    <w:rsid w:val="00270541"/>
    <w:rsid w:val="00270641"/>
    <w:rsid w:val="002709BB"/>
    <w:rsid w:val="00270A1A"/>
    <w:rsid w:val="00270C8A"/>
    <w:rsid w:val="00270D4F"/>
    <w:rsid w:val="00270E59"/>
    <w:rsid w:val="00270F27"/>
    <w:rsid w:val="00270F6D"/>
    <w:rsid w:val="00270FBE"/>
    <w:rsid w:val="00270FD6"/>
    <w:rsid w:val="00271175"/>
    <w:rsid w:val="00271214"/>
    <w:rsid w:val="002712E7"/>
    <w:rsid w:val="0027131C"/>
    <w:rsid w:val="00271333"/>
    <w:rsid w:val="00271474"/>
    <w:rsid w:val="002714F8"/>
    <w:rsid w:val="002716C6"/>
    <w:rsid w:val="002716FF"/>
    <w:rsid w:val="002717AD"/>
    <w:rsid w:val="00271848"/>
    <w:rsid w:val="00271975"/>
    <w:rsid w:val="002719B4"/>
    <w:rsid w:val="00271A5A"/>
    <w:rsid w:val="00271DE8"/>
    <w:rsid w:val="00271FBE"/>
    <w:rsid w:val="00272083"/>
    <w:rsid w:val="00272128"/>
    <w:rsid w:val="002722EB"/>
    <w:rsid w:val="002723C2"/>
    <w:rsid w:val="00272495"/>
    <w:rsid w:val="002724C9"/>
    <w:rsid w:val="002724FA"/>
    <w:rsid w:val="002725CB"/>
    <w:rsid w:val="002726A4"/>
    <w:rsid w:val="002726F6"/>
    <w:rsid w:val="00272877"/>
    <w:rsid w:val="00272A80"/>
    <w:rsid w:val="00272AB9"/>
    <w:rsid w:val="00272AC8"/>
    <w:rsid w:val="00272BFA"/>
    <w:rsid w:val="00272D91"/>
    <w:rsid w:val="00272E8E"/>
    <w:rsid w:val="00272FDD"/>
    <w:rsid w:val="00272FEA"/>
    <w:rsid w:val="0027303B"/>
    <w:rsid w:val="00273134"/>
    <w:rsid w:val="00273184"/>
    <w:rsid w:val="002731A0"/>
    <w:rsid w:val="002732F9"/>
    <w:rsid w:val="00273413"/>
    <w:rsid w:val="0027346C"/>
    <w:rsid w:val="0027359C"/>
    <w:rsid w:val="002735BE"/>
    <w:rsid w:val="002735C4"/>
    <w:rsid w:val="00273759"/>
    <w:rsid w:val="0027392C"/>
    <w:rsid w:val="0027395D"/>
    <w:rsid w:val="002739B4"/>
    <w:rsid w:val="00273A29"/>
    <w:rsid w:val="00273B11"/>
    <w:rsid w:val="00273BAC"/>
    <w:rsid w:val="00273F36"/>
    <w:rsid w:val="00273FA3"/>
    <w:rsid w:val="00274051"/>
    <w:rsid w:val="002740C9"/>
    <w:rsid w:val="00274282"/>
    <w:rsid w:val="002742BB"/>
    <w:rsid w:val="00274360"/>
    <w:rsid w:val="0027440F"/>
    <w:rsid w:val="00274508"/>
    <w:rsid w:val="0027461D"/>
    <w:rsid w:val="00274724"/>
    <w:rsid w:val="002747C8"/>
    <w:rsid w:val="00274946"/>
    <w:rsid w:val="00274A4C"/>
    <w:rsid w:val="00274BEF"/>
    <w:rsid w:val="00274EF9"/>
    <w:rsid w:val="00275021"/>
    <w:rsid w:val="002750EF"/>
    <w:rsid w:val="0027511E"/>
    <w:rsid w:val="002753B5"/>
    <w:rsid w:val="00275502"/>
    <w:rsid w:val="00275652"/>
    <w:rsid w:val="0027568D"/>
    <w:rsid w:val="0027576E"/>
    <w:rsid w:val="00275838"/>
    <w:rsid w:val="00275893"/>
    <w:rsid w:val="00275919"/>
    <w:rsid w:val="00275931"/>
    <w:rsid w:val="0027593D"/>
    <w:rsid w:val="00275992"/>
    <w:rsid w:val="00275BA9"/>
    <w:rsid w:val="00275C03"/>
    <w:rsid w:val="00275C29"/>
    <w:rsid w:val="00275C63"/>
    <w:rsid w:val="00275CF8"/>
    <w:rsid w:val="00275F42"/>
    <w:rsid w:val="0027603D"/>
    <w:rsid w:val="002760C0"/>
    <w:rsid w:val="00276269"/>
    <w:rsid w:val="00276289"/>
    <w:rsid w:val="002762EC"/>
    <w:rsid w:val="002763B3"/>
    <w:rsid w:val="002763F8"/>
    <w:rsid w:val="00276500"/>
    <w:rsid w:val="00276567"/>
    <w:rsid w:val="002765F8"/>
    <w:rsid w:val="002766CC"/>
    <w:rsid w:val="00276713"/>
    <w:rsid w:val="0027694F"/>
    <w:rsid w:val="00276957"/>
    <w:rsid w:val="0027696F"/>
    <w:rsid w:val="0027699C"/>
    <w:rsid w:val="00276A8F"/>
    <w:rsid w:val="00276BDE"/>
    <w:rsid w:val="00276D31"/>
    <w:rsid w:val="00276D4B"/>
    <w:rsid w:val="00276E1A"/>
    <w:rsid w:val="00276E2F"/>
    <w:rsid w:val="00276F56"/>
    <w:rsid w:val="0027712C"/>
    <w:rsid w:val="00277245"/>
    <w:rsid w:val="00277278"/>
    <w:rsid w:val="00277337"/>
    <w:rsid w:val="002773A4"/>
    <w:rsid w:val="002774D1"/>
    <w:rsid w:val="00277585"/>
    <w:rsid w:val="002775EE"/>
    <w:rsid w:val="00277614"/>
    <w:rsid w:val="002777E7"/>
    <w:rsid w:val="00277868"/>
    <w:rsid w:val="002778B2"/>
    <w:rsid w:val="002779FF"/>
    <w:rsid w:val="00277BD1"/>
    <w:rsid w:val="00277C83"/>
    <w:rsid w:val="00277C8F"/>
    <w:rsid w:val="00277E13"/>
    <w:rsid w:val="00277E54"/>
    <w:rsid w:val="00277F95"/>
    <w:rsid w:val="00277FE9"/>
    <w:rsid w:val="00277FED"/>
    <w:rsid w:val="00280018"/>
    <w:rsid w:val="00280092"/>
    <w:rsid w:val="002800EE"/>
    <w:rsid w:val="0028014B"/>
    <w:rsid w:val="002802E3"/>
    <w:rsid w:val="002804F5"/>
    <w:rsid w:val="00280A11"/>
    <w:rsid w:val="00280AAC"/>
    <w:rsid w:val="00280BA6"/>
    <w:rsid w:val="00280BBE"/>
    <w:rsid w:val="00280DB0"/>
    <w:rsid w:val="00280E4C"/>
    <w:rsid w:val="00280EAD"/>
    <w:rsid w:val="00281165"/>
    <w:rsid w:val="0028128F"/>
    <w:rsid w:val="00281326"/>
    <w:rsid w:val="00281393"/>
    <w:rsid w:val="002813CD"/>
    <w:rsid w:val="0028141E"/>
    <w:rsid w:val="002814EB"/>
    <w:rsid w:val="0028159B"/>
    <w:rsid w:val="002815EC"/>
    <w:rsid w:val="0028162E"/>
    <w:rsid w:val="00281657"/>
    <w:rsid w:val="002816D2"/>
    <w:rsid w:val="002816D9"/>
    <w:rsid w:val="00281771"/>
    <w:rsid w:val="0028180F"/>
    <w:rsid w:val="00281850"/>
    <w:rsid w:val="0028186D"/>
    <w:rsid w:val="00281986"/>
    <w:rsid w:val="00281A4B"/>
    <w:rsid w:val="00281B63"/>
    <w:rsid w:val="00281B82"/>
    <w:rsid w:val="00281C86"/>
    <w:rsid w:val="00281D0E"/>
    <w:rsid w:val="00281E63"/>
    <w:rsid w:val="00281E66"/>
    <w:rsid w:val="00281FC0"/>
    <w:rsid w:val="00281FCE"/>
    <w:rsid w:val="0028213D"/>
    <w:rsid w:val="002821D5"/>
    <w:rsid w:val="00282203"/>
    <w:rsid w:val="0028243D"/>
    <w:rsid w:val="00282475"/>
    <w:rsid w:val="00282483"/>
    <w:rsid w:val="00282497"/>
    <w:rsid w:val="002824AF"/>
    <w:rsid w:val="0028253B"/>
    <w:rsid w:val="002826E6"/>
    <w:rsid w:val="002827DF"/>
    <w:rsid w:val="00282874"/>
    <w:rsid w:val="0028287D"/>
    <w:rsid w:val="002829CA"/>
    <w:rsid w:val="002829D2"/>
    <w:rsid w:val="00282A73"/>
    <w:rsid w:val="00282A7F"/>
    <w:rsid w:val="00282B34"/>
    <w:rsid w:val="00282BDA"/>
    <w:rsid w:val="00282CB2"/>
    <w:rsid w:val="00282CD2"/>
    <w:rsid w:val="00282DD8"/>
    <w:rsid w:val="00282DFF"/>
    <w:rsid w:val="00282E16"/>
    <w:rsid w:val="00282FC0"/>
    <w:rsid w:val="00282FCA"/>
    <w:rsid w:val="00283021"/>
    <w:rsid w:val="002830CF"/>
    <w:rsid w:val="0028318B"/>
    <w:rsid w:val="0028326A"/>
    <w:rsid w:val="002832E6"/>
    <w:rsid w:val="002832E9"/>
    <w:rsid w:val="00283464"/>
    <w:rsid w:val="002834BD"/>
    <w:rsid w:val="002834CD"/>
    <w:rsid w:val="002834F9"/>
    <w:rsid w:val="002835BD"/>
    <w:rsid w:val="002835BE"/>
    <w:rsid w:val="00283638"/>
    <w:rsid w:val="00283684"/>
    <w:rsid w:val="00283697"/>
    <w:rsid w:val="00283790"/>
    <w:rsid w:val="00283845"/>
    <w:rsid w:val="00283852"/>
    <w:rsid w:val="002838C7"/>
    <w:rsid w:val="00283931"/>
    <w:rsid w:val="002839B5"/>
    <w:rsid w:val="00283A5B"/>
    <w:rsid w:val="00283A86"/>
    <w:rsid w:val="00283B0F"/>
    <w:rsid w:val="00283C25"/>
    <w:rsid w:val="00283C97"/>
    <w:rsid w:val="00283D5B"/>
    <w:rsid w:val="00283DE4"/>
    <w:rsid w:val="00283E64"/>
    <w:rsid w:val="00283F37"/>
    <w:rsid w:val="00284158"/>
    <w:rsid w:val="00284227"/>
    <w:rsid w:val="00284292"/>
    <w:rsid w:val="00284315"/>
    <w:rsid w:val="0028435C"/>
    <w:rsid w:val="0028436B"/>
    <w:rsid w:val="00284395"/>
    <w:rsid w:val="002846EB"/>
    <w:rsid w:val="0028473C"/>
    <w:rsid w:val="002847E6"/>
    <w:rsid w:val="002847E9"/>
    <w:rsid w:val="0028480A"/>
    <w:rsid w:val="00284829"/>
    <w:rsid w:val="0028486F"/>
    <w:rsid w:val="002849DF"/>
    <w:rsid w:val="00284A6C"/>
    <w:rsid w:val="00284ABB"/>
    <w:rsid w:val="00284AF2"/>
    <w:rsid w:val="00284B16"/>
    <w:rsid w:val="00284B23"/>
    <w:rsid w:val="00284B3C"/>
    <w:rsid w:val="00284E27"/>
    <w:rsid w:val="00284E2E"/>
    <w:rsid w:val="0028504B"/>
    <w:rsid w:val="00285172"/>
    <w:rsid w:val="00285253"/>
    <w:rsid w:val="00285260"/>
    <w:rsid w:val="00285262"/>
    <w:rsid w:val="00285272"/>
    <w:rsid w:val="002852E5"/>
    <w:rsid w:val="002853E1"/>
    <w:rsid w:val="0028545D"/>
    <w:rsid w:val="00285475"/>
    <w:rsid w:val="00285492"/>
    <w:rsid w:val="0028554C"/>
    <w:rsid w:val="0028559C"/>
    <w:rsid w:val="002855B0"/>
    <w:rsid w:val="00285734"/>
    <w:rsid w:val="00285791"/>
    <w:rsid w:val="002857EF"/>
    <w:rsid w:val="00285BCB"/>
    <w:rsid w:val="00285E0E"/>
    <w:rsid w:val="00285EEE"/>
    <w:rsid w:val="00286064"/>
    <w:rsid w:val="00286073"/>
    <w:rsid w:val="002862F1"/>
    <w:rsid w:val="00286349"/>
    <w:rsid w:val="002864A5"/>
    <w:rsid w:val="0028666D"/>
    <w:rsid w:val="00286ADC"/>
    <w:rsid w:val="00286BB7"/>
    <w:rsid w:val="00286D48"/>
    <w:rsid w:val="00286D6D"/>
    <w:rsid w:val="00286DD6"/>
    <w:rsid w:val="00286DEE"/>
    <w:rsid w:val="00286FDF"/>
    <w:rsid w:val="00287232"/>
    <w:rsid w:val="00287260"/>
    <w:rsid w:val="00287366"/>
    <w:rsid w:val="00287509"/>
    <w:rsid w:val="002876AA"/>
    <w:rsid w:val="002876AC"/>
    <w:rsid w:val="002876F8"/>
    <w:rsid w:val="0028775D"/>
    <w:rsid w:val="002877F3"/>
    <w:rsid w:val="00287879"/>
    <w:rsid w:val="00287927"/>
    <w:rsid w:val="00287966"/>
    <w:rsid w:val="002879F1"/>
    <w:rsid w:val="00287AE0"/>
    <w:rsid w:val="00287AF1"/>
    <w:rsid w:val="00287B36"/>
    <w:rsid w:val="00287B5E"/>
    <w:rsid w:val="00287C05"/>
    <w:rsid w:val="00287CE1"/>
    <w:rsid w:val="00287E8A"/>
    <w:rsid w:val="00287FCD"/>
    <w:rsid w:val="0029009B"/>
    <w:rsid w:val="002900D6"/>
    <w:rsid w:val="002900FF"/>
    <w:rsid w:val="00290146"/>
    <w:rsid w:val="002903CF"/>
    <w:rsid w:val="002905A8"/>
    <w:rsid w:val="00290613"/>
    <w:rsid w:val="00290756"/>
    <w:rsid w:val="00290765"/>
    <w:rsid w:val="00290874"/>
    <w:rsid w:val="0029095A"/>
    <w:rsid w:val="002909E6"/>
    <w:rsid w:val="00290A3A"/>
    <w:rsid w:val="00290A9C"/>
    <w:rsid w:val="00290D46"/>
    <w:rsid w:val="00290EEA"/>
    <w:rsid w:val="0029118A"/>
    <w:rsid w:val="00291373"/>
    <w:rsid w:val="00291392"/>
    <w:rsid w:val="002913DC"/>
    <w:rsid w:val="002913EF"/>
    <w:rsid w:val="0029143E"/>
    <w:rsid w:val="00291661"/>
    <w:rsid w:val="00291714"/>
    <w:rsid w:val="00291766"/>
    <w:rsid w:val="002918DA"/>
    <w:rsid w:val="00291B41"/>
    <w:rsid w:val="00291F2A"/>
    <w:rsid w:val="00291FA8"/>
    <w:rsid w:val="00292514"/>
    <w:rsid w:val="0029266E"/>
    <w:rsid w:val="0029269E"/>
    <w:rsid w:val="002927B7"/>
    <w:rsid w:val="002927DD"/>
    <w:rsid w:val="00292874"/>
    <w:rsid w:val="0029290F"/>
    <w:rsid w:val="00292945"/>
    <w:rsid w:val="002929AB"/>
    <w:rsid w:val="00292A63"/>
    <w:rsid w:val="00292ACD"/>
    <w:rsid w:val="00292DCE"/>
    <w:rsid w:val="00292E42"/>
    <w:rsid w:val="00292E90"/>
    <w:rsid w:val="00292F85"/>
    <w:rsid w:val="002930EB"/>
    <w:rsid w:val="002931B6"/>
    <w:rsid w:val="00293272"/>
    <w:rsid w:val="00293310"/>
    <w:rsid w:val="00293324"/>
    <w:rsid w:val="0029333E"/>
    <w:rsid w:val="00293456"/>
    <w:rsid w:val="00293474"/>
    <w:rsid w:val="002934C7"/>
    <w:rsid w:val="0029354D"/>
    <w:rsid w:val="002936B9"/>
    <w:rsid w:val="00293797"/>
    <w:rsid w:val="002939AB"/>
    <w:rsid w:val="00293B0B"/>
    <w:rsid w:val="00293D1D"/>
    <w:rsid w:val="00293DA5"/>
    <w:rsid w:val="00293EA0"/>
    <w:rsid w:val="00293EFD"/>
    <w:rsid w:val="00293F17"/>
    <w:rsid w:val="002940BD"/>
    <w:rsid w:val="002940CE"/>
    <w:rsid w:val="0029416B"/>
    <w:rsid w:val="00294245"/>
    <w:rsid w:val="00294266"/>
    <w:rsid w:val="0029432E"/>
    <w:rsid w:val="002944A6"/>
    <w:rsid w:val="002944DE"/>
    <w:rsid w:val="0029470A"/>
    <w:rsid w:val="0029470F"/>
    <w:rsid w:val="0029472E"/>
    <w:rsid w:val="002947AC"/>
    <w:rsid w:val="002949B0"/>
    <w:rsid w:val="002949B5"/>
    <w:rsid w:val="00294B63"/>
    <w:rsid w:val="00294BD8"/>
    <w:rsid w:val="00294BE7"/>
    <w:rsid w:val="00294BF1"/>
    <w:rsid w:val="00294CD4"/>
    <w:rsid w:val="00294D15"/>
    <w:rsid w:val="00294D24"/>
    <w:rsid w:val="00294E0D"/>
    <w:rsid w:val="00294E21"/>
    <w:rsid w:val="00294F4C"/>
    <w:rsid w:val="00294FFF"/>
    <w:rsid w:val="00295017"/>
    <w:rsid w:val="0029515B"/>
    <w:rsid w:val="0029522B"/>
    <w:rsid w:val="00295317"/>
    <w:rsid w:val="002955F0"/>
    <w:rsid w:val="00295601"/>
    <w:rsid w:val="00295882"/>
    <w:rsid w:val="0029597D"/>
    <w:rsid w:val="00295983"/>
    <w:rsid w:val="002959E0"/>
    <w:rsid w:val="00295A12"/>
    <w:rsid w:val="00295A3E"/>
    <w:rsid w:val="00295A65"/>
    <w:rsid w:val="00295AA0"/>
    <w:rsid w:val="00295E50"/>
    <w:rsid w:val="002960C2"/>
    <w:rsid w:val="002962C3"/>
    <w:rsid w:val="002962D2"/>
    <w:rsid w:val="002963F6"/>
    <w:rsid w:val="002964CE"/>
    <w:rsid w:val="0029655A"/>
    <w:rsid w:val="00296577"/>
    <w:rsid w:val="0029689E"/>
    <w:rsid w:val="0029690B"/>
    <w:rsid w:val="002969AA"/>
    <w:rsid w:val="00296A9D"/>
    <w:rsid w:val="00296B3B"/>
    <w:rsid w:val="00296B49"/>
    <w:rsid w:val="00296BF1"/>
    <w:rsid w:val="00296C46"/>
    <w:rsid w:val="00296C9B"/>
    <w:rsid w:val="00296CCC"/>
    <w:rsid w:val="00296E9A"/>
    <w:rsid w:val="00296FA7"/>
    <w:rsid w:val="002971B6"/>
    <w:rsid w:val="00297373"/>
    <w:rsid w:val="002973CF"/>
    <w:rsid w:val="002974D4"/>
    <w:rsid w:val="002974E7"/>
    <w:rsid w:val="0029752B"/>
    <w:rsid w:val="00297602"/>
    <w:rsid w:val="0029760F"/>
    <w:rsid w:val="002976C3"/>
    <w:rsid w:val="0029799E"/>
    <w:rsid w:val="00297A35"/>
    <w:rsid w:val="00297ACA"/>
    <w:rsid w:val="00297BA8"/>
    <w:rsid w:val="00297CC2"/>
    <w:rsid w:val="00297D92"/>
    <w:rsid w:val="00297DB8"/>
    <w:rsid w:val="00297E62"/>
    <w:rsid w:val="00297EDB"/>
    <w:rsid w:val="002A013A"/>
    <w:rsid w:val="002A0228"/>
    <w:rsid w:val="002A03AC"/>
    <w:rsid w:val="002A0635"/>
    <w:rsid w:val="002A06A0"/>
    <w:rsid w:val="002A06B0"/>
    <w:rsid w:val="002A0866"/>
    <w:rsid w:val="002A091A"/>
    <w:rsid w:val="002A0A23"/>
    <w:rsid w:val="002A0A9C"/>
    <w:rsid w:val="002A0B2F"/>
    <w:rsid w:val="002A0C30"/>
    <w:rsid w:val="002A0EE6"/>
    <w:rsid w:val="002A0FE9"/>
    <w:rsid w:val="002A10C0"/>
    <w:rsid w:val="002A121E"/>
    <w:rsid w:val="002A141F"/>
    <w:rsid w:val="002A14C0"/>
    <w:rsid w:val="002A157D"/>
    <w:rsid w:val="002A163B"/>
    <w:rsid w:val="002A16DB"/>
    <w:rsid w:val="002A18E7"/>
    <w:rsid w:val="002A1A06"/>
    <w:rsid w:val="002A1AAE"/>
    <w:rsid w:val="002A1AFC"/>
    <w:rsid w:val="002A1C68"/>
    <w:rsid w:val="002A1CDF"/>
    <w:rsid w:val="002A1CF8"/>
    <w:rsid w:val="002A1D2B"/>
    <w:rsid w:val="002A1DF0"/>
    <w:rsid w:val="002A1DFA"/>
    <w:rsid w:val="002A1E2F"/>
    <w:rsid w:val="002A1E8B"/>
    <w:rsid w:val="002A1F03"/>
    <w:rsid w:val="002A1F56"/>
    <w:rsid w:val="002A1F70"/>
    <w:rsid w:val="002A2045"/>
    <w:rsid w:val="002A2090"/>
    <w:rsid w:val="002A2167"/>
    <w:rsid w:val="002A2472"/>
    <w:rsid w:val="002A252E"/>
    <w:rsid w:val="002A2575"/>
    <w:rsid w:val="002A2648"/>
    <w:rsid w:val="002A2682"/>
    <w:rsid w:val="002A2706"/>
    <w:rsid w:val="002A2764"/>
    <w:rsid w:val="002A28CC"/>
    <w:rsid w:val="002A2942"/>
    <w:rsid w:val="002A2A7F"/>
    <w:rsid w:val="002A2C34"/>
    <w:rsid w:val="002A2C76"/>
    <w:rsid w:val="002A2D08"/>
    <w:rsid w:val="002A2EB8"/>
    <w:rsid w:val="002A2F00"/>
    <w:rsid w:val="002A2F42"/>
    <w:rsid w:val="002A3050"/>
    <w:rsid w:val="002A3110"/>
    <w:rsid w:val="002A3180"/>
    <w:rsid w:val="002A31A3"/>
    <w:rsid w:val="002A31B5"/>
    <w:rsid w:val="002A3232"/>
    <w:rsid w:val="002A340B"/>
    <w:rsid w:val="002A3439"/>
    <w:rsid w:val="002A3560"/>
    <w:rsid w:val="002A3577"/>
    <w:rsid w:val="002A37F8"/>
    <w:rsid w:val="002A3829"/>
    <w:rsid w:val="002A384E"/>
    <w:rsid w:val="002A392E"/>
    <w:rsid w:val="002A3931"/>
    <w:rsid w:val="002A3976"/>
    <w:rsid w:val="002A3A33"/>
    <w:rsid w:val="002A3C28"/>
    <w:rsid w:val="002A3DDB"/>
    <w:rsid w:val="002A3FA5"/>
    <w:rsid w:val="002A40BB"/>
    <w:rsid w:val="002A4167"/>
    <w:rsid w:val="002A4179"/>
    <w:rsid w:val="002A41D4"/>
    <w:rsid w:val="002A41FD"/>
    <w:rsid w:val="002A4419"/>
    <w:rsid w:val="002A44EB"/>
    <w:rsid w:val="002A483C"/>
    <w:rsid w:val="002A488F"/>
    <w:rsid w:val="002A49E7"/>
    <w:rsid w:val="002A4D50"/>
    <w:rsid w:val="002A4EFC"/>
    <w:rsid w:val="002A4F3B"/>
    <w:rsid w:val="002A4F56"/>
    <w:rsid w:val="002A4FF0"/>
    <w:rsid w:val="002A50AC"/>
    <w:rsid w:val="002A52A7"/>
    <w:rsid w:val="002A533C"/>
    <w:rsid w:val="002A5584"/>
    <w:rsid w:val="002A5614"/>
    <w:rsid w:val="002A568B"/>
    <w:rsid w:val="002A5722"/>
    <w:rsid w:val="002A579F"/>
    <w:rsid w:val="002A5AC9"/>
    <w:rsid w:val="002A5B8E"/>
    <w:rsid w:val="002A5C11"/>
    <w:rsid w:val="002A5CB1"/>
    <w:rsid w:val="002A5CE3"/>
    <w:rsid w:val="002A6009"/>
    <w:rsid w:val="002A6033"/>
    <w:rsid w:val="002A6084"/>
    <w:rsid w:val="002A61C4"/>
    <w:rsid w:val="002A61ED"/>
    <w:rsid w:val="002A6205"/>
    <w:rsid w:val="002A621A"/>
    <w:rsid w:val="002A62CF"/>
    <w:rsid w:val="002A630A"/>
    <w:rsid w:val="002A63CB"/>
    <w:rsid w:val="002A6574"/>
    <w:rsid w:val="002A65CE"/>
    <w:rsid w:val="002A664E"/>
    <w:rsid w:val="002A69EF"/>
    <w:rsid w:val="002A6B58"/>
    <w:rsid w:val="002A6C1A"/>
    <w:rsid w:val="002A6E69"/>
    <w:rsid w:val="002A7054"/>
    <w:rsid w:val="002A706C"/>
    <w:rsid w:val="002A71CC"/>
    <w:rsid w:val="002A71E8"/>
    <w:rsid w:val="002A71FE"/>
    <w:rsid w:val="002A737D"/>
    <w:rsid w:val="002A73A1"/>
    <w:rsid w:val="002A750F"/>
    <w:rsid w:val="002A768D"/>
    <w:rsid w:val="002A771B"/>
    <w:rsid w:val="002A773B"/>
    <w:rsid w:val="002A7A78"/>
    <w:rsid w:val="002A7B14"/>
    <w:rsid w:val="002A7D64"/>
    <w:rsid w:val="002A7E78"/>
    <w:rsid w:val="002A7ECA"/>
    <w:rsid w:val="002A7F40"/>
    <w:rsid w:val="002A7F5D"/>
    <w:rsid w:val="002B0007"/>
    <w:rsid w:val="002B001D"/>
    <w:rsid w:val="002B0067"/>
    <w:rsid w:val="002B018F"/>
    <w:rsid w:val="002B02EE"/>
    <w:rsid w:val="002B032A"/>
    <w:rsid w:val="002B0363"/>
    <w:rsid w:val="002B03D6"/>
    <w:rsid w:val="002B03DB"/>
    <w:rsid w:val="002B03E8"/>
    <w:rsid w:val="002B081E"/>
    <w:rsid w:val="002B0957"/>
    <w:rsid w:val="002B0BCB"/>
    <w:rsid w:val="002B0C07"/>
    <w:rsid w:val="002B0C7C"/>
    <w:rsid w:val="002B0DF3"/>
    <w:rsid w:val="002B1184"/>
    <w:rsid w:val="002B135D"/>
    <w:rsid w:val="002B136A"/>
    <w:rsid w:val="002B136B"/>
    <w:rsid w:val="002B153C"/>
    <w:rsid w:val="002B1729"/>
    <w:rsid w:val="002B18E8"/>
    <w:rsid w:val="002B1A81"/>
    <w:rsid w:val="002B1D03"/>
    <w:rsid w:val="002B1D26"/>
    <w:rsid w:val="002B1F11"/>
    <w:rsid w:val="002B208C"/>
    <w:rsid w:val="002B2151"/>
    <w:rsid w:val="002B23D4"/>
    <w:rsid w:val="002B2517"/>
    <w:rsid w:val="002B2518"/>
    <w:rsid w:val="002B2542"/>
    <w:rsid w:val="002B27AA"/>
    <w:rsid w:val="002B27FD"/>
    <w:rsid w:val="002B2A50"/>
    <w:rsid w:val="002B2AEF"/>
    <w:rsid w:val="002B2C88"/>
    <w:rsid w:val="002B2DA7"/>
    <w:rsid w:val="002B2E77"/>
    <w:rsid w:val="002B305A"/>
    <w:rsid w:val="002B333A"/>
    <w:rsid w:val="002B33D8"/>
    <w:rsid w:val="002B34F5"/>
    <w:rsid w:val="002B3581"/>
    <w:rsid w:val="002B36C2"/>
    <w:rsid w:val="002B36C7"/>
    <w:rsid w:val="002B36DF"/>
    <w:rsid w:val="002B38BC"/>
    <w:rsid w:val="002B3907"/>
    <w:rsid w:val="002B3914"/>
    <w:rsid w:val="002B3959"/>
    <w:rsid w:val="002B3A6E"/>
    <w:rsid w:val="002B3A72"/>
    <w:rsid w:val="002B3ABF"/>
    <w:rsid w:val="002B3AED"/>
    <w:rsid w:val="002B3B42"/>
    <w:rsid w:val="002B3B6C"/>
    <w:rsid w:val="002B3BC2"/>
    <w:rsid w:val="002B3BE9"/>
    <w:rsid w:val="002B3C7D"/>
    <w:rsid w:val="002B3CDE"/>
    <w:rsid w:val="002B3EB5"/>
    <w:rsid w:val="002B3EFC"/>
    <w:rsid w:val="002B3F65"/>
    <w:rsid w:val="002B4032"/>
    <w:rsid w:val="002B4094"/>
    <w:rsid w:val="002B4193"/>
    <w:rsid w:val="002B42A7"/>
    <w:rsid w:val="002B4381"/>
    <w:rsid w:val="002B4497"/>
    <w:rsid w:val="002B449F"/>
    <w:rsid w:val="002B44F1"/>
    <w:rsid w:val="002B44FD"/>
    <w:rsid w:val="002B468D"/>
    <w:rsid w:val="002B4799"/>
    <w:rsid w:val="002B4877"/>
    <w:rsid w:val="002B49E0"/>
    <w:rsid w:val="002B4A46"/>
    <w:rsid w:val="002B4ADB"/>
    <w:rsid w:val="002B4B71"/>
    <w:rsid w:val="002B4BF3"/>
    <w:rsid w:val="002B4D9E"/>
    <w:rsid w:val="002B4DD4"/>
    <w:rsid w:val="002B5277"/>
    <w:rsid w:val="002B5375"/>
    <w:rsid w:val="002B5390"/>
    <w:rsid w:val="002B54DB"/>
    <w:rsid w:val="002B589B"/>
    <w:rsid w:val="002B58C8"/>
    <w:rsid w:val="002B5A51"/>
    <w:rsid w:val="002B5A57"/>
    <w:rsid w:val="002B5CEC"/>
    <w:rsid w:val="002B5E55"/>
    <w:rsid w:val="002B5EE7"/>
    <w:rsid w:val="002B6072"/>
    <w:rsid w:val="002B60A8"/>
    <w:rsid w:val="002B62EF"/>
    <w:rsid w:val="002B6575"/>
    <w:rsid w:val="002B6669"/>
    <w:rsid w:val="002B680C"/>
    <w:rsid w:val="002B6816"/>
    <w:rsid w:val="002B691E"/>
    <w:rsid w:val="002B6937"/>
    <w:rsid w:val="002B6AEB"/>
    <w:rsid w:val="002B6C75"/>
    <w:rsid w:val="002B6CB4"/>
    <w:rsid w:val="002B6D41"/>
    <w:rsid w:val="002B6D96"/>
    <w:rsid w:val="002B6DAC"/>
    <w:rsid w:val="002B6E17"/>
    <w:rsid w:val="002B6E1D"/>
    <w:rsid w:val="002B6E63"/>
    <w:rsid w:val="002B6EBA"/>
    <w:rsid w:val="002B6FC1"/>
    <w:rsid w:val="002B70E2"/>
    <w:rsid w:val="002B7119"/>
    <w:rsid w:val="002B7122"/>
    <w:rsid w:val="002B7179"/>
    <w:rsid w:val="002B71ED"/>
    <w:rsid w:val="002B722A"/>
    <w:rsid w:val="002B73F4"/>
    <w:rsid w:val="002B751C"/>
    <w:rsid w:val="002B7613"/>
    <w:rsid w:val="002B7630"/>
    <w:rsid w:val="002B771C"/>
    <w:rsid w:val="002B7774"/>
    <w:rsid w:val="002B77C1"/>
    <w:rsid w:val="002B7803"/>
    <w:rsid w:val="002B788D"/>
    <w:rsid w:val="002B7897"/>
    <w:rsid w:val="002B7900"/>
    <w:rsid w:val="002B79F7"/>
    <w:rsid w:val="002B7AA2"/>
    <w:rsid w:val="002B7C68"/>
    <w:rsid w:val="002B7D29"/>
    <w:rsid w:val="002B7FC6"/>
    <w:rsid w:val="002C001B"/>
    <w:rsid w:val="002C01A8"/>
    <w:rsid w:val="002C0441"/>
    <w:rsid w:val="002C0512"/>
    <w:rsid w:val="002C05D6"/>
    <w:rsid w:val="002C05EE"/>
    <w:rsid w:val="002C060C"/>
    <w:rsid w:val="002C067D"/>
    <w:rsid w:val="002C075C"/>
    <w:rsid w:val="002C08CB"/>
    <w:rsid w:val="002C0946"/>
    <w:rsid w:val="002C0A04"/>
    <w:rsid w:val="002C0A1A"/>
    <w:rsid w:val="002C0AFC"/>
    <w:rsid w:val="002C0B8C"/>
    <w:rsid w:val="002C0BAD"/>
    <w:rsid w:val="002C0C9D"/>
    <w:rsid w:val="002C0CC6"/>
    <w:rsid w:val="002C0DE3"/>
    <w:rsid w:val="002C0EB8"/>
    <w:rsid w:val="002C0ED7"/>
    <w:rsid w:val="002C0FAB"/>
    <w:rsid w:val="002C1205"/>
    <w:rsid w:val="002C127E"/>
    <w:rsid w:val="002C1507"/>
    <w:rsid w:val="002C156F"/>
    <w:rsid w:val="002C1598"/>
    <w:rsid w:val="002C17B4"/>
    <w:rsid w:val="002C180B"/>
    <w:rsid w:val="002C1823"/>
    <w:rsid w:val="002C185B"/>
    <w:rsid w:val="002C18F3"/>
    <w:rsid w:val="002C1987"/>
    <w:rsid w:val="002C1A7D"/>
    <w:rsid w:val="002C1AF4"/>
    <w:rsid w:val="002C1C2D"/>
    <w:rsid w:val="002C1D7A"/>
    <w:rsid w:val="002C1DCA"/>
    <w:rsid w:val="002C1F02"/>
    <w:rsid w:val="002C1F7F"/>
    <w:rsid w:val="002C1FBC"/>
    <w:rsid w:val="002C20B9"/>
    <w:rsid w:val="002C20E6"/>
    <w:rsid w:val="002C21ED"/>
    <w:rsid w:val="002C22E0"/>
    <w:rsid w:val="002C232C"/>
    <w:rsid w:val="002C23D2"/>
    <w:rsid w:val="002C2471"/>
    <w:rsid w:val="002C249B"/>
    <w:rsid w:val="002C24E9"/>
    <w:rsid w:val="002C2697"/>
    <w:rsid w:val="002C2713"/>
    <w:rsid w:val="002C2728"/>
    <w:rsid w:val="002C27D1"/>
    <w:rsid w:val="002C2867"/>
    <w:rsid w:val="002C2971"/>
    <w:rsid w:val="002C2AF7"/>
    <w:rsid w:val="002C2B0D"/>
    <w:rsid w:val="002C2B28"/>
    <w:rsid w:val="002C2CDE"/>
    <w:rsid w:val="002C2CF2"/>
    <w:rsid w:val="002C2D17"/>
    <w:rsid w:val="002C2F7E"/>
    <w:rsid w:val="002C3000"/>
    <w:rsid w:val="002C30A5"/>
    <w:rsid w:val="002C30EB"/>
    <w:rsid w:val="002C3164"/>
    <w:rsid w:val="002C3196"/>
    <w:rsid w:val="002C31B2"/>
    <w:rsid w:val="002C32BD"/>
    <w:rsid w:val="002C3305"/>
    <w:rsid w:val="002C334E"/>
    <w:rsid w:val="002C3435"/>
    <w:rsid w:val="002C348A"/>
    <w:rsid w:val="002C35BC"/>
    <w:rsid w:val="002C35CD"/>
    <w:rsid w:val="002C3631"/>
    <w:rsid w:val="002C3742"/>
    <w:rsid w:val="002C3863"/>
    <w:rsid w:val="002C3944"/>
    <w:rsid w:val="002C3A21"/>
    <w:rsid w:val="002C3AB4"/>
    <w:rsid w:val="002C3AB8"/>
    <w:rsid w:val="002C3B69"/>
    <w:rsid w:val="002C3CBC"/>
    <w:rsid w:val="002C3F79"/>
    <w:rsid w:val="002C4027"/>
    <w:rsid w:val="002C4034"/>
    <w:rsid w:val="002C433A"/>
    <w:rsid w:val="002C43B7"/>
    <w:rsid w:val="002C43BC"/>
    <w:rsid w:val="002C43E5"/>
    <w:rsid w:val="002C4855"/>
    <w:rsid w:val="002C4A60"/>
    <w:rsid w:val="002C4B51"/>
    <w:rsid w:val="002C4C6D"/>
    <w:rsid w:val="002C4E74"/>
    <w:rsid w:val="002C4EB3"/>
    <w:rsid w:val="002C4EFF"/>
    <w:rsid w:val="002C4F21"/>
    <w:rsid w:val="002C4F35"/>
    <w:rsid w:val="002C4F85"/>
    <w:rsid w:val="002C4FC1"/>
    <w:rsid w:val="002C5311"/>
    <w:rsid w:val="002C5388"/>
    <w:rsid w:val="002C5540"/>
    <w:rsid w:val="002C55D2"/>
    <w:rsid w:val="002C57EA"/>
    <w:rsid w:val="002C586E"/>
    <w:rsid w:val="002C5956"/>
    <w:rsid w:val="002C59F4"/>
    <w:rsid w:val="002C5A3C"/>
    <w:rsid w:val="002C5AC1"/>
    <w:rsid w:val="002C5B77"/>
    <w:rsid w:val="002C5B7C"/>
    <w:rsid w:val="002C5B86"/>
    <w:rsid w:val="002C5C0F"/>
    <w:rsid w:val="002C5C16"/>
    <w:rsid w:val="002C5C84"/>
    <w:rsid w:val="002C5D52"/>
    <w:rsid w:val="002C5D77"/>
    <w:rsid w:val="002C5F22"/>
    <w:rsid w:val="002C607D"/>
    <w:rsid w:val="002C6097"/>
    <w:rsid w:val="002C6118"/>
    <w:rsid w:val="002C6298"/>
    <w:rsid w:val="002C62E2"/>
    <w:rsid w:val="002C660C"/>
    <w:rsid w:val="002C6618"/>
    <w:rsid w:val="002C679B"/>
    <w:rsid w:val="002C67A5"/>
    <w:rsid w:val="002C69B7"/>
    <w:rsid w:val="002C6C26"/>
    <w:rsid w:val="002C6CD1"/>
    <w:rsid w:val="002C6EEA"/>
    <w:rsid w:val="002C6EEB"/>
    <w:rsid w:val="002C710B"/>
    <w:rsid w:val="002C7246"/>
    <w:rsid w:val="002C72C4"/>
    <w:rsid w:val="002C7359"/>
    <w:rsid w:val="002C7456"/>
    <w:rsid w:val="002C75F0"/>
    <w:rsid w:val="002C764F"/>
    <w:rsid w:val="002C77DE"/>
    <w:rsid w:val="002C781F"/>
    <w:rsid w:val="002C79CA"/>
    <w:rsid w:val="002C79CB"/>
    <w:rsid w:val="002C7BFA"/>
    <w:rsid w:val="002C7C20"/>
    <w:rsid w:val="002C7C3A"/>
    <w:rsid w:val="002C7D4C"/>
    <w:rsid w:val="002C7D9A"/>
    <w:rsid w:val="002D0025"/>
    <w:rsid w:val="002D009F"/>
    <w:rsid w:val="002D00E7"/>
    <w:rsid w:val="002D0109"/>
    <w:rsid w:val="002D0111"/>
    <w:rsid w:val="002D0135"/>
    <w:rsid w:val="002D025F"/>
    <w:rsid w:val="002D032B"/>
    <w:rsid w:val="002D035D"/>
    <w:rsid w:val="002D04F6"/>
    <w:rsid w:val="002D054C"/>
    <w:rsid w:val="002D06B9"/>
    <w:rsid w:val="002D080F"/>
    <w:rsid w:val="002D08D4"/>
    <w:rsid w:val="002D0938"/>
    <w:rsid w:val="002D09F7"/>
    <w:rsid w:val="002D0AA2"/>
    <w:rsid w:val="002D0B1A"/>
    <w:rsid w:val="002D0C23"/>
    <w:rsid w:val="002D0D39"/>
    <w:rsid w:val="002D0D66"/>
    <w:rsid w:val="002D0D69"/>
    <w:rsid w:val="002D0F7B"/>
    <w:rsid w:val="002D108D"/>
    <w:rsid w:val="002D10AF"/>
    <w:rsid w:val="002D10EA"/>
    <w:rsid w:val="002D11EE"/>
    <w:rsid w:val="002D14A2"/>
    <w:rsid w:val="002D14F3"/>
    <w:rsid w:val="002D1506"/>
    <w:rsid w:val="002D1572"/>
    <w:rsid w:val="002D1701"/>
    <w:rsid w:val="002D1802"/>
    <w:rsid w:val="002D18F2"/>
    <w:rsid w:val="002D1A1D"/>
    <w:rsid w:val="002D1A3E"/>
    <w:rsid w:val="002D1A5B"/>
    <w:rsid w:val="002D1A9C"/>
    <w:rsid w:val="002D1C86"/>
    <w:rsid w:val="002D1E0D"/>
    <w:rsid w:val="002D1E8C"/>
    <w:rsid w:val="002D1EA2"/>
    <w:rsid w:val="002D1F9E"/>
    <w:rsid w:val="002D201E"/>
    <w:rsid w:val="002D2029"/>
    <w:rsid w:val="002D2125"/>
    <w:rsid w:val="002D230D"/>
    <w:rsid w:val="002D2311"/>
    <w:rsid w:val="002D233E"/>
    <w:rsid w:val="002D2361"/>
    <w:rsid w:val="002D23D3"/>
    <w:rsid w:val="002D2493"/>
    <w:rsid w:val="002D24F3"/>
    <w:rsid w:val="002D2570"/>
    <w:rsid w:val="002D2598"/>
    <w:rsid w:val="002D27B6"/>
    <w:rsid w:val="002D27F8"/>
    <w:rsid w:val="002D28B5"/>
    <w:rsid w:val="002D2A29"/>
    <w:rsid w:val="002D2A3F"/>
    <w:rsid w:val="002D2A5A"/>
    <w:rsid w:val="002D2F1B"/>
    <w:rsid w:val="002D3204"/>
    <w:rsid w:val="002D32F9"/>
    <w:rsid w:val="002D332D"/>
    <w:rsid w:val="002D337F"/>
    <w:rsid w:val="002D35F9"/>
    <w:rsid w:val="002D3619"/>
    <w:rsid w:val="002D366C"/>
    <w:rsid w:val="002D36E7"/>
    <w:rsid w:val="002D376A"/>
    <w:rsid w:val="002D37B7"/>
    <w:rsid w:val="002D38DB"/>
    <w:rsid w:val="002D394B"/>
    <w:rsid w:val="002D3992"/>
    <w:rsid w:val="002D3A31"/>
    <w:rsid w:val="002D3ACF"/>
    <w:rsid w:val="002D3DD2"/>
    <w:rsid w:val="002D3DDD"/>
    <w:rsid w:val="002D40B7"/>
    <w:rsid w:val="002D4146"/>
    <w:rsid w:val="002D4422"/>
    <w:rsid w:val="002D4487"/>
    <w:rsid w:val="002D44A7"/>
    <w:rsid w:val="002D4582"/>
    <w:rsid w:val="002D458F"/>
    <w:rsid w:val="002D4603"/>
    <w:rsid w:val="002D461C"/>
    <w:rsid w:val="002D46EB"/>
    <w:rsid w:val="002D4840"/>
    <w:rsid w:val="002D49F1"/>
    <w:rsid w:val="002D4A41"/>
    <w:rsid w:val="002D4D0C"/>
    <w:rsid w:val="002D4E7A"/>
    <w:rsid w:val="002D4EFA"/>
    <w:rsid w:val="002D4F5A"/>
    <w:rsid w:val="002D5006"/>
    <w:rsid w:val="002D537C"/>
    <w:rsid w:val="002D5482"/>
    <w:rsid w:val="002D55CD"/>
    <w:rsid w:val="002D5643"/>
    <w:rsid w:val="002D5845"/>
    <w:rsid w:val="002D5965"/>
    <w:rsid w:val="002D5B76"/>
    <w:rsid w:val="002D5CC8"/>
    <w:rsid w:val="002D5D36"/>
    <w:rsid w:val="002D5E8D"/>
    <w:rsid w:val="002D60CC"/>
    <w:rsid w:val="002D631E"/>
    <w:rsid w:val="002D63B9"/>
    <w:rsid w:val="002D65DA"/>
    <w:rsid w:val="002D673F"/>
    <w:rsid w:val="002D67D1"/>
    <w:rsid w:val="002D67D7"/>
    <w:rsid w:val="002D68D1"/>
    <w:rsid w:val="002D6949"/>
    <w:rsid w:val="002D6B2F"/>
    <w:rsid w:val="002D6B5D"/>
    <w:rsid w:val="002D6B73"/>
    <w:rsid w:val="002D6BF0"/>
    <w:rsid w:val="002D6C0C"/>
    <w:rsid w:val="002D6E08"/>
    <w:rsid w:val="002D6FCB"/>
    <w:rsid w:val="002D7055"/>
    <w:rsid w:val="002D7068"/>
    <w:rsid w:val="002D70DA"/>
    <w:rsid w:val="002D7278"/>
    <w:rsid w:val="002D7294"/>
    <w:rsid w:val="002D72C0"/>
    <w:rsid w:val="002D7304"/>
    <w:rsid w:val="002D733F"/>
    <w:rsid w:val="002D73B3"/>
    <w:rsid w:val="002D73CA"/>
    <w:rsid w:val="002D746F"/>
    <w:rsid w:val="002D7501"/>
    <w:rsid w:val="002D75C9"/>
    <w:rsid w:val="002D7723"/>
    <w:rsid w:val="002D776A"/>
    <w:rsid w:val="002D77AC"/>
    <w:rsid w:val="002D77EA"/>
    <w:rsid w:val="002D7946"/>
    <w:rsid w:val="002D796A"/>
    <w:rsid w:val="002D79B7"/>
    <w:rsid w:val="002D7C61"/>
    <w:rsid w:val="002E0094"/>
    <w:rsid w:val="002E0129"/>
    <w:rsid w:val="002E0130"/>
    <w:rsid w:val="002E01D0"/>
    <w:rsid w:val="002E039E"/>
    <w:rsid w:val="002E0418"/>
    <w:rsid w:val="002E0426"/>
    <w:rsid w:val="002E0575"/>
    <w:rsid w:val="002E0792"/>
    <w:rsid w:val="002E07DB"/>
    <w:rsid w:val="002E08E5"/>
    <w:rsid w:val="002E09E4"/>
    <w:rsid w:val="002E09E8"/>
    <w:rsid w:val="002E09EE"/>
    <w:rsid w:val="002E0DE5"/>
    <w:rsid w:val="002E1042"/>
    <w:rsid w:val="002E1181"/>
    <w:rsid w:val="002E11FE"/>
    <w:rsid w:val="002E1223"/>
    <w:rsid w:val="002E161D"/>
    <w:rsid w:val="002E1720"/>
    <w:rsid w:val="002E1754"/>
    <w:rsid w:val="002E1760"/>
    <w:rsid w:val="002E17E8"/>
    <w:rsid w:val="002E1929"/>
    <w:rsid w:val="002E193C"/>
    <w:rsid w:val="002E197C"/>
    <w:rsid w:val="002E1A05"/>
    <w:rsid w:val="002E1AA7"/>
    <w:rsid w:val="002E1CF7"/>
    <w:rsid w:val="002E1DC5"/>
    <w:rsid w:val="002E1E13"/>
    <w:rsid w:val="002E1F77"/>
    <w:rsid w:val="002E1FAE"/>
    <w:rsid w:val="002E204F"/>
    <w:rsid w:val="002E2087"/>
    <w:rsid w:val="002E2258"/>
    <w:rsid w:val="002E233E"/>
    <w:rsid w:val="002E2354"/>
    <w:rsid w:val="002E2382"/>
    <w:rsid w:val="002E2389"/>
    <w:rsid w:val="002E23D4"/>
    <w:rsid w:val="002E2578"/>
    <w:rsid w:val="002E2598"/>
    <w:rsid w:val="002E2710"/>
    <w:rsid w:val="002E2739"/>
    <w:rsid w:val="002E273E"/>
    <w:rsid w:val="002E2746"/>
    <w:rsid w:val="002E27DB"/>
    <w:rsid w:val="002E28A2"/>
    <w:rsid w:val="002E291D"/>
    <w:rsid w:val="002E296D"/>
    <w:rsid w:val="002E2981"/>
    <w:rsid w:val="002E2AB2"/>
    <w:rsid w:val="002E2B52"/>
    <w:rsid w:val="002E2DF0"/>
    <w:rsid w:val="002E2FDF"/>
    <w:rsid w:val="002E30AC"/>
    <w:rsid w:val="002E3100"/>
    <w:rsid w:val="002E31D7"/>
    <w:rsid w:val="002E32EC"/>
    <w:rsid w:val="002E3302"/>
    <w:rsid w:val="002E33CC"/>
    <w:rsid w:val="002E33EB"/>
    <w:rsid w:val="002E35E0"/>
    <w:rsid w:val="002E369F"/>
    <w:rsid w:val="002E36C6"/>
    <w:rsid w:val="002E37CB"/>
    <w:rsid w:val="002E380C"/>
    <w:rsid w:val="002E39F0"/>
    <w:rsid w:val="002E3A25"/>
    <w:rsid w:val="002E3B8C"/>
    <w:rsid w:val="002E3C34"/>
    <w:rsid w:val="002E3C4D"/>
    <w:rsid w:val="002E3D19"/>
    <w:rsid w:val="002E3E0D"/>
    <w:rsid w:val="002E3E42"/>
    <w:rsid w:val="002E3E4B"/>
    <w:rsid w:val="002E3F0C"/>
    <w:rsid w:val="002E3FAA"/>
    <w:rsid w:val="002E43D6"/>
    <w:rsid w:val="002E4586"/>
    <w:rsid w:val="002E465D"/>
    <w:rsid w:val="002E466D"/>
    <w:rsid w:val="002E4845"/>
    <w:rsid w:val="002E4A39"/>
    <w:rsid w:val="002E4B9C"/>
    <w:rsid w:val="002E4EA2"/>
    <w:rsid w:val="002E4F87"/>
    <w:rsid w:val="002E5025"/>
    <w:rsid w:val="002E5083"/>
    <w:rsid w:val="002E5141"/>
    <w:rsid w:val="002E51E4"/>
    <w:rsid w:val="002E52E6"/>
    <w:rsid w:val="002E548E"/>
    <w:rsid w:val="002E5550"/>
    <w:rsid w:val="002E58A2"/>
    <w:rsid w:val="002E58B8"/>
    <w:rsid w:val="002E59A5"/>
    <w:rsid w:val="002E5C24"/>
    <w:rsid w:val="002E5CC6"/>
    <w:rsid w:val="002E5D1D"/>
    <w:rsid w:val="002E5D27"/>
    <w:rsid w:val="002E5EF4"/>
    <w:rsid w:val="002E5F51"/>
    <w:rsid w:val="002E5F85"/>
    <w:rsid w:val="002E603C"/>
    <w:rsid w:val="002E6259"/>
    <w:rsid w:val="002E6288"/>
    <w:rsid w:val="002E62B8"/>
    <w:rsid w:val="002E64F9"/>
    <w:rsid w:val="002E6685"/>
    <w:rsid w:val="002E66E9"/>
    <w:rsid w:val="002E679E"/>
    <w:rsid w:val="002E68C8"/>
    <w:rsid w:val="002E69CF"/>
    <w:rsid w:val="002E6B18"/>
    <w:rsid w:val="002E6C95"/>
    <w:rsid w:val="002E6CBF"/>
    <w:rsid w:val="002E6CCD"/>
    <w:rsid w:val="002E6DD9"/>
    <w:rsid w:val="002E6E7F"/>
    <w:rsid w:val="002E6F17"/>
    <w:rsid w:val="002E6F29"/>
    <w:rsid w:val="002E7214"/>
    <w:rsid w:val="002E7329"/>
    <w:rsid w:val="002E7361"/>
    <w:rsid w:val="002E7602"/>
    <w:rsid w:val="002E76D2"/>
    <w:rsid w:val="002E781D"/>
    <w:rsid w:val="002E791C"/>
    <w:rsid w:val="002E7A72"/>
    <w:rsid w:val="002E7C36"/>
    <w:rsid w:val="002E7C5F"/>
    <w:rsid w:val="002E7C78"/>
    <w:rsid w:val="002E7CE3"/>
    <w:rsid w:val="002E7CFE"/>
    <w:rsid w:val="002E7F66"/>
    <w:rsid w:val="002E7FE9"/>
    <w:rsid w:val="002F015E"/>
    <w:rsid w:val="002F01EA"/>
    <w:rsid w:val="002F0252"/>
    <w:rsid w:val="002F02CE"/>
    <w:rsid w:val="002F034F"/>
    <w:rsid w:val="002F066A"/>
    <w:rsid w:val="002F06E8"/>
    <w:rsid w:val="002F06EA"/>
    <w:rsid w:val="002F09BA"/>
    <w:rsid w:val="002F0ADB"/>
    <w:rsid w:val="002F0B87"/>
    <w:rsid w:val="002F0C6D"/>
    <w:rsid w:val="002F0D8C"/>
    <w:rsid w:val="002F0DCC"/>
    <w:rsid w:val="002F0F38"/>
    <w:rsid w:val="002F1039"/>
    <w:rsid w:val="002F1052"/>
    <w:rsid w:val="002F1195"/>
    <w:rsid w:val="002F125D"/>
    <w:rsid w:val="002F1374"/>
    <w:rsid w:val="002F139D"/>
    <w:rsid w:val="002F15D2"/>
    <w:rsid w:val="002F15FA"/>
    <w:rsid w:val="002F1630"/>
    <w:rsid w:val="002F164F"/>
    <w:rsid w:val="002F1701"/>
    <w:rsid w:val="002F178D"/>
    <w:rsid w:val="002F17B1"/>
    <w:rsid w:val="002F18CF"/>
    <w:rsid w:val="002F18FF"/>
    <w:rsid w:val="002F1948"/>
    <w:rsid w:val="002F196E"/>
    <w:rsid w:val="002F197D"/>
    <w:rsid w:val="002F1B71"/>
    <w:rsid w:val="002F1BD6"/>
    <w:rsid w:val="002F1C14"/>
    <w:rsid w:val="002F1CE9"/>
    <w:rsid w:val="002F1CF8"/>
    <w:rsid w:val="002F1E37"/>
    <w:rsid w:val="002F1EC2"/>
    <w:rsid w:val="002F201B"/>
    <w:rsid w:val="002F204F"/>
    <w:rsid w:val="002F2102"/>
    <w:rsid w:val="002F228B"/>
    <w:rsid w:val="002F235A"/>
    <w:rsid w:val="002F241A"/>
    <w:rsid w:val="002F25E7"/>
    <w:rsid w:val="002F2622"/>
    <w:rsid w:val="002F2631"/>
    <w:rsid w:val="002F2890"/>
    <w:rsid w:val="002F2905"/>
    <w:rsid w:val="002F29C6"/>
    <w:rsid w:val="002F2B32"/>
    <w:rsid w:val="002F2D44"/>
    <w:rsid w:val="002F2D5E"/>
    <w:rsid w:val="002F2E55"/>
    <w:rsid w:val="002F3020"/>
    <w:rsid w:val="002F3121"/>
    <w:rsid w:val="002F325C"/>
    <w:rsid w:val="002F3283"/>
    <w:rsid w:val="002F33B6"/>
    <w:rsid w:val="002F352E"/>
    <w:rsid w:val="002F3671"/>
    <w:rsid w:val="002F3801"/>
    <w:rsid w:val="002F387B"/>
    <w:rsid w:val="002F3A7E"/>
    <w:rsid w:val="002F3A9B"/>
    <w:rsid w:val="002F3B71"/>
    <w:rsid w:val="002F3B7F"/>
    <w:rsid w:val="002F3D32"/>
    <w:rsid w:val="002F3D65"/>
    <w:rsid w:val="002F3E33"/>
    <w:rsid w:val="002F3EBC"/>
    <w:rsid w:val="002F4030"/>
    <w:rsid w:val="002F4124"/>
    <w:rsid w:val="002F43D7"/>
    <w:rsid w:val="002F44A4"/>
    <w:rsid w:val="002F4580"/>
    <w:rsid w:val="002F465F"/>
    <w:rsid w:val="002F47B6"/>
    <w:rsid w:val="002F4962"/>
    <w:rsid w:val="002F49E3"/>
    <w:rsid w:val="002F4AE0"/>
    <w:rsid w:val="002F4AE5"/>
    <w:rsid w:val="002F4AF4"/>
    <w:rsid w:val="002F4B16"/>
    <w:rsid w:val="002F4B45"/>
    <w:rsid w:val="002F4BCA"/>
    <w:rsid w:val="002F4C6C"/>
    <w:rsid w:val="002F4E11"/>
    <w:rsid w:val="002F4F81"/>
    <w:rsid w:val="002F5165"/>
    <w:rsid w:val="002F51D4"/>
    <w:rsid w:val="002F5275"/>
    <w:rsid w:val="002F53DA"/>
    <w:rsid w:val="002F54FC"/>
    <w:rsid w:val="002F5511"/>
    <w:rsid w:val="002F5551"/>
    <w:rsid w:val="002F55AB"/>
    <w:rsid w:val="002F568D"/>
    <w:rsid w:val="002F5776"/>
    <w:rsid w:val="002F5788"/>
    <w:rsid w:val="002F580A"/>
    <w:rsid w:val="002F587F"/>
    <w:rsid w:val="002F5A50"/>
    <w:rsid w:val="002F5B52"/>
    <w:rsid w:val="002F5BD7"/>
    <w:rsid w:val="002F5C31"/>
    <w:rsid w:val="002F5C68"/>
    <w:rsid w:val="002F5C84"/>
    <w:rsid w:val="002F5D18"/>
    <w:rsid w:val="002F5D79"/>
    <w:rsid w:val="002F5DC4"/>
    <w:rsid w:val="002F5E2D"/>
    <w:rsid w:val="002F5EBE"/>
    <w:rsid w:val="002F5F31"/>
    <w:rsid w:val="002F5F46"/>
    <w:rsid w:val="002F605C"/>
    <w:rsid w:val="002F60BE"/>
    <w:rsid w:val="002F6100"/>
    <w:rsid w:val="002F6252"/>
    <w:rsid w:val="002F62B1"/>
    <w:rsid w:val="002F6328"/>
    <w:rsid w:val="002F6599"/>
    <w:rsid w:val="002F672F"/>
    <w:rsid w:val="002F67EB"/>
    <w:rsid w:val="002F68CB"/>
    <w:rsid w:val="002F68CE"/>
    <w:rsid w:val="002F6B32"/>
    <w:rsid w:val="002F6CC4"/>
    <w:rsid w:val="002F6D01"/>
    <w:rsid w:val="002F6D06"/>
    <w:rsid w:val="002F6EFB"/>
    <w:rsid w:val="002F6F16"/>
    <w:rsid w:val="002F6F53"/>
    <w:rsid w:val="002F74E2"/>
    <w:rsid w:val="002F758B"/>
    <w:rsid w:val="002F75E6"/>
    <w:rsid w:val="002F7622"/>
    <w:rsid w:val="002F765A"/>
    <w:rsid w:val="002F7682"/>
    <w:rsid w:val="002F768A"/>
    <w:rsid w:val="002F7719"/>
    <w:rsid w:val="002F7928"/>
    <w:rsid w:val="002F7C07"/>
    <w:rsid w:val="002F7C3B"/>
    <w:rsid w:val="002F7C49"/>
    <w:rsid w:val="002F7CBE"/>
    <w:rsid w:val="002F7D57"/>
    <w:rsid w:val="002F7F68"/>
    <w:rsid w:val="002F7F69"/>
    <w:rsid w:val="0030000B"/>
    <w:rsid w:val="00300094"/>
    <w:rsid w:val="003000CE"/>
    <w:rsid w:val="003000D4"/>
    <w:rsid w:val="003000D6"/>
    <w:rsid w:val="00300195"/>
    <w:rsid w:val="0030024E"/>
    <w:rsid w:val="0030026D"/>
    <w:rsid w:val="00300298"/>
    <w:rsid w:val="003004CD"/>
    <w:rsid w:val="003004F5"/>
    <w:rsid w:val="00300584"/>
    <w:rsid w:val="00300696"/>
    <w:rsid w:val="00300B67"/>
    <w:rsid w:val="00300E54"/>
    <w:rsid w:val="00300EC9"/>
    <w:rsid w:val="00300F3B"/>
    <w:rsid w:val="0030100E"/>
    <w:rsid w:val="003011C9"/>
    <w:rsid w:val="003012F9"/>
    <w:rsid w:val="00301364"/>
    <w:rsid w:val="003013D3"/>
    <w:rsid w:val="003014C3"/>
    <w:rsid w:val="00301559"/>
    <w:rsid w:val="003015D0"/>
    <w:rsid w:val="003017D6"/>
    <w:rsid w:val="003017F8"/>
    <w:rsid w:val="00301897"/>
    <w:rsid w:val="0030196B"/>
    <w:rsid w:val="003019FF"/>
    <w:rsid w:val="00301BC8"/>
    <w:rsid w:val="00301BE1"/>
    <w:rsid w:val="00301C7C"/>
    <w:rsid w:val="00301C95"/>
    <w:rsid w:val="00301CA1"/>
    <w:rsid w:val="00301CD9"/>
    <w:rsid w:val="00301EBA"/>
    <w:rsid w:val="00301F2B"/>
    <w:rsid w:val="00301F8C"/>
    <w:rsid w:val="00301FBE"/>
    <w:rsid w:val="00302216"/>
    <w:rsid w:val="0030225A"/>
    <w:rsid w:val="00302299"/>
    <w:rsid w:val="003022D6"/>
    <w:rsid w:val="003022F9"/>
    <w:rsid w:val="00302431"/>
    <w:rsid w:val="00302440"/>
    <w:rsid w:val="00302689"/>
    <w:rsid w:val="00302752"/>
    <w:rsid w:val="003028E0"/>
    <w:rsid w:val="003028EE"/>
    <w:rsid w:val="00302C6E"/>
    <w:rsid w:val="00302CB3"/>
    <w:rsid w:val="00302D73"/>
    <w:rsid w:val="00302DFF"/>
    <w:rsid w:val="00302F15"/>
    <w:rsid w:val="00302F64"/>
    <w:rsid w:val="003031DF"/>
    <w:rsid w:val="003031F1"/>
    <w:rsid w:val="003032ED"/>
    <w:rsid w:val="00303421"/>
    <w:rsid w:val="00303451"/>
    <w:rsid w:val="00303628"/>
    <w:rsid w:val="003037C4"/>
    <w:rsid w:val="00303805"/>
    <w:rsid w:val="003038C9"/>
    <w:rsid w:val="00303922"/>
    <w:rsid w:val="00303951"/>
    <w:rsid w:val="00303A23"/>
    <w:rsid w:val="00303BC2"/>
    <w:rsid w:val="00303BD8"/>
    <w:rsid w:val="00303D7F"/>
    <w:rsid w:val="00303DA8"/>
    <w:rsid w:val="00303DB1"/>
    <w:rsid w:val="00303E53"/>
    <w:rsid w:val="00303F20"/>
    <w:rsid w:val="00303F50"/>
    <w:rsid w:val="00303F84"/>
    <w:rsid w:val="0030407B"/>
    <w:rsid w:val="00304390"/>
    <w:rsid w:val="0030439A"/>
    <w:rsid w:val="0030449E"/>
    <w:rsid w:val="0030456D"/>
    <w:rsid w:val="003045D2"/>
    <w:rsid w:val="003045F4"/>
    <w:rsid w:val="0030472C"/>
    <w:rsid w:val="0030477F"/>
    <w:rsid w:val="003047BF"/>
    <w:rsid w:val="003048E9"/>
    <w:rsid w:val="0030496E"/>
    <w:rsid w:val="00304B25"/>
    <w:rsid w:val="00304BD0"/>
    <w:rsid w:val="00304DE0"/>
    <w:rsid w:val="00304E41"/>
    <w:rsid w:val="00304EA5"/>
    <w:rsid w:val="00304EBD"/>
    <w:rsid w:val="0030501A"/>
    <w:rsid w:val="0030516A"/>
    <w:rsid w:val="003051F2"/>
    <w:rsid w:val="003052E8"/>
    <w:rsid w:val="00305347"/>
    <w:rsid w:val="00305384"/>
    <w:rsid w:val="00305496"/>
    <w:rsid w:val="003054B8"/>
    <w:rsid w:val="003055E0"/>
    <w:rsid w:val="00305674"/>
    <w:rsid w:val="003058A6"/>
    <w:rsid w:val="00305CC1"/>
    <w:rsid w:val="00305DD4"/>
    <w:rsid w:val="00305E9F"/>
    <w:rsid w:val="00305EC1"/>
    <w:rsid w:val="00305EF3"/>
    <w:rsid w:val="00306034"/>
    <w:rsid w:val="00306069"/>
    <w:rsid w:val="00306200"/>
    <w:rsid w:val="0030627F"/>
    <w:rsid w:val="003062FD"/>
    <w:rsid w:val="00306377"/>
    <w:rsid w:val="0030658B"/>
    <w:rsid w:val="0030659B"/>
    <w:rsid w:val="003065C6"/>
    <w:rsid w:val="003066F6"/>
    <w:rsid w:val="00306778"/>
    <w:rsid w:val="003067DB"/>
    <w:rsid w:val="0030695F"/>
    <w:rsid w:val="00306AD1"/>
    <w:rsid w:val="00306CA3"/>
    <w:rsid w:val="00306D5F"/>
    <w:rsid w:val="00306DFC"/>
    <w:rsid w:val="00306E53"/>
    <w:rsid w:val="00306E59"/>
    <w:rsid w:val="00306E5F"/>
    <w:rsid w:val="00306EAF"/>
    <w:rsid w:val="00306FB6"/>
    <w:rsid w:val="0030701A"/>
    <w:rsid w:val="0030704F"/>
    <w:rsid w:val="00307100"/>
    <w:rsid w:val="00307165"/>
    <w:rsid w:val="0030718F"/>
    <w:rsid w:val="003073CE"/>
    <w:rsid w:val="00307415"/>
    <w:rsid w:val="0030773D"/>
    <w:rsid w:val="0030794A"/>
    <w:rsid w:val="00307A9E"/>
    <w:rsid w:val="00307BBD"/>
    <w:rsid w:val="00307CCF"/>
    <w:rsid w:val="00307D28"/>
    <w:rsid w:val="00307E14"/>
    <w:rsid w:val="00307E46"/>
    <w:rsid w:val="00307F22"/>
    <w:rsid w:val="00307F3A"/>
    <w:rsid w:val="0031006C"/>
    <w:rsid w:val="0031025F"/>
    <w:rsid w:val="0031032A"/>
    <w:rsid w:val="0031032F"/>
    <w:rsid w:val="0031041A"/>
    <w:rsid w:val="0031048A"/>
    <w:rsid w:val="003105AE"/>
    <w:rsid w:val="003105EE"/>
    <w:rsid w:val="003106A1"/>
    <w:rsid w:val="0031081E"/>
    <w:rsid w:val="003108C8"/>
    <w:rsid w:val="00310963"/>
    <w:rsid w:val="00310A0A"/>
    <w:rsid w:val="00310BC5"/>
    <w:rsid w:val="00310BEE"/>
    <w:rsid w:val="00310DE6"/>
    <w:rsid w:val="00310EE9"/>
    <w:rsid w:val="00310EF4"/>
    <w:rsid w:val="00310F5E"/>
    <w:rsid w:val="0031107A"/>
    <w:rsid w:val="003110F6"/>
    <w:rsid w:val="003113FB"/>
    <w:rsid w:val="0031142D"/>
    <w:rsid w:val="00311449"/>
    <w:rsid w:val="003114DB"/>
    <w:rsid w:val="00311520"/>
    <w:rsid w:val="00311641"/>
    <w:rsid w:val="003117CA"/>
    <w:rsid w:val="00311816"/>
    <w:rsid w:val="00311850"/>
    <w:rsid w:val="003118C9"/>
    <w:rsid w:val="003119B0"/>
    <w:rsid w:val="00311A65"/>
    <w:rsid w:val="00311AD4"/>
    <w:rsid w:val="00311C66"/>
    <w:rsid w:val="00311CED"/>
    <w:rsid w:val="00311D5D"/>
    <w:rsid w:val="00311D6E"/>
    <w:rsid w:val="00311D70"/>
    <w:rsid w:val="00311DB4"/>
    <w:rsid w:val="00311E83"/>
    <w:rsid w:val="00311EDC"/>
    <w:rsid w:val="00312025"/>
    <w:rsid w:val="00312083"/>
    <w:rsid w:val="00312105"/>
    <w:rsid w:val="0031211B"/>
    <w:rsid w:val="0031247D"/>
    <w:rsid w:val="00312880"/>
    <w:rsid w:val="003129F7"/>
    <w:rsid w:val="00312ABC"/>
    <w:rsid w:val="00312AEF"/>
    <w:rsid w:val="00312BAF"/>
    <w:rsid w:val="00312C03"/>
    <w:rsid w:val="00312C3E"/>
    <w:rsid w:val="00312D20"/>
    <w:rsid w:val="00312F1B"/>
    <w:rsid w:val="00312FDF"/>
    <w:rsid w:val="00312FED"/>
    <w:rsid w:val="00313072"/>
    <w:rsid w:val="00313083"/>
    <w:rsid w:val="00313320"/>
    <w:rsid w:val="0031355B"/>
    <w:rsid w:val="0031358D"/>
    <w:rsid w:val="00313702"/>
    <w:rsid w:val="00313705"/>
    <w:rsid w:val="00313830"/>
    <w:rsid w:val="003139E7"/>
    <w:rsid w:val="003139EC"/>
    <w:rsid w:val="00313BC1"/>
    <w:rsid w:val="00313C29"/>
    <w:rsid w:val="00314043"/>
    <w:rsid w:val="00314054"/>
    <w:rsid w:val="003143C3"/>
    <w:rsid w:val="00314426"/>
    <w:rsid w:val="0031457D"/>
    <w:rsid w:val="003147F3"/>
    <w:rsid w:val="003147F5"/>
    <w:rsid w:val="00314854"/>
    <w:rsid w:val="00314913"/>
    <w:rsid w:val="0031495C"/>
    <w:rsid w:val="003149FC"/>
    <w:rsid w:val="003149FE"/>
    <w:rsid w:val="00314AF2"/>
    <w:rsid w:val="00314AF5"/>
    <w:rsid w:val="00314BA0"/>
    <w:rsid w:val="00314BFF"/>
    <w:rsid w:val="00314CBD"/>
    <w:rsid w:val="00314D86"/>
    <w:rsid w:val="00314E14"/>
    <w:rsid w:val="00314E51"/>
    <w:rsid w:val="00314F42"/>
    <w:rsid w:val="00314F45"/>
    <w:rsid w:val="00314FBE"/>
    <w:rsid w:val="00315035"/>
    <w:rsid w:val="0031508B"/>
    <w:rsid w:val="0031527F"/>
    <w:rsid w:val="0031537D"/>
    <w:rsid w:val="0031552B"/>
    <w:rsid w:val="00315939"/>
    <w:rsid w:val="00315A1C"/>
    <w:rsid w:val="00315A23"/>
    <w:rsid w:val="00315AD0"/>
    <w:rsid w:val="00315CC0"/>
    <w:rsid w:val="00315D30"/>
    <w:rsid w:val="00315D8B"/>
    <w:rsid w:val="00315E27"/>
    <w:rsid w:val="003163F0"/>
    <w:rsid w:val="0031646C"/>
    <w:rsid w:val="0031654C"/>
    <w:rsid w:val="003165AB"/>
    <w:rsid w:val="0031666A"/>
    <w:rsid w:val="003167FC"/>
    <w:rsid w:val="00316899"/>
    <w:rsid w:val="0031694A"/>
    <w:rsid w:val="00316AE6"/>
    <w:rsid w:val="00316AFD"/>
    <w:rsid w:val="00316C05"/>
    <w:rsid w:val="00316D4B"/>
    <w:rsid w:val="00316D5B"/>
    <w:rsid w:val="00316D6D"/>
    <w:rsid w:val="00316F27"/>
    <w:rsid w:val="00316F6A"/>
    <w:rsid w:val="00316FE5"/>
    <w:rsid w:val="003172B4"/>
    <w:rsid w:val="0031734E"/>
    <w:rsid w:val="00317377"/>
    <w:rsid w:val="00317472"/>
    <w:rsid w:val="003174BA"/>
    <w:rsid w:val="00317535"/>
    <w:rsid w:val="00317590"/>
    <w:rsid w:val="0031760E"/>
    <w:rsid w:val="00317612"/>
    <w:rsid w:val="00317698"/>
    <w:rsid w:val="003176EB"/>
    <w:rsid w:val="00317748"/>
    <w:rsid w:val="0031779E"/>
    <w:rsid w:val="00317831"/>
    <w:rsid w:val="00317980"/>
    <w:rsid w:val="003179D2"/>
    <w:rsid w:val="003179EE"/>
    <w:rsid w:val="00317A61"/>
    <w:rsid w:val="00317B17"/>
    <w:rsid w:val="00317C2E"/>
    <w:rsid w:val="00317CE0"/>
    <w:rsid w:val="00317D10"/>
    <w:rsid w:val="00317D30"/>
    <w:rsid w:val="00317D64"/>
    <w:rsid w:val="00317E47"/>
    <w:rsid w:val="00317EAA"/>
    <w:rsid w:val="00317F8A"/>
    <w:rsid w:val="00317FC6"/>
    <w:rsid w:val="0032000D"/>
    <w:rsid w:val="003200CA"/>
    <w:rsid w:val="003200EB"/>
    <w:rsid w:val="003201B9"/>
    <w:rsid w:val="00320307"/>
    <w:rsid w:val="0032030E"/>
    <w:rsid w:val="00320392"/>
    <w:rsid w:val="00320407"/>
    <w:rsid w:val="0032052D"/>
    <w:rsid w:val="00320596"/>
    <w:rsid w:val="00320689"/>
    <w:rsid w:val="0032083A"/>
    <w:rsid w:val="00320897"/>
    <w:rsid w:val="0032097E"/>
    <w:rsid w:val="0032098A"/>
    <w:rsid w:val="003209FF"/>
    <w:rsid w:val="00320A4E"/>
    <w:rsid w:val="00320A8A"/>
    <w:rsid w:val="00320C53"/>
    <w:rsid w:val="00320C65"/>
    <w:rsid w:val="00320D3B"/>
    <w:rsid w:val="00320DAC"/>
    <w:rsid w:val="00320E74"/>
    <w:rsid w:val="00320EFE"/>
    <w:rsid w:val="0032120A"/>
    <w:rsid w:val="0032126D"/>
    <w:rsid w:val="0032145B"/>
    <w:rsid w:val="0032149C"/>
    <w:rsid w:val="003214F1"/>
    <w:rsid w:val="0032153A"/>
    <w:rsid w:val="0032163E"/>
    <w:rsid w:val="00321663"/>
    <w:rsid w:val="003219AB"/>
    <w:rsid w:val="003219E3"/>
    <w:rsid w:val="00321B60"/>
    <w:rsid w:val="003220F0"/>
    <w:rsid w:val="00322196"/>
    <w:rsid w:val="003221CA"/>
    <w:rsid w:val="00322339"/>
    <w:rsid w:val="00322419"/>
    <w:rsid w:val="0032267E"/>
    <w:rsid w:val="003228DE"/>
    <w:rsid w:val="00322982"/>
    <w:rsid w:val="003229AF"/>
    <w:rsid w:val="003229E7"/>
    <w:rsid w:val="003229E8"/>
    <w:rsid w:val="00322A54"/>
    <w:rsid w:val="00322A8F"/>
    <w:rsid w:val="00322AAD"/>
    <w:rsid w:val="00322C72"/>
    <w:rsid w:val="00322C8F"/>
    <w:rsid w:val="00322CDA"/>
    <w:rsid w:val="00322D8D"/>
    <w:rsid w:val="00322E4B"/>
    <w:rsid w:val="00322E7B"/>
    <w:rsid w:val="00322E9D"/>
    <w:rsid w:val="00322EDB"/>
    <w:rsid w:val="00323121"/>
    <w:rsid w:val="00323288"/>
    <w:rsid w:val="0032332C"/>
    <w:rsid w:val="00323614"/>
    <w:rsid w:val="00323750"/>
    <w:rsid w:val="00323847"/>
    <w:rsid w:val="0032385D"/>
    <w:rsid w:val="00323B2F"/>
    <w:rsid w:val="00323C52"/>
    <w:rsid w:val="00323DAA"/>
    <w:rsid w:val="00323E3B"/>
    <w:rsid w:val="003240C3"/>
    <w:rsid w:val="00324167"/>
    <w:rsid w:val="003241DC"/>
    <w:rsid w:val="003242D4"/>
    <w:rsid w:val="00324394"/>
    <w:rsid w:val="003244D2"/>
    <w:rsid w:val="0032457D"/>
    <w:rsid w:val="003245A0"/>
    <w:rsid w:val="003245D9"/>
    <w:rsid w:val="0032470C"/>
    <w:rsid w:val="00324A20"/>
    <w:rsid w:val="00324A21"/>
    <w:rsid w:val="00324AA6"/>
    <w:rsid w:val="00324C03"/>
    <w:rsid w:val="00324EFC"/>
    <w:rsid w:val="00325051"/>
    <w:rsid w:val="003250AF"/>
    <w:rsid w:val="00325298"/>
    <w:rsid w:val="00325332"/>
    <w:rsid w:val="0032550D"/>
    <w:rsid w:val="00325539"/>
    <w:rsid w:val="00325711"/>
    <w:rsid w:val="00325714"/>
    <w:rsid w:val="003257A9"/>
    <w:rsid w:val="00325832"/>
    <w:rsid w:val="00325903"/>
    <w:rsid w:val="00325939"/>
    <w:rsid w:val="00325A61"/>
    <w:rsid w:val="00325E13"/>
    <w:rsid w:val="00325EAD"/>
    <w:rsid w:val="00325F62"/>
    <w:rsid w:val="00325FCA"/>
    <w:rsid w:val="00326041"/>
    <w:rsid w:val="00326115"/>
    <w:rsid w:val="003264BF"/>
    <w:rsid w:val="00326503"/>
    <w:rsid w:val="00326609"/>
    <w:rsid w:val="003266B9"/>
    <w:rsid w:val="00326710"/>
    <w:rsid w:val="00326754"/>
    <w:rsid w:val="00326A1B"/>
    <w:rsid w:val="00326B24"/>
    <w:rsid w:val="00326B8A"/>
    <w:rsid w:val="00326B9B"/>
    <w:rsid w:val="00326B9E"/>
    <w:rsid w:val="00326D0E"/>
    <w:rsid w:val="00326D13"/>
    <w:rsid w:val="00326DDD"/>
    <w:rsid w:val="003270D1"/>
    <w:rsid w:val="003271AA"/>
    <w:rsid w:val="0032721B"/>
    <w:rsid w:val="003272F1"/>
    <w:rsid w:val="0032737A"/>
    <w:rsid w:val="00327578"/>
    <w:rsid w:val="003275E9"/>
    <w:rsid w:val="00327672"/>
    <w:rsid w:val="00327870"/>
    <w:rsid w:val="00327932"/>
    <w:rsid w:val="00327B9C"/>
    <w:rsid w:val="00327BF4"/>
    <w:rsid w:val="00327CB6"/>
    <w:rsid w:val="00327DB6"/>
    <w:rsid w:val="00330017"/>
    <w:rsid w:val="003300CB"/>
    <w:rsid w:val="003300FE"/>
    <w:rsid w:val="00330276"/>
    <w:rsid w:val="0033027F"/>
    <w:rsid w:val="003302FE"/>
    <w:rsid w:val="0033036A"/>
    <w:rsid w:val="00330429"/>
    <w:rsid w:val="003304CA"/>
    <w:rsid w:val="0033051A"/>
    <w:rsid w:val="0033055E"/>
    <w:rsid w:val="0033070D"/>
    <w:rsid w:val="003307B0"/>
    <w:rsid w:val="00330829"/>
    <w:rsid w:val="00330857"/>
    <w:rsid w:val="00330991"/>
    <w:rsid w:val="00330AA1"/>
    <w:rsid w:val="00330B52"/>
    <w:rsid w:val="00330BD8"/>
    <w:rsid w:val="00330D7B"/>
    <w:rsid w:val="00330DAE"/>
    <w:rsid w:val="00331055"/>
    <w:rsid w:val="00331136"/>
    <w:rsid w:val="00331350"/>
    <w:rsid w:val="00331382"/>
    <w:rsid w:val="0033155C"/>
    <w:rsid w:val="0033159F"/>
    <w:rsid w:val="00331653"/>
    <w:rsid w:val="0033186B"/>
    <w:rsid w:val="00331975"/>
    <w:rsid w:val="003319EE"/>
    <w:rsid w:val="00331A11"/>
    <w:rsid w:val="00331A21"/>
    <w:rsid w:val="00331A3A"/>
    <w:rsid w:val="00331A53"/>
    <w:rsid w:val="00331B1A"/>
    <w:rsid w:val="00331B52"/>
    <w:rsid w:val="00331B70"/>
    <w:rsid w:val="00331BB9"/>
    <w:rsid w:val="00331C57"/>
    <w:rsid w:val="00331C9C"/>
    <w:rsid w:val="00331D92"/>
    <w:rsid w:val="00331DED"/>
    <w:rsid w:val="00331F2F"/>
    <w:rsid w:val="00331FBF"/>
    <w:rsid w:val="00332023"/>
    <w:rsid w:val="0033217D"/>
    <w:rsid w:val="0033221F"/>
    <w:rsid w:val="0033225E"/>
    <w:rsid w:val="0033226C"/>
    <w:rsid w:val="00332290"/>
    <w:rsid w:val="00332320"/>
    <w:rsid w:val="0033236D"/>
    <w:rsid w:val="0033254B"/>
    <w:rsid w:val="0033259D"/>
    <w:rsid w:val="0033275F"/>
    <w:rsid w:val="003327CD"/>
    <w:rsid w:val="003328B7"/>
    <w:rsid w:val="00332923"/>
    <w:rsid w:val="0033297E"/>
    <w:rsid w:val="003329B8"/>
    <w:rsid w:val="00332A05"/>
    <w:rsid w:val="00332ACF"/>
    <w:rsid w:val="00332B3C"/>
    <w:rsid w:val="00332CE1"/>
    <w:rsid w:val="00332D05"/>
    <w:rsid w:val="00332D6D"/>
    <w:rsid w:val="00332F6E"/>
    <w:rsid w:val="003330A9"/>
    <w:rsid w:val="00333187"/>
    <w:rsid w:val="00333307"/>
    <w:rsid w:val="003333D2"/>
    <w:rsid w:val="0033353E"/>
    <w:rsid w:val="003336AD"/>
    <w:rsid w:val="003336F8"/>
    <w:rsid w:val="0033370D"/>
    <w:rsid w:val="00333724"/>
    <w:rsid w:val="00333725"/>
    <w:rsid w:val="00333851"/>
    <w:rsid w:val="0033387E"/>
    <w:rsid w:val="0033392B"/>
    <w:rsid w:val="00333A62"/>
    <w:rsid w:val="00333BF4"/>
    <w:rsid w:val="00333CE0"/>
    <w:rsid w:val="00333DDA"/>
    <w:rsid w:val="00333FA7"/>
    <w:rsid w:val="003342A4"/>
    <w:rsid w:val="00334352"/>
    <w:rsid w:val="00334502"/>
    <w:rsid w:val="0033451C"/>
    <w:rsid w:val="00334603"/>
    <w:rsid w:val="0033463D"/>
    <w:rsid w:val="00334686"/>
    <w:rsid w:val="00334695"/>
    <w:rsid w:val="00334844"/>
    <w:rsid w:val="00334A8A"/>
    <w:rsid w:val="00334BFE"/>
    <w:rsid w:val="00334D82"/>
    <w:rsid w:val="00334DC1"/>
    <w:rsid w:val="003350DC"/>
    <w:rsid w:val="003351A8"/>
    <w:rsid w:val="00335201"/>
    <w:rsid w:val="00335603"/>
    <w:rsid w:val="003357FF"/>
    <w:rsid w:val="00335806"/>
    <w:rsid w:val="00335988"/>
    <w:rsid w:val="00335993"/>
    <w:rsid w:val="00335A9C"/>
    <w:rsid w:val="00335BFB"/>
    <w:rsid w:val="00335C2C"/>
    <w:rsid w:val="00335CAA"/>
    <w:rsid w:val="00335F1C"/>
    <w:rsid w:val="003361A4"/>
    <w:rsid w:val="00336208"/>
    <w:rsid w:val="00336238"/>
    <w:rsid w:val="00336316"/>
    <w:rsid w:val="00336397"/>
    <w:rsid w:val="003363DD"/>
    <w:rsid w:val="00336427"/>
    <w:rsid w:val="0033642C"/>
    <w:rsid w:val="00336529"/>
    <w:rsid w:val="00336559"/>
    <w:rsid w:val="0033677C"/>
    <w:rsid w:val="003367CE"/>
    <w:rsid w:val="00336830"/>
    <w:rsid w:val="00336894"/>
    <w:rsid w:val="003368E8"/>
    <w:rsid w:val="00336942"/>
    <w:rsid w:val="00336980"/>
    <w:rsid w:val="00336A78"/>
    <w:rsid w:val="00336AF7"/>
    <w:rsid w:val="00336B1B"/>
    <w:rsid w:val="00336B43"/>
    <w:rsid w:val="00336ED4"/>
    <w:rsid w:val="0033702A"/>
    <w:rsid w:val="003372CC"/>
    <w:rsid w:val="0033731A"/>
    <w:rsid w:val="00337339"/>
    <w:rsid w:val="00337347"/>
    <w:rsid w:val="00337366"/>
    <w:rsid w:val="00337848"/>
    <w:rsid w:val="00337D00"/>
    <w:rsid w:val="00337D8B"/>
    <w:rsid w:val="00337E54"/>
    <w:rsid w:val="0034007B"/>
    <w:rsid w:val="0034007C"/>
    <w:rsid w:val="003400BB"/>
    <w:rsid w:val="003400C1"/>
    <w:rsid w:val="00340118"/>
    <w:rsid w:val="00340146"/>
    <w:rsid w:val="003401CD"/>
    <w:rsid w:val="00340295"/>
    <w:rsid w:val="003402A2"/>
    <w:rsid w:val="00340345"/>
    <w:rsid w:val="0034034C"/>
    <w:rsid w:val="0034035F"/>
    <w:rsid w:val="0034061B"/>
    <w:rsid w:val="00340663"/>
    <w:rsid w:val="003406C6"/>
    <w:rsid w:val="00340857"/>
    <w:rsid w:val="003408F8"/>
    <w:rsid w:val="00340A7C"/>
    <w:rsid w:val="00340ABC"/>
    <w:rsid w:val="00340B3C"/>
    <w:rsid w:val="00340B6F"/>
    <w:rsid w:val="00340D54"/>
    <w:rsid w:val="00340EF2"/>
    <w:rsid w:val="00341042"/>
    <w:rsid w:val="0034106F"/>
    <w:rsid w:val="003410DB"/>
    <w:rsid w:val="003411B5"/>
    <w:rsid w:val="00341208"/>
    <w:rsid w:val="00341403"/>
    <w:rsid w:val="003415F0"/>
    <w:rsid w:val="003416D7"/>
    <w:rsid w:val="003417E2"/>
    <w:rsid w:val="003418CC"/>
    <w:rsid w:val="003419BC"/>
    <w:rsid w:val="00341AE8"/>
    <w:rsid w:val="00341DCF"/>
    <w:rsid w:val="00341F28"/>
    <w:rsid w:val="00341FA9"/>
    <w:rsid w:val="0034221C"/>
    <w:rsid w:val="00342334"/>
    <w:rsid w:val="003423C8"/>
    <w:rsid w:val="0034259D"/>
    <w:rsid w:val="003425F6"/>
    <w:rsid w:val="00342690"/>
    <w:rsid w:val="00342717"/>
    <w:rsid w:val="00342788"/>
    <w:rsid w:val="003428E9"/>
    <w:rsid w:val="00342A21"/>
    <w:rsid w:val="00342BAF"/>
    <w:rsid w:val="00342BF4"/>
    <w:rsid w:val="00342C32"/>
    <w:rsid w:val="00342C3D"/>
    <w:rsid w:val="00342CD4"/>
    <w:rsid w:val="00342CED"/>
    <w:rsid w:val="00342F78"/>
    <w:rsid w:val="0034316A"/>
    <w:rsid w:val="0034322B"/>
    <w:rsid w:val="003434EE"/>
    <w:rsid w:val="0034350E"/>
    <w:rsid w:val="00343556"/>
    <w:rsid w:val="0034367A"/>
    <w:rsid w:val="00343683"/>
    <w:rsid w:val="003437E2"/>
    <w:rsid w:val="0034386A"/>
    <w:rsid w:val="0034387E"/>
    <w:rsid w:val="003438A2"/>
    <w:rsid w:val="00343979"/>
    <w:rsid w:val="003439E7"/>
    <w:rsid w:val="00343A89"/>
    <w:rsid w:val="00343AD8"/>
    <w:rsid w:val="00343CC7"/>
    <w:rsid w:val="00343F97"/>
    <w:rsid w:val="00343FB4"/>
    <w:rsid w:val="0034422A"/>
    <w:rsid w:val="00344388"/>
    <w:rsid w:val="003443B9"/>
    <w:rsid w:val="003443DD"/>
    <w:rsid w:val="00344593"/>
    <w:rsid w:val="00344683"/>
    <w:rsid w:val="003448FF"/>
    <w:rsid w:val="00344928"/>
    <w:rsid w:val="00344935"/>
    <w:rsid w:val="003449F7"/>
    <w:rsid w:val="00344B00"/>
    <w:rsid w:val="00344B94"/>
    <w:rsid w:val="00344BE3"/>
    <w:rsid w:val="00344BFC"/>
    <w:rsid w:val="00344CA0"/>
    <w:rsid w:val="00344CD0"/>
    <w:rsid w:val="00344DFF"/>
    <w:rsid w:val="00344F39"/>
    <w:rsid w:val="00344F79"/>
    <w:rsid w:val="00344F9E"/>
    <w:rsid w:val="00345023"/>
    <w:rsid w:val="0034511A"/>
    <w:rsid w:val="00345253"/>
    <w:rsid w:val="00345500"/>
    <w:rsid w:val="00345565"/>
    <w:rsid w:val="00345568"/>
    <w:rsid w:val="003455C3"/>
    <w:rsid w:val="003455D2"/>
    <w:rsid w:val="00345616"/>
    <w:rsid w:val="00345759"/>
    <w:rsid w:val="003457EB"/>
    <w:rsid w:val="00345871"/>
    <w:rsid w:val="00345981"/>
    <w:rsid w:val="003459BD"/>
    <w:rsid w:val="00345B0A"/>
    <w:rsid w:val="00345CD3"/>
    <w:rsid w:val="00345D54"/>
    <w:rsid w:val="00345E00"/>
    <w:rsid w:val="00345E39"/>
    <w:rsid w:val="00345EDB"/>
    <w:rsid w:val="00345EED"/>
    <w:rsid w:val="00346049"/>
    <w:rsid w:val="0034621A"/>
    <w:rsid w:val="0034626B"/>
    <w:rsid w:val="0034649D"/>
    <w:rsid w:val="0034658D"/>
    <w:rsid w:val="0034686E"/>
    <w:rsid w:val="003468D9"/>
    <w:rsid w:val="003469F1"/>
    <w:rsid w:val="003469F9"/>
    <w:rsid w:val="00346AE6"/>
    <w:rsid w:val="00346B95"/>
    <w:rsid w:val="00346C55"/>
    <w:rsid w:val="00346CBF"/>
    <w:rsid w:val="00346F48"/>
    <w:rsid w:val="00346F7B"/>
    <w:rsid w:val="00347256"/>
    <w:rsid w:val="0034729F"/>
    <w:rsid w:val="00347325"/>
    <w:rsid w:val="00347425"/>
    <w:rsid w:val="003474A5"/>
    <w:rsid w:val="003474F3"/>
    <w:rsid w:val="0034750E"/>
    <w:rsid w:val="00347538"/>
    <w:rsid w:val="003475CF"/>
    <w:rsid w:val="003475EF"/>
    <w:rsid w:val="003477FF"/>
    <w:rsid w:val="0034789C"/>
    <w:rsid w:val="003478AF"/>
    <w:rsid w:val="00347A28"/>
    <w:rsid w:val="00347A62"/>
    <w:rsid w:val="00347DAF"/>
    <w:rsid w:val="00347F41"/>
    <w:rsid w:val="00347F51"/>
    <w:rsid w:val="00350010"/>
    <w:rsid w:val="003500A1"/>
    <w:rsid w:val="00350139"/>
    <w:rsid w:val="0035017B"/>
    <w:rsid w:val="00350226"/>
    <w:rsid w:val="00350282"/>
    <w:rsid w:val="003502F1"/>
    <w:rsid w:val="00350373"/>
    <w:rsid w:val="00350534"/>
    <w:rsid w:val="0035062C"/>
    <w:rsid w:val="003506B7"/>
    <w:rsid w:val="003507E9"/>
    <w:rsid w:val="00350853"/>
    <w:rsid w:val="00350863"/>
    <w:rsid w:val="00350A01"/>
    <w:rsid w:val="00350AE0"/>
    <w:rsid w:val="00350C27"/>
    <w:rsid w:val="00350C49"/>
    <w:rsid w:val="00350C6B"/>
    <w:rsid w:val="00350D38"/>
    <w:rsid w:val="00350E3C"/>
    <w:rsid w:val="00350FD1"/>
    <w:rsid w:val="0035118B"/>
    <w:rsid w:val="0035145A"/>
    <w:rsid w:val="003517B5"/>
    <w:rsid w:val="00351863"/>
    <w:rsid w:val="003519A3"/>
    <w:rsid w:val="003519FC"/>
    <w:rsid w:val="00351AF6"/>
    <w:rsid w:val="00351B25"/>
    <w:rsid w:val="00351B36"/>
    <w:rsid w:val="00351B5C"/>
    <w:rsid w:val="00351B94"/>
    <w:rsid w:val="00351C56"/>
    <w:rsid w:val="00351CAF"/>
    <w:rsid w:val="00351E3C"/>
    <w:rsid w:val="00351E84"/>
    <w:rsid w:val="00351E9E"/>
    <w:rsid w:val="00351F3C"/>
    <w:rsid w:val="0035211A"/>
    <w:rsid w:val="003521B4"/>
    <w:rsid w:val="003524F6"/>
    <w:rsid w:val="003525EF"/>
    <w:rsid w:val="003526CA"/>
    <w:rsid w:val="00352A16"/>
    <w:rsid w:val="00352CB1"/>
    <w:rsid w:val="00352CB7"/>
    <w:rsid w:val="00352D1B"/>
    <w:rsid w:val="00352DE6"/>
    <w:rsid w:val="00352E83"/>
    <w:rsid w:val="00352F15"/>
    <w:rsid w:val="00352F43"/>
    <w:rsid w:val="00352F44"/>
    <w:rsid w:val="00352F8E"/>
    <w:rsid w:val="0035319E"/>
    <w:rsid w:val="003532AB"/>
    <w:rsid w:val="003533B9"/>
    <w:rsid w:val="00353560"/>
    <w:rsid w:val="003535FC"/>
    <w:rsid w:val="003536CC"/>
    <w:rsid w:val="0035371C"/>
    <w:rsid w:val="00353B9A"/>
    <w:rsid w:val="00353CDD"/>
    <w:rsid w:val="00353D86"/>
    <w:rsid w:val="00353E9A"/>
    <w:rsid w:val="0035421C"/>
    <w:rsid w:val="003543F3"/>
    <w:rsid w:val="0035442B"/>
    <w:rsid w:val="0035443E"/>
    <w:rsid w:val="003544B5"/>
    <w:rsid w:val="003544ED"/>
    <w:rsid w:val="003546B2"/>
    <w:rsid w:val="00354855"/>
    <w:rsid w:val="0035486F"/>
    <w:rsid w:val="003548AC"/>
    <w:rsid w:val="003548CE"/>
    <w:rsid w:val="00354AAE"/>
    <w:rsid w:val="00354B96"/>
    <w:rsid w:val="00354BA7"/>
    <w:rsid w:val="00354CBA"/>
    <w:rsid w:val="00354E36"/>
    <w:rsid w:val="00354E7F"/>
    <w:rsid w:val="00355060"/>
    <w:rsid w:val="0035507F"/>
    <w:rsid w:val="00355100"/>
    <w:rsid w:val="00355209"/>
    <w:rsid w:val="00355233"/>
    <w:rsid w:val="003552AF"/>
    <w:rsid w:val="003553AA"/>
    <w:rsid w:val="00355489"/>
    <w:rsid w:val="003554EC"/>
    <w:rsid w:val="003556E4"/>
    <w:rsid w:val="0035574A"/>
    <w:rsid w:val="003557A1"/>
    <w:rsid w:val="00355892"/>
    <w:rsid w:val="00355C37"/>
    <w:rsid w:val="00355CFB"/>
    <w:rsid w:val="00355DEA"/>
    <w:rsid w:val="00355E20"/>
    <w:rsid w:val="00355E2E"/>
    <w:rsid w:val="00355F2F"/>
    <w:rsid w:val="00355F7F"/>
    <w:rsid w:val="0035626F"/>
    <w:rsid w:val="00356283"/>
    <w:rsid w:val="003563B3"/>
    <w:rsid w:val="003564ED"/>
    <w:rsid w:val="0035670F"/>
    <w:rsid w:val="0035672B"/>
    <w:rsid w:val="0035684F"/>
    <w:rsid w:val="003568EC"/>
    <w:rsid w:val="00356973"/>
    <w:rsid w:val="0035698D"/>
    <w:rsid w:val="00356A0C"/>
    <w:rsid w:val="00356A58"/>
    <w:rsid w:val="00356BA2"/>
    <w:rsid w:val="00356D88"/>
    <w:rsid w:val="00356DF4"/>
    <w:rsid w:val="00356F89"/>
    <w:rsid w:val="00356FD5"/>
    <w:rsid w:val="003570B0"/>
    <w:rsid w:val="003570DA"/>
    <w:rsid w:val="003570F2"/>
    <w:rsid w:val="00357436"/>
    <w:rsid w:val="00357661"/>
    <w:rsid w:val="00357832"/>
    <w:rsid w:val="00357B41"/>
    <w:rsid w:val="00357B4E"/>
    <w:rsid w:val="00357B60"/>
    <w:rsid w:val="00357BE9"/>
    <w:rsid w:val="00357C7D"/>
    <w:rsid w:val="00357D7B"/>
    <w:rsid w:val="00357DD0"/>
    <w:rsid w:val="00357F06"/>
    <w:rsid w:val="00357FCF"/>
    <w:rsid w:val="00360083"/>
    <w:rsid w:val="0036019D"/>
    <w:rsid w:val="003601C2"/>
    <w:rsid w:val="003602ED"/>
    <w:rsid w:val="00360374"/>
    <w:rsid w:val="003603B5"/>
    <w:rsid w:val="003603D9"/>
    <w:rsid w:val="003604BA"/>
    <w:rsid w:val="00360592"/>
    <w:rsid w:val="0036087F"/>
    <w:rsid w:val="003608C7"/>
    <w:rsid w:val="0036093A"/>
    <w:rsid w:val="00360AD1"/>
    <w:rsid w:val="00360B24"/>
    <w:rsid w:val="00360B69"/>
    <w:rsid w:val="00360BA5"/>
    <w:rsid w:val="00360BBC"/>
    <w:rsid w:val="00360BD7"/>
    <w:rsid w:val="00360C75"/>
    <w:rsid w:val="00360E11"/>
    <w:rsid w:val="00360E23"/>
    <w:rsid w:val="00360EAA"/>
    <w:rsid w:val="00361005"/>
    <w:rsid w:val="003612E7"/>
    <w:rsid w:val="00361310"/>
    <w:rsid w:val="003613B3"/>
    <w:rsid w:val="0036142C"/>
    <w:rsid w:val="003615E4"/>
    <w:rsid w:val="0036168F"/>
    <w:rsid w:val="003616E1"/>
    <w:rsid w:val="0036187D"/>
    <w:rsid w:val="00361AD0"/>
    <w:rsid w:val="00361B9C"/>
    <w:rsid w:val="00361D6D"/>
    <w:rsid w:val="00361E3D"/>
    <w:rsid w:val="00361EA3"/>
    <w:rsid w:val="00361F04"/>
    <w:rsid w:val="003621BD"/>
    <w:rsid w:val="00362284"/>
    <w:rsid w:val="003623BA"/>
    <w:rsid w:val="00362418"/>
    <w:rsid w:val="00362486"/>
    <w:rsid w:val="003624DB"/>
    <w:rsid w:val="003625C3"/>
    <w:rsid w:val="003627C3"/>
    <w:rsid w:val="003627E4"/>
    <w:rsid w:val="003629CB"/>
    <w:rsid w:val="00362AB2"/>
    <w:rsid w:val="00362C23"/>
    <w:rsid w:val="00362CDC"/>
    <w:rsid w:val="00362D38"/>
    <w:rsid w:val="00362E3C"/>
    <w:rsid w:val="00362EF4"/>
    <w:rsid w:val="00362EFC"/>
    <w:rsid w:val="00363052"/>
    <w:rsid w:val="003630A5"/>
    <w:rsid w:val="0036312E"/>
    <w:rsid w:val="003635DD"/>
    <w:rsid w:val="0036362F"/>
    <w:rsid w:val="003636C8"/>
    <w:rsid w:val="003637AF"/>
    <w:rsid w:val="00363903"/>
    <w:rsid w:val="00363908"/>
    <w:rsid w:val="00363995"/>
    <w:rsid w:val="00363A14"/>
    <w:rsid w:val="00363DB1"/>
    <w:rsid w:val="00363E96"/>
    <w:rsid w:val="00363EE5"/>
    <w:rsid w:val="00363F30"/>
    <w:rsid w:val="00364168"/>
    <w:rsid w:val="00364227"/>
    <w:rsid w:val="00364250"/>
    <w:rsid w:val="0036438E"/>
    <w:rsid w:val="0036440E"/>
    <w:rsid w:val="00364447"/>
    <w:rsid w:val="00364456"/>
    <w:rsid w:val="0036459C"/>
    <w:rsid w:val="0036463C"/>
    <w:rsid w:val="00364651"/>
    <w:rsid w:val="003648AF"/>
    <w:rsid w:val="003648FB"/>
    <w:rsid w:val="00364909"/>
    <w:rsid w:val="003649AB"/>
    <w:rsid w:val="00364A42"/>
    <w:rsid w:val="00364AD4"/>
    <w:rsid w:val="00364ADD"/>
    <w:rsid w:val="00364C97"/>
    <w:rsid w:val="00364E92"/>
    <w:rsid w:val="00364EEB"/>
    <w:rsid w:val="00364F68"/>
    <w:rsid w:val="00365054"/>
    <w:rsid w:val="003650C9"/>
    <w:rsid w:val="003650D6"/>
    <w:rsid w:val="00365231"/>
    <w:rsid w:val="003652D9"/>
    <w:rsid w:val="0036535D"/>
    <w:rsid w:val="00365391"/>
    <w:rsid w:val="00365411"/>
    <w:rsid w:val="00365605"/>
    <w:rsid w:val="00365626"/>
    <w:rsid w:val="00365819"/>
    <w:rsid w:val="00365AAA"/>
    <w:rsid w:val="00365AC4"/>
    <w:rsid w:val="00365AC5"/>
    <w:rsid w:val="00365B77"/>
    <w:rsid w:val="00365B9C"/>
    <w:rsid w:val="00365C69"/>
    <w:rsid w:val="00365ED2"/>
    <w:rsid w:val="00365F0E"/>
    <w:rsid w:val="00365FD3"/>
    <w:rsid w:val="003660A1"/>
    <w:rsid w:val="0036624C"/>
    <w:rsid w:val="00366260"/>
    <w:rsid w:val="003662BE"/>
    <w:rsid w:val="003663E6"/>
    <w:rsid w:val="00366431"/>
    <w:rsid w:val="00366565"/>
    <w:rsid w:val="003665CA"/>
    <w:rsid w:val="0036665D"/>
    <w:rsid w:val="003667D5"/>
    <w:rsid w:val="00366823"/>
    <w:rsid w:val="003669CC"/>
    <w:rsid w:val="00366A55"/>
    <w:rsid w:val="00366A66"/>
    <w:rsid w:val="00366C42"/>
    <w:rsid w:val="00366DB6"/>
    <w:rsid w:val="00366E84"/>
    <w:rsid w:val="00366F69"/>
    <w:rsid w:val="00367001"/>
    <w:rsid w:val="003670DB"/>
    <w:rsid w:val="003671E8"/>
    <w:rsid w:val="003672F4"/>
    <w:rsid w:val="003673AA"/>
    <w:rsid w:val="003673C3"/>
    <w:rsid w:val="003673ED"/>
    <w:rsid w:val="0036745C"/>
    <w:rsid w:val="0036767B"/>
    <w:rsid w:val="003676D6"/>
    <w:rsid w:val="003677B4"/>
    <w:rsid w:val="003677E9"/>
    <w:rsid w:val="00367B06"/>
    <w:rsid w:val="00367B58"/>
    <w:rsid w:val="00367BC2"/>
    <w:rsid w:val="00367C66"/>
    <w:rsid w:val="00367D19"/>
    <w:rsid w:val="00367E94"/>
    <w:rsid w:val="00370077"/>
    <w:rsid w:val="00370132"/>
    <w:rsid w:val="003702BF"/>
    <w:rsid w:val="003702FE"/>
    <w:rsid w:val="0037030B"/>
    <w:rsid w:val="00370680"/>
    <w:rsid w:val="003707E5"/>
    <w:rsid w:val="003709B8"/>
    <w:rsid w:val="003709C2"/>
    <w:rsid w:val="00370AE3"/>
    <w:rsid w:val="00370B14"/>
    <w:rsid w:val="00370B42"/>
    <w:rsid w:val="00370E88"/>
    <w:rsid w:val="00370FE4"/>
    <w:rsid w:val="00371079"/>
    <w:rsid w:val="003711BB"/>
    <w:rsid w:val="00371226"/>
    <w:rsid w:val="00371305"/>
    <w:rsid w:val="003713CF"/>
    <w:rsid w:val="003713F2"/>
    <w:rsid w:val="003713FC"/>
    <w:rsid w:val="00371457"/>
    <w:rsid w:val="003714E9"/>
    <w:rsid w:val="003716BB"/>
    <w:rsid w:val="003716FD"/>
    <w:rsid w:val="00371880"/>
    <w:rsid w:val="00371915"/>
    <w:rsid w:val="003719E9"/>
    <w:rsid w:val="00371A3F"/>
    <w:rsid w:val="00371B95"/>
    <w:rsid w:val="00371C34"/>
    <w:rsid w:val="00371C5E"/>
    <w:rsid w:val="00371CA5"/>
    <w:rsid w:val="00371CB3"/>
    <w:rsid w:val="00371CB5"/>
    <w:rsid w:val="00371D34"/>
    <w:rsid w:val="00371D55"/>
    <w:rsid w:val="00371E9B"/>
    <w:rsid w:val="00371EED"/>
    <w:rsid w:val="0037204B"/>
    <w:rsid w:val="00372268"/>
    <w:rsid w:val="00372294"/>
    <w:rsid w:val="00372627"/>
    <w:rsid w:val="00372648"/>
    <w:rsid w:val="0037290A"/>
    <w:rsid w:val="00372968"/>
    <w:rsid w:val="0037299F"/>
    <w:rsid w:val="00372A28"/>
    <w:rsid w:val="00372A55"/>
    <w:rsid w:val="00372B8B"/>
    <w:rsid w:val="00372C5D"/>
    <w:rsid w:val="00372C72"/>
    <w:rsid w:val="00372EA1"/>
    <w:rsid w:val="00373088"/>
    <w:rsid w:val="003730CC"/>
    <w:rsid w:val="0037322F"/>
    <w:rsid w:val="003732DA"/>
    <w:rsid w:val="00373377"/>
    <w:rsid w:val="003734B1"/>
    <w:rsid w:val="003736E9"/>
    <w:rsid w:val="0037378D"/>
    <w:rsid w:val="00373853"/>
    <w:rsid w:val="003738BF"/>
    <w:rsid w:val="00373A32"/>
    <w:rsid w:val="00373C22"/>
    <w:rsid w:val="00373D21"/>
    <w:rsid w:val="00373D76"/>
    <w:rsid w:val="00373D81"/>
    <w:rsid w:val="00374015"/>
    <w:rsid w:val="0037403B"/>
    <w:rsid w:val="003744BE"/>
    <w:rsid w:val="003744CF"/>
    <w:rsid w:val="0037456C"/>
    <w:rsid w:val="003746B9"/>
    <w:rsid w:val="003746D3"/>
    <w:rsid w:val="00374717"/>
    <w:rsid w:val="003747C0"/>
    <w:rsid w:val="003747FF"/>
    <w:rsid w:val="00374868"/>
    <w:rsid w:val="003748A6"/>
    <w:rsid w:val="00374C89"/>
    <w:rsid w:val="00374D27"/>
    <w:rsid w:val="00374E0F"/>
    <w:rsid w:val="00374E5B"/>
    <w:rsid w:val="00374E6E"/>
    <w:rsid w:val="00374E90"/>
    <w:rsid w:val="00374EE8"/>
    <w:rsid w:val="00374EF7"/>
    <w:rsid w:val="00374F01"/>
    <w:rsid w:val="00375322"/>
    <w:rsid w:val="0037561E"/>
    <w:rsid w:val="0037567D"/>
    <w:rsid w:val="003756D2"/>
    <w:rsid w:val="003756D8"/>
    <w:rsid w:val="0037585B"/>
    <w:rsid w:val="00375B23"/>
    <w:rsid w:val="00375B50"/>
    <w:rsid w:val="00375BD5"/>
    <w:rsid w:val="00375CD4"/>
    <w:rsid w:val="00375CEC"/>
    <w:rsid w:val="00375D84"/>
    <w:rsid w:val="00375E2D"/>
    <w:rsid w:val="003760EC"/>
    <w:rsid w:val="00376109"/>
    <w:rsid w:val="00376111"/>
    <w:rsid w:val="00376153"/>
    <w:rsid w:val="003761BB"/>
    <w:rsid w:val="003761CE"/>
    <w:rsid w:val="00376251"/>
    <w:rsid w:val="0037626A"/>
    <w:rsid w:val="00376394"/>
    <w:rsid w:val="003763AC"/>
    <w:rsid w:val="00376507"/>
    <w:rsid w:val="00376543"/>
    <w:rsid w:val="003766BA"/>
    <w:rsid w:val="0037676C"/>
    <w:rsid w:val="00376797"/>
    <w:rsid w:val="00376930"/>
    <w:rsid w:val="003769E2"/>
    <w:rsid w:val="00376A16"/>
    <w:rsid w:val="00376A85"/>
    <w:rsid w:val="00376B25"/>
    <w:rsid w:val="00376C90"/>
    <w:rsid w:val="00376D4B"/>
    <w:rsid w:val="00376E2F"/>
    <w:rsid w:val="00377045"/>
    <w:rsid w:val="00377098"/>
    <w:rsid w:val="003770EF"/>
    <w:rsid w:val="0037722B"/>
    <w:rsid w:val="00377463"/>
    <w:rsid w:val="00377604"/>
    <w:rsid w:val="0037760A"/>
    <w:rsid w:val="0037772B"/>
    <w:rsid w:val="00377753"/>
    <w:rsid w:val="0037775A"/>
    <w:rsid w:val="003779D1"/>
    <w:rsid w:val="00377AB9"/>
    <w:rsid w:val="00377B5E"/>
    <w:rsid w:val="00377B6E"/>
    <w:rsid w:val="00377C07"/>
    <w:rsid w:val="00377CC2"/>
    <w:rsid w:val="00377D50"/>
    <w:rsid w:val="00377DFB"/>
    <w:rsid w:val="00377E90"/>
    <w:rsid w:val="00380010"/>
    <w:rsid w:val="003802BC"/>
    <w:rsid w:val="003802D8"/>
    <w:rsid w:val="00380327"/>
    <w:rsid w:val="00380394"/>
    <w:rsid w:val="003803BA"/>
    <w:rsid w:val="003805F5"/>
    <w:rsid w:val="003807D0"/>
    <w:rsid w:val="00380815"/>
    <w:rsid w:val="00380836"/>
    <w:rsid w:val="00380837"/>
    <w:rsid w:val="0038085F"/>
    <w:rsid w:val="00380896"/>
    <w:rsid w:val="00380A9E"/>
    <w:rsid w:val="00380C32"/>
    <w:rsid w:val="00380C37"/>
    <w:rsid w:val="00380F0B"/>
    <w:rsid w:val="00380F56"/>
    <w:rsid w:val="00380FD9"/>
    <w:rsid w:val="00381043"/>
    <w:rsid w:val="003810C9"/>
    <w:rsid w:val="003811C0"/>
    <w:rsid w:val="003811DF"/>
    <w:rsid w:val="003811FF"/>
    <w:rsid w:val="003812CB"/>
    <w:rsid w:val="00381312"/>
    <w:rsid w:val="00381609"/>
    <w:rsid w:val="00381642"/>
    <w:rsid w:val="0038166E"/>
    <w:rsid w:val="00381681"/>
    <w:rsid w:val="003816C0"/>
    <w:rsid w:val="00381814"/>
    <w:rsid w:val="003819EB"/>
    <w:rsid w:val="00381AAA"/>
    <w:rsid w:val="003820AD"/>
    <w:rsid w:val="003820FC"/>
    <w:rsid w:val="003822F9"/>
    <w:rsid w:val="003823B9"/>
    <w:rsid w:val="00382520"/>
    <w:rsid w:val="0038253D"/>
    <w:rsid w:val="0038261A"/>
    <w:rsid w:val="00382653"/>
    <w:rsid w:val="003826D3"/>
    <w:rsid w:val="0038277C"/>
    <w:rsid w:val="0038281B"/>
    <w:rsid w:val="003829E5"/>
    <w:rsid w:val="00382A43"/>
    <w:rsid w:val="00382C94"/>
    <w:rsid w:val="00382CD8"/>
    <w:rsid w:val="00382E3C"/>
    <w:rsid w:val="00382F88"/>
    <w:rsid w:val="00382FAD"/>
    <w:rsid w:val="0038317C"/>
    <w:rsid w:val="0038328F"/>
    <w:rsid w:val="003832A0"/>
    <w:rsid w:val="0038351E"/>
    <w:rsid w:val="0038364F"/>
    <w:rsid w:val="003838BC"/>
    <w:rsid w:val="003839F1"/>
    <w:rsid w:val="00383A8A"/>
    <w:rsid w:val="00383AD8"/>
    <w:rsid w:val="00383B76"/>
    <w:rsid w:val="00383B8B"/>
    <w:rsid w:val="00383BA8"/>
    <w:rsid w:val="00383BED"/>
    <w:rsid w:val="00383C0D"/>
    <w:rsid w:val="00383C29"/>
    <w:rsid w:val="00383C2F"/>
    <w:rsid w:val="00383C89"/>
    <w:rsid w:val="00383DAC"/>
    <w:rsid w:val="00384098"/>
    <w:rsid w:val="003840C5"/>
    <w:rsid w:val="003841FA"/>
    <w:rsid w:val="00384237"/>
    <w:rsid w:val="00384276"/>
    <w:rsid w:val="00384448"/>
    <w:rsid w:val="00384563"/>
    <w:rsid w:val="00384617"/>
    <w:rsid w:val="0038477D"/>
    <w:rsid w:val="0038493A"/>
    <w:rsid w:val="003849AB"/>
    <w:rsid w:val="00384A10"/>
    <w:rsid w:val="00384ADA"/>
    <w:rsid w:val="00384BC3"/>
    <w:rsid w:val="00384BD5"/>
    <w:rsid w:val="00384CB1"/>
    <w:rsid w:val="00384D23"/>
    <w:rsid w:val="00384D9F"/>
    <w:rsid w:val="00384FB1"/>
    <w:rsid w:val="00385053"/>
    <w:rsid w:val="003850A8"/>
    <w:rsid w:val="00385190"/>
    <w:rsid w:val="0038543A"/>
    <w:rsid w:val="0038545C"/>
    <w:rsid w:val="0038552F"/>
    <w:rsid w:val="00385904"/>
    <w:rsid w:val="0038596B"/>
    <w:rsid w:val="00385A0B"/>
    <w:rsid w:val="00385A48"/>
    <w:rsid w:val="00385B3C"/>
    <w:rsid w:val="00385D6F"/>
    <w:rsid w:val="00385D9B"/>
    <w:rsid w:val="00385DAE"/>
    <w:rsid w:val="00385E6C"/>
    <w:rsid w:val="00385E7A"/>
    <w:rsid w:val="00385E9F"/>
    <w:rsid w:val="00385F42"/>
    <w:rsid w:val="00386109"/>
    <w:rsid w:val="0038618C"/>
    <w:rsid w:val="003861AF"/>
    <w:rsid w:val="003861E1"/>
    <w:rsid w:val="00386327"/>
    <w:rsid w:val="00386342"/>
    <w:rsid w:val="00386534"/>
    <w:rsid w:val="003866C0"/>
    <w:rsid w:val="00386944"/>
    <w:rsid w:val="0038699B"/>
    <w:rsid w:val="00386B4A"/>
    <w:rsid w:val="00386B5D"/>
    <w:rsid w:val="00386BD8"/>
    <w:rsid w:val="00386D3A"/>
    <w:rsid w:val="00386D3E"/>
    <w:rsid w:val="00386E52"/>
    <w:rsid w:val="00387030"/>
    <w:rsid w:val="003870A3"/>
    <w:rsid w:val="003870FD"/>
    <w:rsid w:val="00387468"/>
    <w:rsid w:val="00387507"/>
    <w:rsid w:val="003875EE"/>
    <w:rsid w:val="003876C2"/>
    <w:rsid w:val="0038789F"/>
    <w:rsid w:val="00387A47"/>
    <w:rsid w:val="00387AC7"/>
    <w:rsid w:val="00387D0F"/>
    <w:rsid w:val="00387F16"/>
    <w:rsid w:val="00387FB5"/>
    <w:rsid w:val="00387FD9"/>
    <w:rsid w:val="00390168"/>
    <w:rsid w:val="00390193"/>
    <w:rsid w:val="00390252"/>
    <w:rsid w:val="0039032D"/>
    <w:rsid w:val="00390431"/>
    <w:rsid w:val="003904A0"/>
    <w:rsid w:val="0039054B"/>
    <w:rsid w:val="00390686"/>
    <w:rsid w:val="00390731"/>
    <w:rsid w:val="0039073E"/>
    <w:rsid w:val="0039073F"/>
    <w:rsid w:val="003907C0"/>
    <w:rsid w:val="00390816"/>
    <w:rsid w:val="00390829"/>
    <w:rsid w:val="0039086C"/>
    <w:rsid w:val="003908A3"/>
    <w:rsid w:val="00390972"/>
    <w:rsid w:val="003909F3"/>
    <w:rsid w:val="00390A08"/>
    <w:rsid w:val="00390A58"/>
    <w:rsid w:val="00390A68"/>
    <w:rsid w:val="00390A72"/>
    <w:rsid w:val="00390BA6"/>
    <w:rsid w:val="00390BD4"/>
    <w:rsid w:val="00390C3D"/>
    <w:rsid w:val="00390C6E"/>
    <w:rsid w:val="00390D66"/>
    <w:rsid w:val="00390EB0"/>
    <w:rsid w:val="00390FB0"/>
    <w:rsid w:val="00391096"/>
    <w:rsid w:val="00391257"/>
    <w:rsid w:val="003915CB"/>
    <w:rsid w:val="003917D2"/>
    <w:rsid w:val="003917D9"/>
    <w:rsid w:val="0039185A"/>
    <w:rsid w:val="0039191E"/>
    <w:rsid w:val="00391A74"/>
    <w:rsid w:val="00391AC1"/>
    <w:rsid w:val="00391BBD"/>
    <w:rsid w:val="00391BD3"/>
    <w:rsid w:val="00391BF4"/>
    <w:rsid w:val="00391CAB"/>
    <w:rsid w:val="00391CCE"/>
    <w:rsid w:val="00392219"/>
    <w:rsid w:val="003922A7"/>
    <w:rsid w:val="003923F0"/>
    <w:rsid w:val="00392429"/>
    <w:rsid w:val="00392512"/>
    <w:rsid w:val="00392680"/>
    <w:rsid w:val="00392934"/>
    <w:rsid w:val="0039298F"/>
    <w:rsid w:val="00392AD2"/>
    <w:rsid w:val="00392AFF"/>
    <w:rsid w:val="00392D35"/>
    <w:rsid w:val="00392E2C"/>
    <w:rsid w:val="00393049"/>
    <w:rsid w:val="0039308F"/>
    <w:rsid w:val="003932F0"/>
    <w:rsid w:val="003932FF"/>
    <w:rsid w:val="00393344"/>
    <w:rsid w:val="00393413"/>
    <w:rsid w:val="003934D0"/>
    <w:rsid w:val="00393529"/>
    <w:rsid w:val="00393589"/>
    <w:rsid w:val="00393608"/>
    <w:rsid w:val="003936CA"/>
    <w:rsid w:val="00393931"/>
    <w:rsid w:val="00393A54"/>
    <w:rsid w:val="00393EB8"/>
    <w:rsid w:val="00393F38"/>
    <w:rsid w:val="003940C0"/>
    <w:rsid w:val="003940CE"/>
    <w:rsid w:val="0039417F"/>
    <w:rsid w:val="0039458A"/>
    <w:rsid w:val="00394943"/>
    <w:rsid w:val="00394AF1"/>
    <w:rsid w:val="00394C3A"/>
    <w:rsid w:val="00394C4C"/>
    <w:rsid w:val="00394D60"/>
    <w:rsid w:val="00394D9A"/>
    <w:rsid w:val="00394E44"/>
    <w:rsid w:val="00394E51"/>
    <w:rsid w:val="00394F75"/>
    <w:rsid w:val="00394FD9"/>
    <w:rsid w:val="003951F2"/>
    <w:rsid w:val="003951F7"/>
    <w:rsid w:val="00395282"/>
    <w:rsid w:val="00395471"/>
    <w:rsid w:val="00395483"/>
    <w:rsid w:val="0039554E"/>
    <w:rsid w:val="003956CC"/>
    <w:rsid w:val="003957B0"/>
    <w:rsid w:val="003957FC"/>
    <w:rsid w:val="0039588F"/>
    <w:rsid w:val="00395A8E"/>
    <w:rsid w:val="00395AF3"/>
    <w:rsid w:val="00395C1B"/>
    <w:rsid w:val="00395C9A"/>
    <w:rsid w:val="00395CF7"/>
    <w:rsid w:val="00395D09"/>
    <w:rsid w:val="00395E02"/>
    <w:rsid w:val="00395E13"/>
    <w:rsid w:val="00395EF1"/>
    <w:rsid w:val="003963D5"/>
    <w:rsid w:val="00396429"/>
    <w:rsid w:val="00396481"/>
    <w:rsid w:val="003965C8"/>
    <w:rsid w:val="0039660C"/>
    <w:rsid w:val="00396643"/>
    <w:rsid w:val="003966B5"/>
    <w:rsid w:val="00396948"/>
    <w:rsid w:val="00396B0B"/>
    <w:rsid w:val="00396C03"/>
    <w:rsid w:val="00396C81"/>
    <w:rsid w:val="00396CD1"/>
    <w:rsid w:val="00396D1F"/>
    <w:rsid w:val="00396D7E"/>
    <w:rsid w:val="00396D7F"/>
    <w:rsid w:val="00396DB2"/>
    <w:rsid w:val="00396DCA"/>
    <w:rsid w:val="00396DFD"/>
    <w:rsid w:val="00396EA7"/>
    <w:rsid w:val="00396FC1"/>
    <w:rsid w:val="00397053"/>
    <w:rsid w:val="003970D5"/>
    <w:rsid w:val="0039726A"/>
    <w:rsid w:val="0039729D"/>
    <w:rsid w:val="003973CA"/>
    <w:rsid w:val="00397541"/>
    <w:rsid w:val="00397585"/>
    <w:rsid w:val="003976F4"/>
    <w:rsid w:val="0039789D"/>
    <w:rsid w:val="003978BD"/>
    <w:rsid w:val="00397A8A"/>
    <w:rsid w:val="00397AA3"/>
    <w:rsid w:val="00397ADA"/>
    <w:rsid w:val="00397AEF"/>
    <w:rsid w:val="00397CC7"/>
    <w:rsid w:val="00397DA8"/>
    <w:rsid w:val="00397DEA"/>
    <w:rsid w:val="00397E49"/>
    <w:rsid w:val="00397EFE"/>
    <w:rsid w:val="003A0111"/>
    <w:rsid w:val="003A0398"/>
    <w:rsid w:val="003A044B"/>
    <w:rsid w:val="003A0602"/>
    <w:rsid w:val="003A07A5"/>
    <w:rsid w:val="003A0853"/>
    <w:rsid w:val="003A08FD"/>
    <w:rsid w:val="003A091F"/>
    <w:rsid w:val="003A0BDF"/>
    <w:rsid w:val="003A0D54"/>
    <w:rsid w:val="003A0D6D"/>
    <w:rsid w:val="003A0D9E"/>
    <w:rsid w:val="003A0DEE"/>
    <w:rsid w:val="003A0E24"/>
    <w:rsid w:val="003A0FE7"/>
    <w:rsid w:val="003A11A8"/>
    <w:rsid w:val="003A122E"/>
    <w:rsid w:val="003A15D9"/>
    <w:rsid w:val="003A16D8"/>
    <w:rsid w:val="003A176C"/>
    <w:rsid w:val="003A199C"/>
    <w:rsid w:val="003A19EB"/>
    <w:rsid w:val="003A1A6D"/>
    <w:rsid w:val="003A1BE3"/>
    <w:rsid w:val="003A1DFE"/>
    <w:rsid w:val="003A1F08"/>
    <w:rsid w:val="003A210E"/>
    <w:rsid w:val="003A21CB"/>
    <w:rsid w:val="003A2233"/>
    <w:rsid w:val="003A22A2"/>
    <w:rsid w:val="003A2326"/>
    <w:rsid w:val="003A2545"/>
    <w:rsid w:val="003A25B0"/>
    <w:rsid w:val="003A2672"/>
    <w:rsid w:val="003A2845"/>
    <w:rsid w:val="003A292F"/>
    <w:rsid w:val="003A29AB"/>
    <w:rsid w:val="003A2A25"/>
    <w:rsid w:val="003A2AEA"/>
    <w:rsid w:val="003A2B9E"/>
    <w:rsid w:val="003A2BB8"/>
    <w:rsid w:val="003A2C23"/>
    <w:rsid w:val="003A2F03"/>
    <w:rsid w:val="003A2F95"/>
    <w:rsid w:val="003A3088"/>
    <w:rsid w:val="003A30D2"/>
    <w:rsid w:val="003A3114"/>
    <w:rsid w:val="003A317F"/>
    <w:rsid w:val="003A325F"/>
    <w:rsid w:val="003A33F9"/>
    <w:rsid w:val="003A3528"/>
    <w:rsid w:val="003A357C"/>
    <w:rsid w:val="003A36BE"/>
    <w:rsid w:val="003A3741"/>
    <w:rsid w:val="003A3A29"/>
    <w:rsid w:val="003A3B38"/>
    <w:rsid w:val="003A3DD5"/>
    <w:rsid w:val="003A3EEF"/>
    <w:rsid w:val="003A3F0A"/>
    <w:rsid w:val="003A40AA"/>
    <w:rsid w:val="003A410A"/>
    <w:rsid w:val="003A4232"/>
    <w:rsid w:val="003A43C6"/>
    <w:rsid w:val="003A471F"/>
    <w:rsid w:val="003A47D6"/>
    <w:rsid w:val="003A48F0"/>
    <w:rsid w:val="003A4900"/>
    <w:rsid w:val="003A4A30"/>
    <w:rsid w:val="003A4A4F"/>
    <w:rsid w:val="003A4A81"/>
    <w:rsid w:val="003A4BF4"/>
    <w:rsid w:val="003A4CBA"/>
    <w:rsid w:val="003A4D0B"/>
    <w:rsid w:val="003A4E04"/>
    <w:rsid w:val="003A4E51"/>
    <w:rsid w:val="003A4EE7"/>
    <w:rsid w:val="003A4FB9"/>
    <w:rsid w:val="003A500D"/>
    <w:rsid w:val="003A53A5"/>
    <w:rsid w:val="003A56F2"/>
    <w:rsid w:val="003A5831"/>
    <w:rsid w:val="003A5849"/>
    <w:rsid w:val="003A58E2"/>
    <w:rsid w:val="003A594C"/>
    <w:rsid w:val="003A59CF"/>
    <w:rsid w:val="003A59F3"/>
    <w:rsid w:val="003A5A03"/>
    <w:rsid w:val="003A5A21"/>
    <w:rsid w:val="003A5AF3"/>
    <w:rsid w:val="003A5B54"/>
    <w:rsid w:val="003A5B9D"/>
    <w:rsid w:val="003A5BC1"/>
    <w:rsid w:val="003A5BE5"/>
    <w:rsid w:val="003A5C98"/>
    <w:rsid w:val="003A5D15"/>
    <w:rsid w:val="003A5F03"/>
    <w:rsid w:val="003A60C1"/>
    <w:rsid w:val="003A61CE"/>
    <w:rsid w:val="003A6303"/>
    <w:rsid w:val="003A6350"/>
    <w:rsid w:val="003A6369"/>
    <w:rsid w:val="003A642A"/>
    <w:rsid w:val="003A65F6"/>
    <w:rsid w:val="003A66DE"/>
    <w:rsid w:val="003A679B"/>
    <w:rsid w:val="003A69CF"/>
    <w:rsid w:val="003A6A15"/>
    <w:rsid w:val="003A6A6A"/>
    <w:rsid w:val="003A6B27"/>
    <w:rsid w:val="003A6B44"/>
    <w:rsid w:val="003A6B67"/>
    <w:rsid w:val="003A6DBA"/>
    <w:rsid w:val="003A6EAA"/>
    <w:rsid w:val="003A6FA3"/>
    <w:rsid w:val="003A70BA"/>
    <w:rsid w:val="003A70BB"/>
    <w:rsid w:val="003A70C7"/>
    <w:rsid w:val="003A7183"/>
    <w:rsid w:val="003A7193"/>
    <w:rsid w:val="003A727D"/>
    <w:rsid w:val="003A72FB"/>
    <w:rsid w:val="003A7398"/>
    <w:rsid w:val="003A73C7"/>
    <w:rsid w:val="003A74AA"/>
    <w:rsid w:val="003A7713"/>
    <w:rsid w:val="003A79D5"/>
    <w:rsid w:val="003A7A14"/>
    <w:rsid w:val="003A7AC0"/>
    <w:rsid w:val="003A7B53"/>
    <w:rsid w:val="003A7BE0"/>
    <w:rsid w:val="003A7C28"/>
    <w:rsid w:val="003A7D30"/>
    <w:rsid w:val="003A7D48"/>
    <w:rsid w:val="003A7E4B"/>
    <w:rsid w:val="003A7E85"/>
    <w:rsid w:val="003A7F97"/>
    <w:rsid w:val="003B013C"/>
    <w:rsid w:val="003B014E"/>
    <w:rsid w:val="003B0164"/>
    <w:rsid w:val="003B028E"/>
    <w:rsid w:val="003B02A8"/>
    <w:rsid w:val="003B0348"/>
    <w:rsid w:val="003B0349"/>
    <w:rsid w:val="003B03B4"/>
    <w:rsid w:val="003B04B2"/>
    <w:rsid w:val="003B0582"/>
    <w:rsid w:val="003B06A7"/>
    <w:rsid w:val="003B0A65"/>
    <w:rsid w:val="003B0C13"/>
    <w:rsid w:val="003B0C1A"/>
    <w:rsid w:val="003B0CA2"/>
    <w:rsid w:val="003B0DF4"/>
    <w:rsid w:val="003B0E4B"/>
    <w:rsid w:val="003B0E6E"/>
    <w:rsid w:val="003B0EC0"/>
    <w:rsid w:val="003B111B"/>
    <w:rsid w:val="003B123C"/>
    <w:rsid w:val="003B126A"/>
    <w:rsid w:val="003B1288"/>
    <w:rsid w:val="003B12A9"/>
    <w:rsid w:val="003B13B6"/>
    <w:rsid w:val="003B13CF"/>
    <w:rsid w:val="003B13F0"/>
    <w:rsid w:val="003B1448"/>
    <w:rsid w:val="003B1454"/>
    <w:rsid w:val="003B14C3"/>
    <w:rsid w:val="003B15E6"/>
    <w:rsid w:val="003B16A1"/>
    <w:rsid w:val="003B16B0"/>
    <w:rsid w:val="003B16E4"/>
    <w:rsid w:val="003B1727"/>
    <w:rsid w:val="003B19BB"/>
    <w:rsid w:val="003B1A84"/>
    <w:rsid w:val="003B1AA5"/>
    <w:rsid w:val="003B1ABF"/>
    <w:rsid w:val="003B1B06"/>
    <w:rsid w:val="003B1B10"/>
    <w:rsid w:val="003B1B71"/>
    <w:rsid w:val="003B1B81"/>
    <w:rsid w:val="003B1BBA"/>
    <w:rsid w:val="003B1CAF"/>
    <w:rsid w:val="003B1D71"/>
    <w:rsid w:val="003B1EAE"/>
    <w:rsid w:val="003B1EED"/>
    <w:rsid w:val="003B1FDF"/>
    <w:rsid w:val="003B204B"/>
    <w:rsid w:val="003B21A8"/>
    <w:rsid w:val="003B22EF"/>
    <w:rsid w:val="003B242E"/>
    <w:rsid w:val="003B254E"/>
    <w:rsid w:val="003B25DD"/>
    <w:rsid w:val="003B2958"/>
    <w:rsid w:val="003B2BD1"/>
    <w:rsid w:val="003B2BE9"/>
    <w:rsid w:val="003B2CC0"/>
    <w:rsid w:val="003B2CE4"/>
    <w:rsid w:val="003B2E65"/>
    <w:rsid w:val="003B2FCC"/>
    <w:rsid w:val="003B3020"/>
    <w:rsid w:val="003B3458"/>
    <w:rsid w:val="003B34C8"/>
    <w:rsid w:val="003B35AA"/>
    <w:rsid w:val="003B36C1"/>
    <w:rsid w:val="003B38CA"/>
    <w:rsid w:val="003B3AA1"/>
    <w:rsid w:val="003B3AC8"/>
    <w:rsid w:val="003B3B33"/>
    <w:rsid w:val="003B3B42"/>
    <w:rsid w:val="003B3BE3"/>
    <w:rsid w:val="003B3C16"/>
    <w:rsid w:val="003B3C79"/>
    <w:rsid w:val="003B3CC1"/>
    <w:rsid w:val="003B3DAF"/>
    <w:rsid w:val="003B3E22"/>
    <w:rsid w:val="003B3EF0"/>
    <w:rsid w:val="003B3FBF"/>
    <w:rsid w:val="003B405C"/>
    <w:rsid w:val="003B4060"/>
    <w:rsid w:val="003B408A"/>
    <w:rsid w:val="003B4116"/>
    <w:rsid w:val="003B428D"/>
    <w:rsid w:val="003B44E5"/>
    <w:rsid w:val="003B4538"/>
    <w:rsid w:val="003B4589"/>
    <w:rsid w:val="003B4699"/>
    <w:rsid w:val="003B46D5"/>
    <w:rsid w:val="003B4760"/>
    <w:rsid w:val="003B47C6"/>
    <w:rsid w:val="003B47E5"/>
    <w:rsid w:val="003B49C0"/>
    <w:rsid w:val="003B49E0"/>
    <w:rsid w:val="003B4A36"/>
    <w:rsid w:val="003B4A85"/>
    <w:rsid w:val="003B4B50"/>
    <w:rsid w:val="003B4B8C"/>
    <w:rsid w:val="003B4C33"/>
    <w:rsid w:val="003B4C39"/>
    <w:rsid w:val="003B4DB8"/>
    <w:rsid w:val="003B4DE5"/>
    <w:rsid w:val="003B4F79"/>
    <w:rsid w:val="003B5071"/>
    <w:rsid w:val="003B50C3"/>
    <w:rsid w:val="003B50E0"/>
    <w:rsid w:val="003B5189"/>
    <w:rsid w:val="003B5364"/>
    <w:rsid w:val="003B5385"/>
    <w:rsid w:val="003B5427"/>
    <w:rsid w:val="003B55FE"/>
    <w:rsid w:val="003B5628"/>
    <w:rsid w:val="003B56C4"/>
    <w:rsid w:val="003B56F3"/>
    <w:rsid w:val="003B5831"/>
    <w:rsid w:val="003B5B8B"/>
    <w:rsid w:val="003B5C26"/>
    <w:rsid w:val="003B5C99"/>
    <w:rsid w:val="003B5CBE"/>
    <w:rsid w:val="003B5D89"/>
    <w:rsid w:val="003B5DBD"/>
    <w:rsid w:val="003B5DCF"/>
    <w:rsid w:val="003B5E23"/>
    <w:rsid w:val="003B5ED2"/>
    <w:rsid w:val="003B5F7C"/>
    <w:rsid w:val="003B5F80"/>
    <w:rsid w:val="003B6278"/>
    <w:rsid w:val="003B627C"/>
    <w:rsid w:val="003B6332"/>
    <w:rsid w:val="003B6333"/>
    <w:rsid w:val="003B6418"/>
    <w:rsid w:val="003B64F4"/>
    <w:rsid w:val="003B650A"/>
    <w:rsid w:val="003B6620"/>
    <w:rsid w:val="003B6671"/>
    <w:rsid w:val="003B6887"/>
    <w:rsid w:val="003B6A62"/>
    <w:rsid w:val="003B6C98"/>
    <w:rsid w:val="003B6E32"/>
    <w:rsid w:val="003B6E59"/>
    <w:rsid w:val="003B6F05"/>
    <w:rsid w:val="003B7005"/>
    <w:rsid w:val="003B702D"/>
    <w:rsid w:val="003B7045"/>
    <w:rsid w:val="003B7135"/>
    <w:rsid w:val="003B749E"/>
    <w:rsid w:val="003B7531"/>
    <w:rsid w:val="003B75CD"/>
    <w:rsid w:val="003B75E8"/>
    <w:rsid w:val="003B75F1"/>
    <w:rsid w:val="003B7785"/>
    <w:rsid w:val="003B7818"/>
    <w:rsid w:val="003B78EB"/>
    <w:rsid w:val="003B78FD"/>
    <w:rsid w:val="003B7985"/>
    <w:rsid w:val="003B79C6"/>
    <w:rsid w:val="003B7A1B"/>
    <w:rsid w:val="003B7A4E"/>
    <w:rsid w:val="003B7B2A"/>
    <w:rsid w:val="003B7D38"/>
    <w:rsid w:val="003B7E09"/>
    <w:rsid w:val="003B7E77"/>
    <w:rsid w:val="003C00B8"/>
    <w:rsid w:val="003C0123"/>
    <w:rsid w:val="003C03F2"/>
    <w:rsid w:val="003C0402"/>
    <w:rsid w:val="003C051C"/>
    <w:rsid w:val="003C05B6"/>
    <w:rsid w:val="003C05E6"/>
    <w:rsid w:val="003C062F"/>
    <w:rsid w:val="003C06F7"/>
    <w:rsid w:val="003C07FF"/>
    <w:rsid w:val="003C08A2"/>
    <w:rsid w:val="003C0980"/>
    <w:rsid w:val="003C0B1E"/>
    <w:rsid w:val="003C0CDA"/>
    <w:rsid w:val="003C0D43"/>
    <w:rsid w:val="003C0DCD"/>
    <w:rsid w:val="003C0DE9"/>
    <w:rsid w:val="003C0EB5"/>
    <w:rsid w:val="003C0F42"/>
    <w:rsid w:val="003C1032"/>
    <w:rsid w:val="003C1296"/>
    <w:rsid w:val="003C12F9"/>
    <w:rsid w:val="003C149C"/>
    <w:rsid w:val="003C1570"/>
    <w:rsid w:val="003C1735"/>
    <w:rsid w:val="003C17CD"/>
    <w:rsid w:val="003C1846"/>
    <w:rsid w:val="003C18CC"/>
    <w:rsid w:val="003C19DE"/>
    <w:rsid w:val="003C1A16"/>
    <w:rsid w:val="003C1A9B"/>
    <w:rsid w:val="003C1AC2"/>
    <w:rsid w:val="003C1B08"/>
    <w:rsid w:val="003C1B3D"/>
    <w:rsid w:val="003C1DAD"/>
    <w:rsid w:val="003C2045"/>
    <w:rsid w:val="003C21D0"/>
    <w:rsid w:val="003C22CC"/>
    <w:rsid w:val="003C22F3"/>
    <w:rsid w:val="003C2320"/>
    <w:rsid w:val="003C23D7"/>
    <w:rsid w:val="003C2499"/>
    <w:rsid w:val="003C249E"/>
    <w:rsid w:val="003C2569"/>
    <w:rsid w:val="003C258E"/>
    <w:rsid w:val="003C2632"/>
    <w:rsid w:val="003C2645"/>
    <w:rsid w:val="003C2655"/>
    <w:rsid w:val="003C2673"/>
    <w:rsid w:val="003C2681"/>
    <w:rsid w:val="003C26C0"/>
    <w:rsid w:val="003C278E"/>
    <w:rsid w:val="003C279C"/>
    <w:rsid w:val="003C27AB"/>
    <w:rsid w:val="003C2A25"/>
    <w:rsid w:val="003C2AAB"/>
    <w:rsid w:val="003C2B1C"/>
    <w:rsid w:val="003C2C20"/>
    <w:rsid w:val="003C2C48"/>
    <w:rsid w:val="003C2C79"/>
    <w:rsid w:val="003C2CB1"/>
    <w:rsid w:val="003C2DC2"/>
    <w:rsid w:val="003C2E25"/>
    <w:rsid w:val="003C2E84"/>
    <w:rsid w:val="003C2E86"/>
    <w:rsid w:val="003C3042"/>
    <w:rsid w:val="003C319E"/>
    <w:rsid w:val="003C329B"/>
    <w:rsid w:val="003C33D8"/>
    <w:rsid w:val="003C33DE"/>
    <w:rsid w:val="003C34EF"/>
    <w:rsid w:val="003C34FA"/>
    <w:rsid w:val="003C3536"/>
    <w:rsid w:val="003C37C4"/>
    <w:rsid w:val="003C3804"/>
    <w:rsid w:val="003C3940"/>
    <w:rsid w:val="003C39CA"/>
    <w:rsid w:val="003C3A9F"/>
    <w:rsid w:val="003C3AEC"/>
    <w:rsid w:val="003C3C01"/>
    <w:rsid w:val="003C3EAE"/>
    <w:rsid w:val="003C3EB1"/>
    <w:rsid w:val="003C3F85"/>
    <w:rsid w:val="003C4146"/>
    <w:rsid w:val="003C422B"/>
    <w:rsid w:val="003C4309"/>
    <w:rsid w:val="003C4346"/>
    <w:rsid w:val="003C43A1"/>
    <w:rsid w:val="003C443F"/>
    <w:rsid w:val="003C453C"/>
    <w:rsid w:val="003C46BF"/>
    <w:rsid w:val="003C48A0"/>
    <w:rsid w:val="003C48A9"/>
    <w:rsid w:val="003C491A"/>
    <w:rsid w:val="003C4930"/>
    <w:rsid w:val="003C49B8"/>
    <w:rsid w:val="003C49D0"/>
    <w:rsid w:val="003C4AA9"/>
    <w:rsid w:val="003C4B76"/>
    <w:rsid w:val="003C4B7E"/>
    <w:rsid w:val="003C4BAE"/>
    <w:rsid w:val="003C4CF4"/>
    <w:rsid w:val="003C4E5D"/>
    <w:rsid w:val="003C4FC0"/>
    <w:rsid w:val="003C5081"/>
    <w:rsid w:val="003C5091"/>
    <w:rsid w:val="003C5169"/>
    <w:rsid w:val="003C51FE"/>
    <w:rsid w:val="003C52B4"/>
    <w:rsid w:val="003C53C4"/>
    <w:rsid w:val="003C54E0"/>
    <w:rsid w:val="003C55F4"/>
    <w:rsid w:val="003C56E0"/>
    <w:rsid w:val="003C57A4"/>
    <w:rsid w:val="003C57C2"/>
    <w:rsid w:val="003C5C09"/>
    <w:rsid w:val="003C5C2F"/>
    <w:rsid w:val="003C5D29"/>
    <w:rsid w:val="003C6033"/>
    <w:rsid w:val="003C6099"/>
    <w:rsid w:val="003C6185"/>
    <w:rsid w:val="003C642E"/>
    <w:rsid w:val="003C64A7"/>
    <w:rsid w:val="003C64B6"/>
    <w:rsid w:val="003C656E"/>
    <w:rsid w:val="003C65A9"/>
    <w:rsid w:val="003C6662"/>
    <w:rsid w:val="003C66FA"/>
    <w:rsid w:val="003C6777"/>
    <w:rsid w:val="003C6889"/>
    <w:rsid w:val="003C6A62"/>
    <w:rsid w:val="003C6B34"/>
    <w:rsid w:val="003C6C38"/>
    <w:rsid w:val="003C6C5F"/>
    <w:rsid w:val="003C6CE7"/>
    <w:rsid w:val="003C6D03"/>
    <w:rsid w:val="003C6FFE"/>
    <w:rsid w:val="003C702D"/>
    <w:rsid w:val="003C7130"/>
    <w:rsid w:val="003C715A"/>
    <w:rsid w:val="003C7276"/>
    <w:rsid w:val="003C72D7"/>
    <w:rsid w:val="003C73E7"/>
    <w:rsid w:val="003C755D"/>
    <w:rsid w:val="003C766D"/>
    <w:rsid w:val="003C77F2"/>
    <w:rsid w:val="003C7897"/>
    <w:rsid w:val="003C7956"/>
    <w:rsid w:val="003C7A3F"/>
    <w:rsid w:val="003C7CF1"/>
    <w:rsid w:val="003C7D16"/>
    <w:rsid w:val="003C7D29"/>
    <w:rsid w:val="003C7E40"/>
    <w:rsid w:val="003C7E9D"/>
    <w:rsid w:val="003C7F87"/>
    <w:rsid w:val="003D0029"/>
    <w:rsid w:val="003D00B8"/>
    <w:rsid w:val="003D00E2"/>
    <w:rsid w:val="003D031C"/>
    <w:rsid w:val="003D03FA"/>
    <w:rsid w:val="003D05C4"/>
    <w:rsid w:val="003D05CF"/>
    <w:rsid w:val="003D0621"/>
    <w:rsid w:val="003D0943"/>
    <w:rsid w:val="003D0B11"/>
    <w:rsid w:val="003D0D5D"/>
    <w:rsid w:val="003D0DCE"/>
    <w:rsid w:val="003D0DD8"/>
    <w:rsid w:val="003D0EEF"/>
    <w:rsid w:val="003D0FFA"/>
    <w:rsid w:val="003D1021"/>
    <w:rsid w:val="003D1146"/>
    <w:rsid w:val="003D11D6"/>
    <w:rsid w:val="003D13CD"/>
    <w:rsid w:val="003D13F6"/>
    <w:rsid w:val="003D145A"/>
    <w:rsid w:val="003D156C"/>
    <w:rsid w:val="003D1634"/>
    <w:rsid w:val="003D16B3"/>
    <w:rsid w:val="003D1789"/>
    <w:rsid w:val="003D1849"/>
    <w:rsid w:val="003D1859"/>
    <w:rsid w:val="003D1A0A"/>
    <w:rsid w:val="003D1AFC"/>
    <w:rsid w:val="003D1C9C"/>
    <w:rsid w:val="003D1D22"/>
    <w:rsid w:val="003D1D73"/>
    <w:rsid w:val="003D1E42"/>
    <w:rsid w:val="003D1E5F"/>
    <w:rsid w:val="003D1ED8"/>
    <w:rsid w:val="003D1F2D"/>
    <w:rsid w:val="003D1F9E"/>
    <w:rsid w:val="003D2063"/>
    <w:rsid w:val="003D20A0"/>
    <w:rsid w:val="003D20EF"/>
    <w:rsid w:val="003D2219"/>
    <w:rsid w:val="003D2227"/>
    <w:rsid w:val="003D22B9"/>
    <w:rsid w:val="003D232F"/>
    <w:rsid w:val="003D2459"/>
    <w:rsid w:val="003D24CD"/>
    <w:rsid w:val="003D2589"/>
    <w:rsid w:val="003D26AF"/>
    <w:rsid w:val="003D2766"/>
    <w:rsid w:val="003D2953"/>
    <w:rsid w:val="003D29A5"/>
    <w:rsid w:val="003D2A08"/>
    <w:rsid w:val="003D2A64"/>
    <w:rsid w:val="003D2A74"/>
    <w:rsid w:val="003D2AAA"/>
    <w:rsid w:val="003D2C33"/>
    <w:rsid w:val="003D2D44"/>
    <w:rsid w:val="003D2DC5"/>
    <w:rsid w:val="003D2ECD"/>
    <w:rsid w:val="003D2EE4"/>
    <w:rsid w:val="003D2F94"/>
    <w:rsid w:val="003D3132"/>
    <w:rsid w:val="003D3511"/>
    <w:rsid w:val="003D3519"/>
    <w:rsid w:val="003D35AC"/>
    <w:rsid w:val="003D35E4"/>
    <w:rsid w:val="003D365F"/>
    <w:rsid w:val="003D37F2"/>
    <w:rsid w:val="003D3873"/>
    <w:rsid w:val="003D39F4"/>
    <w:rsid w:val="003D3A9D"/>
    <w:rsid w:val="003D3B41"/>
    <w:rsid w:val="003D3B48"/>
    <w:rsid w:val="003D3D06"/>
    <w:rsid w:val="003D3D88"/>
    <w:rsid w:val="003D3E8F"/>
    <w:rsid w:val="003D3FE5"/>
    <w:rsid w:val="003D412C"/>
    <w:rsid w:val="003D44ED"/>
    <w:rsid w:val="003D46FF"/>
    <w:rsid w:val="003D4700"/>
    <w:rsid w:val="003D485D"/>
    <w:rsid w:val="003D4921"/>
    <w:rsid w:val="003D4923"/>
    <w:rsid w:val="003D4A4B"/>
    <w:rsid w:val="003D4E69"/>
    <w:rsid w:val="003D4F41"/>
    <w:rsid w:val="003D511B"/>
    <w:rsid w:val="003D515A"/>
    <w:rsid w:val="003D51D8"/>
    <w:rsid w:val="003D53CC"/>
    <w:rsid w:val="003D53FA"/>
    <w:rsid w:val="003D53FD"/>
    <w:rsid w:val="003D5405"/>
    <w:rsid w:val="003D545E"/>
    <w:rsid w:val="003D57EF"/>
    <w:rsid w:val="003D5A02"/>
    <w:rsid w:val="003D5AEC"/>
    <w:rsid w:val="003D5C7F"/>
    <w:rsid w:val="003D5CA7"/>
    <w:rsid w:val="003D5E0D"/>
    <w:rsid w:val="003D5F12"/>
    <w:rsid w:val="003D5F23"/>
    <w:rsid w:val="003D60C6"/>
    <w:rsid w:val="003D623A"/>
    <w:rsid w:val="003D632B"/>
    <w:rsid w:val="003D6407"/>
    <w:rsid w:val="003D6461"/>
    <w:rsid w:val="003D6475"/>
    <w:rsid w:val="003D6696"/>
    <w:rsid w:val="003D66DE"/>
    <w:rsid w:val="003D673E"/>
    <w:rsid w:val="003D6A64"/>
    <w:rsid w:val="003D6BBF"/>
    <w:rsid w:val="003D6BD1"/>
    <w:rsid w:val="003D6D4E"/>
    <w:rsid w:val="003D6E23"/>
    <w:rsid w:val="003D6EC9"/>
    <w:rsid w:val="003D6EE6"/>
    <w:rsid w:val="003D6F1E"/>
    <w:rsid w:val="003D6F70"/>
    <w:rsid w:val="003D714A"/>
    <w:rsid w:val="003D725F"/>
    <w:rsid w:val="003D7584"/>
    <w:rsid w:val="003D75C2"/>
    <w:rsid w:val="003D76AB"/>
    <w:rsid w:val="003D76BD"/>
    <w:rsid w:val="003D77B8"/>
    <w:rsid w:val="003D77FB"/>
    <w:rsid w:val="003D79DE"/>
    <w:rsid w:val="003D79F9"/>
    <w:rsid w:val="003D7B76"/>
    <w:rsid w:val="003D7BB5"/>
    <w:rsid w:val="003D7D36"/>
    <w:rsid w:val="003D7D60"/>
    <w:rsid w:val="003D7DE8"/>
    <w:rsid w:val="003D7E39"/>
    <w:rsid w:val="003D7F9F"/>
    <w:rsid w:val="003D7FF3"/>
    <w:rsid w:val="003E01D1"/>
    <w:rsid w:val="003E02D4"/>
    <w:rsid w:val="003E035F"/>
    <w:rsid w:val="003E0381"/>
    <w:rsid w:val="003E039E"/>
    <w:rsid w:val="003E03FB"/>
    <w:rsid w:val="003E047E"/>
    <w:rsid w:val="003E0483"/>
    <w:rsid w:val="003E0493"/>
    <w:rsid w:val="003E04E0"/>
    <w:rsid w:val="003E052F"/>
    <w:rsid w:val="003E0712"/>
    <w:rsid w:val="003E078E"/>
    <w:rsid w:val="003E0895"/>
    <w:rsid w:val="003E0B12"/>
    <w:rsid w:val="003E0DEF"/>
    <w:rsid w:val="003E108C"/>
    <w:rsid w:val="003E11CB"/>
    <w:rsid w:val="003E1284"/>
    <w:rsid w:val="003E14CC"/>
    <w:rsid w:val="003E151E"/>
    <w:rsid w:val="003E1528"/>
    <w:rsid w:val="003E1611"/>
    <w:rsid w:val="003E1670"/>
    <w:rsid w:val="003E168C"/>
    <w:rsid w:val="003E170E"/>
    <w:rsid w:val="003E1723"/>
    <w:rsid w:val="003E17B5"/>
    <w:rsid w:val="003E1896"/>
    <w:rsid w:val="003E189C"/>
    <w:rsid w:val="003E1956"/>
    <w:rsid w:val="003E19C2"/>
    <w:rsid w:val="003E1BAB"/>
    <w:rsid w:val="003E1BC9"/>
    <w:rsid w:val="003E1BE8"/>
    <w:rsid w:val="003E1D49"/>
    <w:rsid w:val="003E1E6B"/>
    <w:rsid w:val="003E1FF8"/>
    <w:rsid w:val="003E20F7"/>
    <w:rsid w:val="003E231B"/>
    <w:rsid w:val="003E243A"/>
    <w:rsid w:val="003E2553"/>
    <w:rsid w:val="003E25CA"/>
    <w:rsid w:val="003E26B5"/>
    <w:rsid w:val="003E2731"/>
    <w:rsid w:val="003E286E"/>
    <w:rsid w:val="003E2B66"/>
    <w:rsid w:val="003E2BB5"/>
    <w:rsid w:val="003E2FF6"/>
    <w:rsid w:val="003E304C"/>
    <w:rsid w:val="003E30CA"/>
    <w:rsid w:val="003E30DF"/>
    <w:rsid w:val="003E31F6"/>
    <w:rsid w:val="003E3215"/>
    <w:rsid w:val="003E33A0"/>
    <w:rsid w:val="003E33CF"/>
    <w:rsid w:val="003E349D"/>
    <w:rsid w:val="003E364E"/>
    <w:rsid w:val="003E371D"/>
    <w:rsid w:val="003E3738"/>
    <w:rsid w:val="003E375C"/>
    <w:rsid w:val="003E377B"/>
    <w:rsid w:val="003E3850"/>
    <w:rsid w:val="003E38F9"/>
    <w:rsid w:val="003E3B33"/>
    <w:rsid w:val="003E3DB5"/>
    <w:rsid w:val="003E3E29"/>
    <w:rsid w:val="003E3F28"/>
    <w:rsid w:val="003E4086"/>
    <w:rsid w:val="003E41A1"/>
    <w:rsid w:val="003E461D"/>
    <w:rsid w:val="003E480F"/>
    <w:rsid w:val="003E481A"/>
    <w:rsid w:val="003E498F"/>
    <w:rsid w:val="003E49A6"/>
    <w:rsid w:val="003E4A1E"/>
    <w:rsid w:val="003E4A73"/>
    <w:rsid w:val="003E4E84"/>
    <w:rsid w:val="003E4EEF"/>
    <w:rsid w:val="003E4F9D"/>
    <w:rsid w:val="003E50C2"/>
    <w:rsid w:val="003E5254"/>
    <w:rsid w:val="003E525B"/>
    <w:rsid w:val="003E525D"/>
    <w:rsid w:val="003E52D0"/>
    <w:rsid w:val="003E5302"/>
    <w:rsid w:val="003E53FC"/>
    <w:rsid w:val="003E5441"/>
    <w:rsid w:val="003E5489"/>
    <w:rsid w:val="003E5723"/>
    <w:rsid w:val="003E5991"/>
    <w:rsid w:val="003E5B94"/>
    <w:rsid w:val="003E5C46"/>
    <w:rsid w:val="003E5CED"/>
    <w:rsid w:val="003E5D79"/>
    <w:rsid w:val="003E5DAC"/>
    <w:rsid w:val="003E5E4F"/>
    <w:rsid w:val="003E5F07"/>
    <w:rsid w:val="003E5F5F"/>
    <w:rsid w:val="003E5FE6"/>
    <w:rsid w:val="003E6032"/>
    <w:rsid w:val="003E61C0"/>
    <w:rsid w:val="003E627C"/>
    <w:rsid w:val="003E62B6"/>
    <w:rsid w:val="003E639E"/>
    <w:rsid w:val="003E6478"/>
    <w:rsid w:val="003E6673"/>
    <w:rsid w:val="003E6A84"/>
    <w:rsid w:val="003E6C86"/>
    <w:rsid w:val="003E6D39"/>
    <w:rsid w:val="003E6F05"/>
    <w:rsid w:val="003E702A"/>
    <w:rsid w:val="003E70A5"/>
    <w:rsid w:val="003E71C4"/>
    <w:rsid w:val="003E71E5"/>
    <w:rsid w:val="003E7445"/>
    <w:rsid w:val="003E7455"/>
    <w:rsid w:val="003E74A3"/>
    <w:rsid w:val="003E7533"/>
    <w:rsid w:val="003E755B"/>
    <w:rsid w:val="003E75B2"/>
    <w:rsid w:val="003E75D8"/>
    <w:rsid w:val="003E75EA"/>
    <w:rsid w:val="003E7693"/>
    <w:rsid w:val="003E79C5"/>
    <w:rsid w:val="003E7ABE"/>
    <w:rsid w:val="003E7AD8"/>
    <w:rsid w:val="003E7C5C"/>
    <w:rsid w:val="003E7C69"/>
    <w:rsid w:val="003E7CF4"/>
    <w:rsid w:val="003E7D1C"/>
    <w:rsid w:val="003E7D6F"/>
    <w:rsid w:val="003E7E84"/>
    <w:rsid w:val="003E7E8F"/>
    <w:rsid w:val="003F01D7"/>
    <w:rsid w:val="003F0443"/>
    <w:rsid w:val="003F0445"/>
    <w:rsid w:val="003F0711"/>
    <w:rsid w:val="003F0752"/>
    <w:rsid w:val="003F07AE"/>
    <w:rsid w:val="003F085D"/>
    <w:rsid w:val="003F088D"/>
    <w:rsid w:val="003F0B99"/>
    <w:rsid w:val="003F0CF0"/>
    <w:rsid w:val="003F0E14"/>
    <w:rsid w:val="003F0F75"/>
    <w:rsid w:val="003F0F83"/>
    <w:rsid w:val="003F1001"/>
    <w:rsid w:val="003F11F6"/>
    <w:rsid w:val="003F11FD"/>
    <w:rsid w:val="003F13ED"/>
    <w:rsid w:val="003F1402"/>
    <w:rsid w:val="003F1406"/>
    <w:rsid w:val="003F14B1"/>
    <w:rsid w:val="003F14D9"/>
    <w:rsid w:val="003F14F1"/>
    <w:rsid w:val="003F1551"/>
    <w:rsid w:val="003F16B2"/>
    <w:rsid w:val="003F1845"/>
    <w:rsid w:val="003F1886"/>
    <w:rsid w:val="003F197E"/>
    <w:rsid w:val="003F1993"/>
    <w:rsid w:val="003F1AD8"/>
    <w:rsid w:val="003F1C22"/>
    <w:rsid w:val="003F1CB8"/>
    <w:rsid w:val="003F1DBE"/>
    <w:rsid w:val="003F1EC3"/>
    <w:rsid w:val="003F1F08"/>
    <w:rsid w:val="003F1FED"/>
    <w:rsid w:val="003F200F"/>
    <w:rsid w:val="003F20D4"/>
    <w:rsid w:val="003F2112"/>
    <w:rsid w:val="003F21B9"/>
    <w:rsid w:val="003F21FD"/>
    <w:rsid w:val="003F2346"/>
    <w:rsid w:val="003F246E"/>
    <w:rsid w:val="003F2540"/>
    <w:rsid w:val="003F259D"/>
    <w:rsid w:val="003F2808"/>
    <w:rsid w:val="003F285D"/>
    <w:rsid w:val="003F28FC"/>
    <w:rsid w:val="003F2B20"/>
    <w:rsid w:val="003F2B6D"/>
    <w:rsid w:val="003F2C09"/>
    <w:rsid w:val="003F2C31"/>
    <w:rsid w:val="003F2DCA"/>
    <w:rsid w:val="003F2F40"/>
    <w:rsid w:val="003F325A"/>
    <w:rsid w:val="003F327C"/>
    <w:rsid w:val="003F3289"/>
    <w:rsid w:val="003F32C1"/>
    <w:rsid w:val="003F32E1"/>
    <w:rsid w:val="003F3486"/>
    <w:rsid w:val="003F34E2"/>
    <w:rsid w:val="003F34FB"/>
    <w:rsid w:val="003F36C5"/>
    <w:rsid w:val="003F38B2"/>
    <w:rsid w:val="003F3A60"/>
    <w:rsid w:val="003F3BF2"/>
    <w:rsid w:val="003F3C62"/>
    <w:rsid w:val="003F4079"/>
    <w:rsid w:val="003F423B"/>
    <w:rsid w:val="003F44B5"/>
    <w:rsid w:val="003F45EF"/>
    <w:rsid w:val="003F46D9"/>
    <w:rsid w:val="003F49AA"/>
    <w:rsid w:val="003F4ACB"/>
    <w:rsid w:val="003F4B12"/>
    <w:rsid w:val="003F4BA4"/>
    <w:rsid w:val="003F4BFA"/>
    <w:rsid w:val="003F4C3F"/>
    <w:rsid w:val="003F4C43"/>
    <w:rsid w:val="003F4EB8"/>
    <w:rsid w:val="003F4EE3"/>
    <w:rsid w:val="003F4EF0"/>
    <w:rsid w:val="003F4FD4"/>
    <w:rsid w:val="003F5328"/>
    <w:rsid w:val="003F5668"/>
    <w:rsid w:val="003F5936"/>
    <w:rsid w:val="003F5AA3"/>
    <w:rsid w:val="003F5C21"/>
    <w:rsid w:val="003F5CB9"/>
    <w:rsid w:val="003F5CDB"/>
    <w:rsid w:val="003F5D51"/>
    <w:rsid w:val="003F5E11"/>
    <w:rsid w:val="003F5E20"/>
    <w:rsid w:val="003F5E75"/>
    <w:rsid w:val="003F5EAC"/>
    <w:rsid w:val="003F5FD1"/>
    <w:rsid w:val="003F6060"/>
    <w:rsid w:val="003F6210"/>
    <w:rsid w:val="003F6358"/>
    <w:rsid w:val="003F63A4"/>
    <w:rsid w:val="003F63B9"/>
    <w:rsid w:val="003F63E3"/>
    <w:rsid w:val="003F642A"/>
    <w:rsid w:val="003F65F4"/>
    <w:rsid w:val="003F66AF"/>
    <w:rsid w:val="003F67D8"/>
    <w:rsid w:val="003F68F4"/>
    <w:rsid w:val="003F6BA5"/>
    <w:rsid w:val="003F6BE2"/>
    <w:rsid w:val="003F6EB0"/>
    <w:rsid w:val="003F70CA"/>
    <w:rsid w:val="003F710C"/>
    <w:rsid w:val="003F717D"/>
    <w:rsid w:val="003F7338"/>
    <w:rsid w:val="003F735D"/>
    <w:rsid w:val="003F736B"/>
    <w:rsid w:val="003F73CB"/>
    <w:rsid w:val="003F75EB"/>
    <w:rsid w:val="003F76A3"/>
    <w:rsid w:val="003F76BF"/>
    <w:rsid w:val="003F7704"/>
    <w:rsid w:val="003F776E"/>
    <w:rsid w:val="003F7820"/>
    <w:rsid w:val="003F78E6"/>
    <w:rsid w:val="003F7954"/>
    <w:rsid w:val="003F79D1"/>
    <w:rsid w:val="003F79E4"/>
    <w:rsid w:val="003F79EA"/>
    <w:rsid w:val="003F7A99"/>
    <w:rsid w:val="003F7D3A"/>
    <w:rsid w:val="003F7E62"/>
    <w:rsid w:val="003F7EAC"/>
    <w:rsid w:val="00400073"/>
    <w:rsid w:val="0040017B"/>
    <w:rsid w:val="004002EC"/>
    <w:rsid w:val="00400333"/>
    <w:rsid w:val="0040037A"/>
    <w:rsid w:val="004003B4"/>
    <w:rsid w:val="0040075B"/>
    <w:rsid w:val="00400829"/>
    <w:rsid w:val="004008CE"/>
    <w:rsid w:val="00400AB7"/>
    <w:rsid w:val="00400B36"/>
    <w:rsid w:val="00400C38"/>
    <w:rsid w:val="00400CBC"/>
    <w:rsid w:val="00400D21"/>
    <w:rsid w:val="00400D3A"/>
    <w:rsid w:val="00400D66"/>
    <w:rsid w:val="00401099"/>
    <w:rsid w:val="004011A2"/>
    <w:rsid w:val="00401238"/>
    <w:rsid w:val="00401362"/>
    <w:rsid w:val="0040139A"/>
    <w:rsid w:val="004013C7"/>
    <w:rsid w:val="0040140A"/>
    <w:rsid w:val="004014BD"/>
    <w:rsid w:val="00401518"/>
    <w:rsid w:val="00401616"/>
    <w:rsid w:val="004016E6"/>
    <w:rsid w:val="00401808"/>
    <w:rsid w:val="00401888"/>
    <w:rsid w:val="0040189B"/>
    <w:rsid w:val="004019A7"/>
    <w:rsid w:val="00401AA7"/>
    <w:rsid w:val="00401BAA"/>
    <w:rsid w:val="00401E61"/>
    <w:rsid w:val="00401FCF"/>
    <w:rsid w:val="00402114"/>
    <w:rsid w:val="00402651"/>
    <w:rsid w:val="004026BB"/>
    <w:rsid w:val="00402781"/>
    <w:rsid w:val="00402845"/>
    <w:rsid w:val="00402861"/>
    <w:rsid w:val="004028F5"/>
    <w:rsid w:val="00402900"/>
    <w:rsid w:val="004029D6"/>
    <w:rsid w:val="00402A92"/>
    <w:rsid w:val="00402AC0"/>
    <w:rsid w:val="00402B05"/>
    <w:rsid w:val="00402BAC"/>
    <w:rsid w:val="00402BCF"/>
    <w:rsid w:val="00402C66"/>
    <w:rsid w:val="00402C86"/>
    <w:rsid w:val="00403005"/>
    <w:rsid w:val="00403251"/>
    <w:rsid w:val="00403277"/>
    <w:rsid w:val="004032B0"/>
    <w:rsid w:val="004032D1"/>
    <w:rsid w:val="00403651"/>
    <w:rsid w:val="0040366B"/>
    <w:rsid w:val="00403800"/>
    <w:rsid w:val="00403896"/>
    <w:rsid w:val="004038B8"/>
    <w:rsid w:val="004038FB"/>
    <w:rsid w:val="00403ADB"/>
    <w:rsid w:val="00403B07"/>
    <w:rsid w:val="00403DA0"/>
    <w:rsid w:val="00403E3B"/>
    <w:rsid w:val="00403F64"/>
    <w:rsid w:val="00403F66"/>
    <w:rsid w:val="00403F9F"/>
    <w:rsid w:val="00404198"/>
    <w:rsid w:val="0040420A"/>
    <w:rsid w:val="0040432C"/>
    <w:rsid w:val="0040439D"/>
    <w:rsid w:val="004044B1"/>
    <w:rsid w:val="00404508"/>
    <w:rsid w:val="00404551"/>
    <w:rsid w:val="00404796"/>
    <w:rsid w:val="004047AF"/>
    <w:rsid w:val="004047CB"/>
    <w:rsid w:val="004049F8"/>
    <w:rsid w:val="00404A38"/>
    <w:rsid w:val="00404A39"/>
    <w:rsid w:val="00404AFA"/>
    <w:rsid w:val="00404B06"/>
    <w:rsid w:val="00404C9E"/>
    <w:rsid w:val="00404D4A"/>
    <w:rsid w:val="00404EC7"/>
    <w:rsid w:val="004050AE"/>
    <w:rsid w:val="0040523D"/>
    <w:rsid w:val="004052A6"/>
    <w:rsid w:val="004052EB"/>
    <w:rsid w:val="004052FC"/>
    <w:rsid w:val="0040551F"/>
    <w:rsid w:val="00405740"/>
    <w:rsid w:val="004058E2"/>
    <w:rsid w:val="00405923"/>
    <w:rsid w:val="0040594D"/>
    <w:rsid w:val="00405A46"/>
    <w:rsid w:val="00405A7E"/>
    <w:rsid w:val="00405C0A"/>
    <w:rsid w:val="00405F2E"/>
    <w:rsid w:val="00405F4A"/>
    <w:rsid w:val="00405F74"/>
    <w:rsid w:val="00405F80"/>
    <w:rsid w:val="00405FFF"/>
    <w:rsid w:val="0040609E"/>
    <w:rsid w:val="0040616D"/>
    <w:rsid w:val="00406170"/>
    <w:rsid w:val="004061FC"/>
    <w:rsid w:val="00406285"/>
    <w:rsid w:val="00406417"/>
    <w:rsid w:val="0040642D"/>
    <w:rsid w:val="00406655"/>
    <w:rsid w:val="004066FA"/>
    <w:rsid w:val="0040670A"/>
    <w:rsid w:val="0040685A"/>
    <w:rsid w:val="004068B0"/>
    <w:rsid w:val="0040690B"/>
    <w:rsid w:val="00406AD3"/>
    <w:rsid w:val="00406BBF"/>
    <w:rsid w:val="00406C57"/>
    <w:rsid w:val="00406CBE"/>
    <w:rsid w:val="00406DFD"/>
    <w:rsid w:val="004071A1"/>
    <w:rsid w:val="00407230"/>
    <w:rsid w:val="00407235"/>
    <w:rsid w:val="004072FD"/>
    <w:rsid w:val="00407305"/>
    <w:rsid w:val="00407350"/>
    <w:rsid w:val="00407397"/>
    <w:rsid w:val="0040748D"/>
    <w:rsid w:val="004075E9"/>
    <w:rsid w:val="00407918"/>
    <w:rsid w:val="004079C4"/>
    <w:rsid w:val="004079EC"/>
    <w:rsid w:val="00407C9B"/>
    <w:rsid w:val="00407CED"/>
    <w:rsid w:val="00407F54"/>
    <w:rsid w:val="00407FDC"/>
    <w:rsid w:val="00407FE4"/>
    <w:rsid w:val="00410254"/>
    <w:rsid w:val="004103EC"/>
    <w:rsid w:val="004105E7"/>
    <w:rsid w:val="0041062B"/>
    <w:rsid w:val="004106AD"/>
    <w:rsid w:val="00410869"/>
    <w:rsid w:val="00410BD7"/>
    <w:rsid w:val="00410C2B"/>
    <w:rsid w:val="00410CCB"/>
    <w:rsid w:val="00410D26"/>
    <w:rsid w:val="00410D5D"/>
    <w:rsid w:val="00410E02"/>
    <w:rsid w:val="00410FC2"/>
    <w:rsid w:val="00411302"/>
    <w:rsid w:val="00411399"/>
    <w:rsid w:val="004114BB"/>
    <w:rsid w:val="004115A2"/>
    <w:rsid w:val="004115FA"/>
    <w:rsid w:val="00411613"/>
    <w:rsid w:val="0041176D"/>
    <w:rsid w:val="00411870"/>
    <w:rsid w:val="00411876"/>
    <w:rsid w:val="004118F8"/>
    <w:rsid w:val="004119EC"/>
    <w:rsid w:val="00411AA7"/>
    <w:rsid w:val="00411AE9"/>
    <w:rsid w:val="00411DA8"/>
    <w:rsid w:val="00411DDB"/>
    <w:rsid w:val="0041204D"/>
    <w:rsid w:val="00412182"/>
    <w:rsid w:val="00412244"/>
    <w:rsid w:val="0041227A"/>
    <w:rsid w:val="0041246B"/>
    <w:rsid w:val="00412498"/>
    <w:rsid w:val="004125E7"/>
    <w:rsid w:val="004125FC"/>
    <w:rsid w:val="0041264F"/>
    <w:rsid w:val="0041265A"/>
    <w:rsid w:val="00412853"/>
    <w:rsid w:val="004129FD"/>
    <w:rsid w:val="00412AA4"/>
    <w:rsid w:val="00412B45"/>
    <w:rsid w:val="00412C02"/>
    <w:rsid w:val="00412D26"/>
    <w:rsid w:val="00412D7A"/>
    <w:rsid w:val="00412F26"/>
    <w:rsid w:val="004130C0"/>
    <w:rsid w:val="00413147"/>
    <w:rsid w:val="004131E6"/>
    <w:rsid w:val="0041320B"/>
    <w:rsid w:val="00413249"/>
    <w:rsid w:val="004132D1"/>
    <w:rsid w:val="00413311"/>
    <w:rsid w:val="004133F9"/>
    <w:rsid w:val="00413435"/>
    <w:rsid w:val="004137C0"/>
    <w:rsid w:val="00413800"/>
    <w:rsid w:val="0041387E"/>
    <w:rsid w:val="00413895"/>
    <w:rsid w:val="004139F8"/>
    <w:rsid w:val="00413A84"/>
    <w:rsid w:val="00413D28"/>
    <w:rsid w:val="00413EE6"/>
    <w:rsid w:val="00413F4D"/>
    <w:rsid w:val="00413FA4"/>
    <w:rsid w:val="00413FBD"/>
    <w:rsid w:val="0041438B"/>
    <w:rsid w:val="00414510"/>
    <w:rsid w:val="00414546"/>
    <w:rsid w:val="0041463A"/>
    <w:rsid w:val="004147AD"/>
    <w:rsid w:val="00414847"/>
    <w:rsid w:val="0041484A"/>
    <w:rsid w:val="004148C0"/>
    <w:rsid w:val="004148F2"/>
    <w:rsid w:val="004148F9"/>
    <w:rsid w:val="004149CA"/>
    <w:rsid w:val="00414A16"/>
    <w:rsid w:val="00414AE3"/>
    <w:rsid w:val="00414B1D"/>
    <w:rsid w:val="00414B4B"/>
    <w:rsid w:val="00414D08"/>
    <w:rsid w:val="00414D1B"/>
    <w:rsid w:val="00414DF8"/>
    <w:rsid w:val="00414E33"/>
    <w:rsid w:val="00414F9E"/>
    <w:rsid w:val="00415020"/>
    <w:rsid w:val="0041509C"/>
    <w:rsid w:val="004153F0"/>
    <w:rsid w:val="00415438"/>
    <w:rsid w:val="004154DB"/>
    <w:rsid w:val="0041552C"/>
    <w:rsid w:val="0041574B"/>
    <w:rsid w:val="0041584A"/>
    <w:rsid w:val="00415851"/>
    <w:rsid w:val="004159FA"/>
    <w:rsid w:val="00415A38"/>
    <w:rsid w:val="00415A56"/>
    <w:rsid w:val="00415B04"/>
    <w:rsid w:val="00415BAE"/>
    <w:rsid w:val="00415C21"/>
    <w:rsid w:val="00415C56"/>
    <w:rsid w:val="00415D67"/>
    <w:rsid w:val="00415D98"/>
    <w:rsid w:val="00415DF2"/>
    <w:rsid w:val="00415E01"/>
    <w:rsid w:val="00415E39"/>
    <w:rsid w:val="00415E8F"/>
    <w:rsid w:val="00415EC5"/>
    <w:rsid w:val="00415EE3"/>
    <w:rsid w:val="00415F00"/>
    <w:rsid w:val="00415F08"/>
    <w:rsid w:val="00415FD0"/>
    <w:rsid w:val="00416078"/>
    <w:rsid w:val="00416334"/>
    <w:rsid w:val="0041642F"/>
    <w:rsid w:val="004164B7"/>
    <w:rsid w:val="004165A6"/>
    <w:rsid w:val="00416623"/>
    <w:rsid w:val="004168A6"/>
    <w:rsid w:val="004169C9"/>
    <w:rsid w:val="00416A51"/>
    <w:rsid w:val="00416D10"/>
    <w:rsid w:val="00416D61"/>
    <w:rsid w:val="00416DBA"/>
    <w:rsid w:val="00416FA7"/>
    <w:rsid w:val="00416FB7"/>
    <w:rsid w:val="0041728E"/>
    <w:rsid w:val="0041741D"/>
    <w:rsid w:val="0041746A"/>
    <w:rsid w:val="00417526"/>
    <w:rsid w:val="004176BC"/>
    <w:rsid w:val="00417761"/>
    <w:rsid w:val="004177D1"/>
    <w:rsid w:val="0041788A"/>
    <w:rsid w:val="004178B9"/>
    <w:rsid w:val="004178CE"/>
    <w:rsid w:val="004179A9"/>
    <w:rsid w:val="00417B66"/>
    <w:rsid w:val="00417BF4"/>
    <w:rsid w:val="00417C3D"/>
    <w:rsid w:val="00417CAC"/>
    <w:rsid w:val="00417D02"/>
    <w:rsid w:val="00417D8C"/>
    <w:rsid w:val="00417DE2"/>
    <w:rsid w:val="00417FF0"/>
    <w:rsid w:val="00420131"/>
    <w:rsid w:val="00420169"/>
    <w:rsid w:val="00420187"/>
    <w:rsid w:val="004202E4"/>
    <w:rsid w:val="0042077C"/>
    <w:rsid w:val="00420796"/>
    <w:rsid w:val="0042084E"/>
    <w:rsid w:val="004208E3"/>
    <w:rsid w:val="004209EB"/>
    <w:rsid w:val="004209F4"/>
    <w:rsid w:val="00420B02"/>
    <w:rsid w:val="00420B3C"/>
    <w:rsid w:val="00420CBC"/>
    <w:rsid w:val="00420DFE"/>
    <w:rsid w:val="00420E0D"/>
    <w:rsid w:val="00420E76"/>
    <w:rsid w:val="0042101C"/>
    <w:rsid w:val="0042108F"/>
    <w:rsid w:val="00421120"/>
    <w:rsid w:val="00421141"/>
    <w:rsid w:val="004211BC"/>
    <w:rsid w:val="004211D2"/>
    <w:rsid w:val="0042122C"/>
    <w:rsid w:val="004212A2"/>
    <w:rsid w:val="00421430"/>
    <w:rsid w:val="0042154F"/>
    <w:rsid w:val="0042155C"/>
    <w:rsid w:val="00421672"/>
    <w:rsid w:val="00421852"/>
    <w:rsid w:val="00421A02"/>
    <w:rsid w:val="00421ADF"/>
    <w:rsid w:val="00421AEB"/>
    <w:rsid w:val="00421B3E"/>
    <w:rsid w:val="00421B6D"/>
    <w:rsid w:val="00421BE2"/>
    <w:rsid w:val="00421C28"/>
    <w:rsid w:val="00421C53"/>
    <w:rsid w:val="00421CA0"/>
    <w:rsid w:val="00421E54"/>
    <w:rsid w:val="00421EEF"/>
    <w:rsid w:val="00421F37"/>
    <w:rsid w:val="0042204D"/>
    <w:rsid w:val="004220D8"/>
    <w:rsid w:val="004221A8"/>
    <w:rsid w:val="004221F6"/>
    <w:rsid w:val="00422299"/>
    <w:rsid w:val="004222FE"/>
    <w:rsid w:val="00422702"/>
    <w:rsid w:val="00422723"/>
    <w:rsid w:val="0042273B"/>
    <w:rsid w:val="00422AAE"/>
    <w:rsid w:val="00422C4D"/>
    <w:rsid w:val="00422D18"/>
    <w:rsid w:val="00422DE1"/>
    <w:rsid w:val="00422E23"/>
    <w:rsid w:val="00422E2E"/>
    <w:rsid w:val="00422E47"/>
    <w:rsid w:val="00422EA9"/>
    <w:rsid w:val="00423090"/>
    <w:rsid w:val="00423136"/>
    <w:rsid w:val="00423157"/>
    <w:rsid w:val="0042331F"/>
    <w:rsid w:val="004233AE"/>
    <w:rsid w:val="004233E3"/>
    <w:rsid w:val="00423404"/>
    <w:rsid w:val="00423436"/>
    <w:rsid w:val="00423518"/>
    <w:rsid w:val="00423607"/>
    <w:rsid w:val="0042364A"/>
    <w:rsid w:val="004237B4"/>
    <w:rsid w:val="0042380F"/>
    <w:rsid w:val="0042383A"/>
    <w:rsid w:val="00423899"/>
    <w:rsid w:val="00423992"/>
    <w:rsid w:val="00423A14"/>
    <w:rsid w:val="00423AD2"/>
    <w:rsid w:val="00423B36"/>
    <w:rsid w:val="00423D5D"/>
    <w:rsid w:val="00423D73"/>
    <w:rsid w:val="00423D86"/>
    <w:rsid w:val="00423FF6"/>
    <w:rsid w:val="00424001"/>
    <w:rsid w:val="004240FC"/>
    <w:rsid w:val="004241F5"/>
    <w:rsid w:val="00424281"/>
    <w:rsid w:val="004242AA"/>
    <w:rsid w:val="00424416"/>
    <w:rsid w:val="00424432"/>
    <w:rsid w:val="004244BA"/>
    <w:rsid w:val="004246FD"/>
    <w:rsid w:val="00424703"/>
    <w:rsid w:val="00424953"/>
    <w:rsid w:val="00424A4F"/>
    <w:rsid w:val="00424A58"/>
    <w:rsid w:val="00424A7A"/>
    <w:rsid w:val="00424B3A"/>
    <w:rsid w:val="00424C90"/>
    <w:rsid w:val="00424D65"/>
    <w:rsid w:val="00424F5D"/>
    <w:rsid w:val="00424F99"/>
    <w:rsid w:val="00425042"/>
    <w:rsid w:val="0042504B"/>
    <w:rsid w:val="0042526D"/>
    <w:rsid w:val="004252B0"/>
    <w:rsid w:val="004252DB"/>
    <w:rsid w:val="00425357"/>
    <w:rsid w:val="0042535A"/>
    <w:rsid w:val="00425397"/>
    <w:rsid w:val="00425452"/>
    <w:rsid w:val="0042569D"/>
    <w:rsid w:val="004256E7"/>
    <w:rsid w:val="004256F2"/>
    <w:rsid w:val="0042582E"/>
    <w:rsid w:val="00425A09"/>
    <w:rsid w:val="00425C7B"/>
    <w:rsid w:val="00425CBC"/>
    <w:rsid w:val="00425D8B"/>
    <w:rsid w:val="00425F04"/>
    <w:rsid w:val="00425F74"/>
    <w:rsid w:val="00425F75"/>
    <w:rsid w:val="00425FCA"/>
    <w:rsid w:val="00426180"/>
    <w:rsid w:val="0042655B"/>
    <w:rsid w:val="00426679"/>
    <w:rsid w:val="004266D1"/>
    <w:rsid w:val="00426893"/>
    <w:rsid w:val="00426917"/>
    <w:rsid w:val="00426935"/>
    <w:rsid w:val="00426AA6"/>
    <w:rsid w:val="00426B4F"/>
    <w:rsid w:val="00426FB0"/>
    <w:rsid w:val="00426FEA"/>
    <w:rsid w:val="00427299"/>
    <w:rsid w:val="004274FB"/>
    <w:rsid w:val="0042752A"/>
    <w:rsid w:val="004275CD"/>
    <w:rsid w:val="004275EB"/>
    <w:rsid w:val="004275EE"/>
    <w:rsid w:val="00427613"/>
    <w:rsid w:val="004276DF"/>
    <w:rsid w:val="00427756"/>
    <w:rsid w:val="004278F4"/>
    <w:rsid w:val="00427945"/>
    <w:rsid w:val="0042797B"/>
    <w:rsid w:val="00427A0E"/>
    <w:rsid w:val="00427B07"/>
    <w:rsid w:val="00427CA0"/>
    <w:rsid w:val="00427D33"/>
    <w:rsid w:val="00427D91"/>
    <w:rsid w:val="00427EFE"/>
    <w:rsid w:val="00427F7D"/>
    <w:rsid w:val="0043005A"/>
    <w:rsid w:val="004301D1"/>
    <w:rsid w:val="00430297"/>
    <w:rsid w:val="0043030F"/>
    <w:rsid w:val="00430393"/>
    <w:rsid w:val="0043045B"/>
    <w:rsid w:val="004304E6"/>
    <w:rsid w:val="00430659"/>
    <w:rsid w:val="004308D0"/>
    <w:rsid w:val="00430CF3"/>
    <w:rsid w:val="00430E83"/>
    <w:rsid w:val="00430E9E"/>
    <w:rsid w:val="00430F9F"/>
    <w:rsid w:val="00430FEE"/>
    <w:rsid w:val="00431010"/>
    <w:rsid w:val="0043107A"/>
    <w:rsid w:val="0043119F"/>
    <w:rsid w:val="0043124B"/>
    <w:rsid w:val="0043127C"/>
    <w:rsid w:val="004312A3"/>
    <w:rsid w:val="00431346"/>
    <w:rsid w:val="004314A4"/>
    <w:rsid w:val="00431502"/>
    <w:rsid w:val="00431510"/>
    <w:rsid w:val="004315A2"/>
    <w:rsid w:val="004316BE"/>
    <w:rsid w:val="004316F9"/>
    <w:rsid w:val="0043176B"/>
    <w:rsid w:val="00431806"/>
    <w:rsid w:val="0043190E"/>
    <w:rsid w:val="0043195B"/>
    <w:rsid w:val="00431988"/>
    <w:rsid w:val="004319A0"/>
    <w:rsid w:val="004319AB"/>
    <w:rsid w:val="004319C1"/>
    <w:rsid w:val="004319E4"/>
    <w:rsid w:val="00431A70"/>
    <w:rsid w:val="00431AD0"/>
    <w:rsid w:val="00431C1E"/>
    <w:rsid w:val="00431C82"/>
    <w:rsid w:val="00431CCF"/>
    <w:rsid w:val="00431D8B"/>
    <w:rsid w:val="00431E94"/>
    <w:rsid w:val="00431EEB"/>
    <w:rsid w:val="00431F42"/>
    <w:rsid w:val="0043223A"/>
    <w:rsid w:val="004322E6"/>
    <w:rsid w:val="004325B4"/>
    <w:rsid w:val="004327C4"/>
    <w:rsid w:val="00432B09"/>
    <w:rsid w:val="00432D11"/>
    <w:rsid w:val="00432E1A"/>
    <w:rsid w:val="00432E62"/>
    <w:rsid w:val="00432EFC"/>
    <w:rsid w:val="00432F64"/>
    <w:rsid w:val="00433298"/>
    <w:rsid w:val="0043331F"/>
    <w:rsid w:val="00433366"/>
    <w:rsid w:val="004334DD"/>
    <w:rsid w:val="00433527"/>
    <w:rsid w:val="00433555"/>
    <w:rsid w:val="004336DB"/>
    <w:rsid w:val="0043378C"/>
    <w:rsid w:val="00433943"/>
    <w:rsid w:val="00433988"/>
    <w:rsid w:val="004339FA"/>
    <w:rsid w:val="00433C18"/>
    <w:rsid w:val="00433D86"/>
    <w:rsid w:val="00433FC2"/>
    <w:rsid w:val="00433FC8"/>
    <w:rsid w:val="00434199"/>
    <w:rsid w:val="004341BE"/>
    <w:rsid w:val="004341E8"/>
    <w:rsid w:val="004342AC"/>
    <w:rsid w:val="00434430"/>
    <w:rsid w:val="004345A0"/>
    <w:rsid w:val="004345AD"/>
    <w:rsid w:val="00434972"/>
    <w:rsid w:val="004349AA"/>
    <w:rsid w:val="00434B02"/>
    <w:rsid w:val="00434DE3"/>
    <w:rsid w:val="00434DEB"/>
    <w:rsid w:val="00434F0A"/>
    <w:rsid w:val="00434F22"/>
    <w:rsid w:val="00434F4C"/>
    <w:rsid w:val="0043503D"/>
    <w:rsid w:val="004350CC"/>
    <w:rsid w:val="00435226"/>
    <w:rsid w:val="004352B8"/>
    <w:rsid w:val="004352D3"/>
    <w:rsid w:val="004352E4"/>
    <w:rsid w:val="00435309"/>
    <w:rsid w:val="00435317"/>
    <w:rsid w:val="00435393"/>
    <w:rsid w:val="0043541E"/>
    <w:rsid w:val="00435422"/>
    <w:rsid w:val="004354DB"/>
    <w:rsid w:val="00435538"/>
    <w:rsid w:val="0043568F"/>
    <w:rsid w:val="0043580E"/>
    <w:rsid w:val="0043599C"/>
    <w:rsid w:val="00435A01"/>
    <w:rsid w:val="00435C61"/>
    <w:rsid w:val="00435C97"/>
    <w:rsid w:val="00435CB8"/>
    <w:rsid w:val="00435D13"/>
    <w:rsid w:val="00435EA8"/>
    <w:rsid w:val="00435FA9"/>
    <w:rsid w:val="00435FB3"/>
    <w:rsid w:val="004361E1"/>
    <w:rsid w:val="0043633B"/>
    <w:rsid w:val="00436595"/>
    <w:rsid w:val="00436674"/>
    <w:rsid w:val="00436680"/>
    <w:rsid w:val="00436695"/>
    <w:rsid w:val="0043672F"/>
    <w:rsid w:val="00436794"/>
    <w:rsid w:val="00436AD1"/>
    <w:rsid w:val="00436B26"/>
    <w:rsid w:val="00436C0C"/>
    <w:rsid w:val="00436E28"/>
    <w:rsid w:val="00436EC9"/>
    <w:rsid w:val="00436F00"/>
    <w:rsid w:val="00437109"/>
    <w:rsid w:val="00437738"/>
    <w:rsid w:val="00437897"/>
    <w:rsid w:val="00437B85"/>
    <w:rsid w:val="00437F99"/>
    <w:rsid w:val="00440024"/>
    <w:rsid w:val="00440054"/>
    <w:rsid w:val="00440058"/>
    <w:rsid w:val="004400CD"/>
    <w:rsid w:val="004401A9"/>
    <w:rsid w:val="00440325"/>
    <w:rsid w:val="004403D9"/>
    <w:rsid w:val="004403F2"/>
    <w:rsid w:val="004406E7"/>
    <w:rsid w:val="00440888"/>
    <w:rsid w:val="00440946"/>
    <w:rsid w:val="00440980"/>
    <w:rsid w:val="004409F7"/>
    <w:rsid w:val="004409FE"/>
    <w:rsid w:val="00440B47"/>
    <w:rsid w:val="00440C95"/>
    <w:rsid w:val="00440D59"/>
    <w:rsid w:val="00440D6D"/>
    <w:rsid w:val="00440E7B"/>
    <w:rsid w:val="00440F27"/>
    <w:rsid w:val="00440FFC"/>
    <w:rsid w:val="00441081"/>
    <w:rsid w:val="004410A2"/>
    <w:rsid w:val="00441157"/>
    <w:rsid w:val="004411C1"/>
    <w:rsid w:val="004412BB"/>
    <w:rsid w:val="00441630"/>
    <w:rsid w:val="00441632"/>
    <w:rsid w:val="004416B6"/>
    <w:rsid w:val="004416E3"/>
    <w:rsid w:val="0044178B"/>
    <w:rsid w:val="004417D7"/>
    <w:rsid w:val="00441844"/>
    <w:rsid w:val="0044190C"/>
    <w:rsid w:val="00441AC8"/>
    <w:rsid w:val="00441CAB"/>
    <w:rsid w:val="00441DB5"/>
    <w:rsid w:val="00441F0F"/>
    <w:rsid w:val="00441F9F"/>
    <w:rsid w:val="00442280"/>
    <w:rsid w:val="0044233F"/>
    <w:rsid w:val="00442400"/>
    <w:rsid w:val="00442437"/>
    <w:rsid w:val="0044249B"/>
    <w:rsid w:val="0044265E"/>
    <w:rsid w:val="00442699"/>
    <w:rsid w:val="004426C6"/>
    <w:rsid w:val="00442732"/>
    <w:rsid w:val="004427C0"/>
    <w:rsid w:val="0044283E"/>
    <w:rsid w:val="00442878"/>
    <w:rsid w:val="004428A6"/>
    <w:rsid w:val="00442930"/>
    <w:rsid w:val="0044298D"/>
    <w:rsid w:val="004429FD"/>
    <w:rsid w:val="00442A3D"/>
    <w:rsid w:val="00442A70"/>
    <w:rsid w:val="00442AC3"/>
    <w:rsid w:val="00442B77"/>
    <w:rsid w:val="00442BB3"/>
    <w:rsid w:val="00442C6C"/>
    <w:rsid w:val="00442C8D"/>
    <w:rsid w:val="00442DE9"/>
    <w:rsid w:val="00442F8C"/>
    <w:rsid w:val="00443066"/>
    <w:rsid w:val="00443134"/>
    <w:rsid w:val="00443143"/>
    <w:rsid w:val="00443154"/>
    <w:rsid w:val="00443160"/>
    <w:rsid w:val="004432B8"/>
    <w:rsid w:val="0044348F"/>
    <w:rsid w:val="004437A8"/>
    <w:rsid w:val="004437E8"/>
    <w:rsid w:val="00443812"/>
    <w:rsid w:val="0044394B"/>
    <w:rsid w:val="00443A25"/>
    <w:rsid w:val="00443AD5"/>
    <w:rsid w:val="00443B47"/>
    <w:rsid w:val="00443BF7"/>
    <w:rsid w:val="00443CBE"/>
    <w:rsid w:val="00443D26"/>
    <w:rsid w:val="00443E7A"/>
    <w:rsid w:val="00443E8A"/>
    <w:rsid w:val="00444188"/>
    <w:rsid w:val="004441BC"/>
    <w:rsid w:val="0044424E"/>
    <w:rsid w:val="00444377"/>
    <w:rsid w:val="00444469"/>
    <w:rsid w:val="004444B7"/>
    <w:rsid w:val="004444C8"/>
    <w:rsid w:val="00444774"/>
    <w:rsid w:val="0044478C"/>
    <w:rsid w:val="004449F0"/>
    <w:rsid w:val="00444B34"/>
    <w:rsid w:val="00444B62"/>
    <w:rsid w:val="00444D5C"/>
    <w:rsid w:val="00444DFE"/>
    <w:rsid w:val="00444E79"/>
    <w:rsid w:val="00444F59"/>
    <w:rsid w:val="0044503F"/>
    <w:rsid w:val="0044505B"/>
    <w:rsid w:val="004450C6"/>
    <w:rsid w:val="00445205"/>
    <w:rsid w:val="004452E0"/>
    <w:rsid w:val="004455ED"/>
    <w:rsid w:val="0044568F"/>
    <w:rsid w:val="0044596D"/>
    <w:rsid w:val="00445E64"/>
    <w:rsid w:val="00445F30"/>
    <w:rsid w:val="00445F87"/>
    <w:rsid w:val="00446037"/>
    <w:rsid w:val="004462A0"/>
    <w:rsid w:val="004463EB"/>
    <w:rsid w:val="0044645E"/>
    <w:rsid w:val="0044648D"/>
    <w:rsid w:val="004464F8"/>
    <w:rsid w:val="00446609"/>
    <w:rsid w:val="004467AE"/>
    <w:rsid w:val="004467F2"/>
    <w:rsid w:val="004468B4"/>
    <w:rsid w:val="004468EE"/>
    <w:rsid w:val="0044690F"/>
    <w:rsid w:val="00446A1A"/>
    <w:rsid w:val="00446A4F"/>
    <w:rsid w:val="00446AAD"/>
    <w:rsid w:val="00446CDD"/>
    <w:rsid w:val="00446CEF"/>
    <w:rsid w:val="00446D86"/>
    <w:rsid w:val="00446EAA"/>
    <w:rsid w:val="00446F58"/>
    <w:rsid w:val="0044702E"/>
    <w:rsid w:val="0044719C"/>
    <w:rsid w:val="004471AD"/>
    <w:rsid w:val="004471B9"/>
    <w:rsid w:val="00447220"/>
    <w:rsid w:val="00447323"/>
    <w:rsid w:val="004475FC"/>
    <w:rsid w:val="00447661"/>
    <w:rsid w:val="004478ED"/>
    <w:rsid w:val="004479C5"/>
    <w:rsid w:val="00447A0A"/>
    <w:rsid w:val="00447BCD"/>
    <w:rsid w:val="00447C9A"/>
    <w:rsid w:val="00447DCD"/>
    <w:rsid w:val="00447E11"/>
    <w:rsid w:val="00447E7D"/>
    <w:rsid w:val="00447E8C"/>
    <w:rsid w:val="00447E9A"/>
    <w:rsid w:val="00450012"/>
    <w:rsid w:val="0045025D"/>
    <w:rsid w:val="00450334"/>
    <w:rsid w:val="00450569"/>
    <w:rsid w:val="004505CB"/>
    <w:rsid w:val="00450747"/>
    <w:rsid w:val="00450762"/>
    <w:rsid w:val="00450854"/>
    <w:rsid w:val="00450897"/>
    <w:rsid w:val="00450AD0"/>
    <w:rsid w:val="00450AF6"/>
    <w:rsid w:val="00450B58"/>
    <w:rsid w:val="00450BD5"/>
    <w:rsid w:val="00450BF6"/>
    <w:rsid w:val="00450C09"/>
    <w:rsid w:val="00450C37"/>
    <w:rsid w:val="00450E43"/>
    <w:rsid w:val="00450E94"/>
    <w:rsid w:val="00450F22"/>
    <w:rsid w:val="004510A4"/>
    <w:rsid w:val="004511C6"/>
    <w:rsid w:val="00451281"/>
    <w:rsid w:val="00451376"/>
    <w:rsid w:val="004514B0"/>
    <w:rsid w:val="00451976"/>
    <w:rsid w:val="00451B3E"/>
    <w:rsid w:val="00451FA3"/>
    <w:rsid w:val="00452068"/>
    <w:rsid w:val="004520C0"/>
    <w:rsid w:val="0045230A"/>
    <w:rsid w:val="0045240E"/>
    <w:rsid w:val="0045241D"/>
    <w:rsid w:val="004524E6"/>
    <w:rsid w:val="004526B0"/>
    <w:rsid w:val="004526DA"/>
    <w:rsid w:val="0045284F"/>
    <w:rsid w:val="00452877"/>
    <w:rsid w:val="00452AA2"/>
    <w:rsid w:val="00452B51"/>
    <w:rsid w:val="00452B73"/>
    <w:rsid w:val="00452BC7"/>
    <w:rsid w:val="0045300A"/>
    <w:rsid w:val="004530EC"/>
    <w:rsid w:val="0045313F"/>
    <w:rsid w:val="0045317A"/>
    <w:rsid w:val="004531B6"/>
    <w:rsid w:val="00453292"/>
    <w:rsid w:val="0045334A"/>
    <w:rsid w:val="00453425"/>
    <w:rsid w:val="004536FF"/>
    <w:rsid w:val="00453708"/>
    <w:rsid w:val="004537CB"/>
    <w:rsid w:val="004538E4"/>
    <w:rsid w:val="0045398F"/>
    <w:rsid w:val="00453C24"/>
    <w:rsid w:val="00453C84"/>
    <w:rsid w:val="00453CFD"/>
    <w:rsid w:val="00453DA8"/>
    <w:rsid w:val="00453DB0"/>
    <w:rsid w:val="00453DEC"/>
    <w:rsid w:val="00453FFB"/>
    <w:rsid w:val="00454001"/>
    <w:rsid w:val="004541A2"/>
    <w:rsid w:val="00454201"/>
    <w:rsid w:val="004543E4"/>
    <w:rsid w:val="0045457B"/>
    <w:rsid w:val="004545AD"/>
    <w:rsid w:val="004545D1"/>
    <w:rsid w:val="00454657"/>
    <w:rsid w:val="004546BB"/>
    <w:rsid w:val="0045473E"/>
    <w:rsid w:val="0045489A"/>
    <w:rsid w:val="00454947"/>
    <w:rsid w:val="00454A3E"/>
    <w:rsid w:val="00454AD0"/>
    <w:rsid w:val="00454AD1"/>
    <w:rsid w:val="00454B40"/>
    <w:rsid w:val="00454BB0"/>
    <w:rsid w:val="00454BE2"/>
    <w:rsid w:val="00454C1F"/>
    <w:rsid w:val="00454D76"/>
    <w:rsid w:val="00454D8D"/>
    <w:rsid w:val="00454F18"/>
    <w:rsid w:val="00454F1C"/>
    <w:rsid w:val="00455024"/>
    <w:rsid w:val="00455050"/>
    <w:rsid w:val="0045512D"/>
    <w:rsid w:val="0045526D"/>
    <w:rsid w:val="00455372"/>
    <w:rsid w:val="0045547A"/>
    <w:rsid w:val="00455881"/>
    <w:rsid w:val="004559B1"/>
    <w:rsid w:val="004559CD"/>
    <w:rsid w:val="00455AF6"/>
    <w:rsid w:val="00455BE1"/>
    <w:rsid w:val="00455C47"/>
    <w:rsid w:val="00455E3E"/>
    <w:rsid w:val="00455F83"/>
    <w:rsid w:val="00455FE4"/>
    <w:rsid w:val="0045601B"/>
    <w:rsid w:val="00456040"/>
    <w:rsid w:val="00456053"/>
    <w:rsid w:val="004560CA"/>
    <w:rsid w:val="00456380"/>
    <w:rsid w:val="00456458"/>
    <w:rsid w:val="004564D6"/>
    <w:rsid w:val="00456560"/>
    <w:rsid w:val="00456586"/>
    <w:rsid w:val="00456891"/>
    <w:rsid w:val="004568F2"/>
    <w:rsid w:val="00456BC7"/>
    <w:rsid w:val="00456BFD"/>
    <w:rsid w:val="00456CAC"/>
    <w:rsid w:val="00456CB1"/>
    <w:rsid w:val="00456D18"/>
    <w:rsid w:val="00456D35"/>
    <w:rsid w:val="00456DA2"/>
    <w:rsid w:val="00456E39"/>
    <w:rsid w:val="00456E41"/>
    <w:rsid w:val="00456FF5"/>
    <w:rsid w:val="00457097"/>
    <w:rsid w:val="0045726F"/>
    <w:rsid w:val="00457337"/>
    <w:rsid w:val="0045737D"/>
    <w:rsid w:val="004573AF"/>
    <w:rsid w:val="0045757F"/>
    <w:rsid w:val="00457657"/>
    <w:rsid w:val="00457754"/>
    <w:rsid w:val="00457865"/>
    <w:rsid w:val="004578DE"/>
    <w:rsid w:val="0045791E"/>
    <w:rsid w:val="00457972"/>
    <w:rsid w:val="00457997"/>
    <w:rsid w:val="00457B8F"/>
    <w:rsid w:val="00457C43"/>
    <w:rsid w:val="00457D04"/>
    <w:rsid w:val="00457EB1"/>
    <w:rsid w:val="00457F68"/>
    <w:rsid w:val="00457FE0"/>
    <w:rsid w:val="0046002A"/>
    <w:rsid w:val="004601A2"/>
    <w:rsid w:val="00460324"/>
    <w:rsid w:val="0046036F"/>
    <w:rsid w:val="004603BF"/>
    <w:rsid w:val="004605E3"/>
    <w:rsid w:val="00460854"/>
    <w:rsid w:val="004609A5"/>
    <w:rsid w:val="004609D0"/>
    <w:rsid w:val="004609E9"/>
    <w:rsid w:val="00460AAA"/>
    <w:rsid w:val="00460B61"/>
    <w:rsid w:val="00460C37"/>
    <w:rsid w:val="00460D97"/>
    <w:rsid w:val="00460E1D"/>
    <w:rsid w:val="00460E80"/>
    <w:rsid w:val="0046109D"/>
    <w:rsid w:val="00461123"/>
    <w:rsid w:val="00461131"/>
    <w:rsid w:val="0046114F"/>
    <w:rsid w:val="0046117F"/>
    <w:rsid w:val="004611DD"/>
    <w:rsid w:val="0046155A"/>
    <w:rsid w:val="004616D8"/>
    <w:rsid w:val="004616ED"/>
    <w:rsid w:val="004617DA"/>
    <w:rsid w:val="004617E5"/>
    <w:rsid w:val="0046182D"/>
    <w:rsid w:val="00461A2F"/>
    <w:rsid w:val="00461AB5"/>
    <w:rsid w:val="00461B52"/>
    <w:rsid w:val="00461CF8"/>
    <w:rsid w:val="00461E2E"/>
    <w:rsid w:val="00461EB9"/>
    <w:rsid w:val="00461ED8"/>
    <w:rsid w:val="00462076"/>
    <w:rsid w:val="004620B7"/>
    <w:rsid w:val="0046212F"/>
    <w:rsid w:val="004621E5"/>
    <w:rsid w:val="0046242C"/>
    <w:rsid w:val="00462545"/>
    <w:rsid w:val="0046279A"/>
    <w:rsid w:val="00462817"/>
    <w:rsid w:val="0046292A"/>
    <w:rsid w:val="004629CB"/>
    <w:rsid w:val="00462CC9"/>
    <w:rsid w:val="00462CE0"/>
    <w:rsid w:val="00462D6F"/>
    <w:rsid w:val="00462E3D"/>
    <w:rsid w:val="00462EC4"/>
    <w:rsid w:val="00462EEF"/>
    <w:rsid w:val="00463102"/>
    <w:rsid w:val="004631DB"/>
    <w:rsid w:val="004631F5"/>
    <w:rsid w:val="004631FE"/>
    <w:rsid w:val="00463243"/>
    <w:rsid w:val="00463302"/>
    <w:rsid w:val="00463399"/>
    <w:rsid w:val="004633B5"/>
    <w:rsid w:val="004634B7"/>
    <w:rsid w:val="004634BB"/>
    <w:rsid w:val="0046362A"/>
    <w:rsid w:val="004637D1"/>
    <w:rsid w:val="004638E6"/>
    <w:rsid w:val="00463C02"/>
    <w:rsid w:val="00463D4E"/>
    <w:rsid w:val="00463D6D"/>
    <w:rsid w:val="004641A3"/>
    <w:rsid w:val="00464206"/>
    <w:rsid w:val="00464297"/>
    <w:rsid w:val="0046429C"/>
    <w:rsid w:val="00464838"/>
    <w:rsid w:val="004649DD"/>
    <w:rsid w:val="00464A15"/>
    <w:rsid w:val="00464A6E"/>
    <w:rsid w:val="00464BB7"/>
    <w:rsid w:val="00464C2E"/>
    <w:rsid w:val="00464CCB"/>
    <w:rsid w:val="00464DE2"/>
    <w:rsid w:val="004650C7"/>
    <w:rsid w:val="00465165"/>
    <w:rsid w:val="00465216"/>
    <w:rsid w:val="00465218"/>
    <w:rsid w:val="0046537A"/>
    <w:rsid w:val="00465412"/>
    <w:rsid w:val="0046550F"/>
    <w:rsid w:val="0046557E"/>
    <w:rsid w:val="00465747"/>
    <w:rsid w:val="004657DA"/>
    <w:rsid w:val="0046587B"/>
    <w:rsid w:val="00465B11"/>
    <w:rsid w:val="00465DD9"/>
    <w:rsid w:val="00465DEE"/>
    <w:rsid w:val="00465E7F"/>
    <w:rsid w:val="00465EBB"/>
    <w:rsid w:val="00465FC8"/>
    <w:rsid w:val="0046600B"/>
    <w:rsid w:val="0046601F"/>
    <w:rsid w:val="004660BA"/>
    <w:rsid w:val="004660FE"/>
    <w:rsid w:val="00466294"/>
    <w:rsid w:val="004662B2"/>
    <w:rsid w:val="004662D2"/>
    <w:rsid w:val="00466417"/>
    <w:rsid w:val="0046649E"/>
    <w:rsid w:val="004665D8"/>
    <w:rsid w:val="00466659"/>
    <w:rsid w:val="004666E5"/>
    <w:rsid w:val="0046679A"/>
    <w:rsid w:val="00466882"/>
    <w:rsid w:val="0046699C"/>
    <w:rsid w:val="00466A94"/>
    <w:rsid w:val="00466B09"/>
    <w:rsid w:val="00466DF8"/>
    <w:rsid w:val="00466E79"/>
    <w:rsid w:val="0046741B"/>
    <w:rsid w:val="004676EC"/>
    <w:rsid w:val="004677FC"/>
    <w:rsid w:val="00467B4C"/>
    <w:rsid w:val="00467B4F"/>
    <w:rsid w:val="00467B66"/>
    <w:rsid w:val="00467BA1"/>
    <w:rsid w:val="00467BC5"/>
    <w:rsid w:val="004701F8"/>
    <w:rsid w:val="00470202"/>
    <w:rsid w:val="00470294"/>
    <w:rsid w:val="00470341"/>
    <w:rsid w:val="004704D4"/>
    <w:rsid w:val="004704E3"/>
    <w:rsid w:val="00470527"/>
    <w:rsid w:val="00470607"/>
    <w:rsid w:val="0047065C"/>
    <w:rsid w:val="0047095D"/>
    <w:rsid w:val="004709CF"/>
    <w:rsid w:val="00470C7E"/>
    <w:rsid w:val="00470D59"/>
    <w:rsid w:val="00470D7D"/>
    <w:rsid w:val="00470E47"/>
    <w:rsid w:val="00470EE0"/>
    <w:rsid w:val="00471276"/>
    <w:rsid w:val="004712FA"/>
    <w:rsid w:val="0047146A"/>
    <w:rsid w:val="00471583"/>
    <w:rsid w:val="004716F6"/>
    <w:rsid w:val="004718E0"/>
    <w:rsid w:val="0047191D"/>
    <w:rsid w:val="00471B41"/>
    <w:rsid w:val="00471BAF"/>
    <w:rsid w:val="00471BCB"/>
    <w:rsid w:val="00471D00"/>
    <w:rsid w:val="00471D22"/>
    <w:rsid w:val="00472068"/>
    <w:rsid w:val="0047222D"/>
    <w:rsid w:val="004723E3"/>
    <w:rsid w:val="004723F2"/>
    <w:rsid w:val="004723F6"/>
    <w:rsid w:val="004724B4"/>
    <w:rsid w:val="004724D7"/>
    <w:rsid w:val="00472583"/>
    <w:rsid w:val="004727BF"/>
    <w:rsid w:val="00472985"/>
    <w:rsid w:val="004729DA"/>
    <w:rsid w:val="00472A4F"/>
    <w:rsid w:val="00472C4C"/>
    <w:rsid w:val="00472C57"/>
    <w:rsid w:val="00472E47"/>
    <w:rsid w:val="00472E4A"/>
    <w:rsid w:val="00472E5D"/>
    <w:rsid w:val="00472E7F"/>
    <w:rsid w:val="00472F13"/>
    <w:rsid w:val="00473067"/>
    <w:rsid w:val="00473096"/>
    <w:rsid w:val="004730EF"/>
    <w:rsid w:val="00473104"/>
    <w:rsid w:val="00473387"/>
    <w:rsid w:val="0047372D"/>
    <w:rsid w:val="0047373B"/>
    <w:rsid w:val="004737BD"/>
    <w:rsid w:val="004737FB"/>
    <w:rsid w:val="0047391E"/>
    <w:rsid w:val="00473928"/>
    <w:rsid w:val="00473A53"/>
    <w:rsid w:val="00473AD2"/>
    <w:rsid w:val="00473B2C"/>
    <w:rsid w:val="00473B91"/>
    <w:rsid w:val="00473B9E"/>
    <w:rsid w:val="00473BA3"/>
    <w:rsid w:val="00473C9E"/>
    <w:rsid w:val="00473D8B"/>
    <w:rsid w:val="00473D8E"/>
    <w:rsid w:val="00473DDB"/>
    <w:rsid w:val="00473E0D"/>
    <w:rsid w:val="00473F99"/>
    <w:rsid w:val="00474027"/>
    <w:rsid w:val="00474161"/>
    <w:rsid w:val="004741D9"/>
    <w:rsid w:val="0047435D"/>
    <w:rsid w:val="00474361"/>
    <w:rsid w:val="004743DD"/>
    <w:rsid w:val="0047440C"/>
    <w:rsid w:val="004744DB"/>
    <w:rsid w:val="00474523"/>
    <w:rsid w:val="0047461B"/>
    <w:rsid w:val="00474670"/>
    <w:rsid w:val="00474A41"/>
    <w:rsid w:val="00474BB6"/>
    <w:rsid w:val="00474BCD"/>
    <w:rsid w:val="00474CEA"/>
    <w:rsid w:val="00474D6A"/>
    <w:rsid w:val="00474E36"/>
    <w:rsid w:val="00474EAB"/>
    <w:rsid w:val="00475164"/>
    <w:rsid w:val="00475302"/>
    <w:rsid w:val="0047541A"/>
    <w:rsid w:val="0047544D"/>
    <w:rsid w:val="00475488"/>
    <w:rsid w:val="004754B1"/>
    <w:rsid w:val="00475610"/>
    <w:rsid w:val="00475693"/>
    <w:rsid w:val="0047569C"/>
    <w:rsid w:val="0047580B"/>
    <w:rsid w:val="00475879"/>
    <w:rsid w:val="004758FD"/>
    <w:rsid w:val="00475928"/>
    <w:rsid w:val="0047599F"/>
    <w:rsid w:val="004759A7"/>
    <w:rsid w:val="00475A81"/>
    <w:rsid w:val="00475AF7"/>
    <w:rsid w:val="00475C2D"/>
    <w:rsid w:val="00475CDB"/>
    <w:rsid w:val="00475E4F"/>
    <w:rsid w:val="00475E5E"/>
    <w:rsid w:val="004760CD"/>
    <w:rsid w:val="0047625D"/>
    <w:rsid w:val="00476315"/>
    <w:rsid w:val="00476534"/>
    <w:rsid w:val="0047656B"/>
    <w:rsid w:val="004769F5"/>
    <w:rsid w:val="004769FB"/>
    <w:rsid w:val="00476B7D"/>
    <w:rsid w:val="00476C5F"/>
    <w:rsid w:val="00476F50"/>
    <w:rsid w:val="00476FF1"/>
    <w:rsid w:val="0047700F"/>
    <w:rsid w:val="00477048"/>
    <w:rsid w:val="0047709B"/>
    <w:rsid w:val="0047710D"/>
    <w:rsid w:val="0047714B"/>
    <w:rsid w:val="00477156"/>
    <w:rsid w:val="0047733A"/>
    <w:rsid w:val="004773B1"/>
    <w:rsid w:val="004773F9"/>
    <w:rsid w:val="0047765A"/>
    <w:rsid w:val="004776FC"/>
    <w:rsid w:val="00477772"/>
    <w:rsid w:val="00477958"/>
    <w:rsid w:val="00477976"/>
    <w:rsid w:val="004779D8"/>
    <w:rsid w:val="00477A10"/>
    <w:rsid w:val="00477A31"/>
    <w:rsid w:val="00477B2A"/>
    <w:rsid w:val="00477DD1"/>
    <w:rsid w:val="00477EF4"/>
    <w:rsid w:val="00477F8D"/>
    <w:rsid w:val="004800EB"/>
    <w:rsid w:val="0048010A"/>
    <w:rsid w:val="0048029F"/>
    <w:rsid w:val="004805C6"/>
    <w:rsid w:val="004805E5"/>
    <w:rsid w:val="0048061A"/>
    <w:rsid w:val="004806D5"/>
    <w:rsid w:val="00480873"/>
    <w:rsid w:val="0048092D"/>
    <w:rsid w:val="00480A8F"/>
    <w:rsid w:val="00480B48"/>
    <w:rsid w:val="00480D72"/>
    <w:rsid w:val="00480E9E"/>
    <w:rsid w:val="00480F11"/>
    <w:rsid w:val="00481249"/>
    <w:rsid w:val="0048127E"/>
    <w:rsid w:val="004812DC"/>
    <w:rsid w:val="00481329"/>
    <w:rsid w:val="0048144B"/>
    <w:rsid w:val="004814D3"/>
    <w:rsid w:val="004814EC"/>
    <w:rsid w:val="00481542"/>
    <w:rsid w:val="004815F4"/>
    <w:rsid w:val="00481665"/>
    <w:rsid w:val="004817B9"/>
    <w:rsid w:val="004817CC"/>
    <w:rsid w:val="00481862"/>
    <w:rsid w:val="00481876"/>
    <w:rsid w:val="00481993"/>
    <w:rsid w:val="00481AD6"/>
    <w:rsid w:val="00481B93"/>
    <w:rsid w:val="00481BD9"/>
    <w:rsid w:val="00481C67"/>
    <w:rsid w:val="00481C8A"/>
    <w:rsid w:val="00481CC2"/>
    <w:rsid w:val="00481CE9"/>
    <w:rsid w:val="00481D86"/>
    <w:rsid w:val="00481DD2"/>
    <w:rsid w:val="00481DDB"/>
    <w:rsid w:val="00481F2B"/>
    <w:rsid w:val="00481FA9"/>
    <w:rsid w:val="0048212D"/>
    <w:rsid w:val="00482139"/>
    <w:rsid w:val="00482146"/>
    <w:rsid w:val="00482263"/>
    <w:rsid w:val="00482294"/>
    <w:rsid w:val="004822A1"/>
    <w:rsid w:val="00482311"/>
    <w:rsid w:val="0048237B"/>
    <w:rsid w:val="0048238A"/>
    <w:rsid w:val="004823FC"/>
    <w:rsid w:val="0048242F"/>
    <w:rsid w:val="004826FF"/>
    <w:rsid w:val="00482868"/>
    <w:rsid w:val="004828E9"/>
    <w:rsid w:val="00482A84"/>
    <w:rsid w:val="00482B0E"/>
    <w:rsid w:val="00482B5C"/>
    <w:rsid w:val="00482BE2"/>
    <w:rsid w:val="00482C1D"/>
    <w:rsid w:val="00482CC0"/>
    <w:rsid w:val="00482D72"/>
    <w:rsid w:val="00482E06"/>
    <w:rsid w:val="00482E88"/>
    <w:rsid w:val="00482F97"/>
    <w:rsid w:val="00483036"/>
    <w:rsid w:val="0048304A"/>
    <w:rsid w:val="004830F2"/>
    <w:rsid w:val="00483137"/>
    <w:rsid w:val="00483143"/>
    <w:rsid w:val="00483759"/>
    <w:rsid w:val="0048383A"/>
    <w:rsid w:val="004838A3"/>
    <w:rsid w:val="004838EF"/>
    <w:rsid w:val="00483968"/>
    <w:rsid w:val="00483974"/>
    <w:rsid w:val="0048398A"/>
    <w:rsid w:val="00483CC6"/>
    <w:rsid w:val="00483E3C"/>
    <w:rsid w:val="00483E4D"/>
    <w:rsid w:val="00483EEB"/>
    <w:rsid w:val="00483FED"/>
    <w:rsid w:val="00483FF7"/>
    <w:rsid w:val="00484097"/>
    <w:rsid w:val="004840D0"/>
    <w:rsid w:val="00484110"/>
    <w:rsid w:val="0048413D"/>
    <w:rsid w:val="004841BE"/>
    <w:rsid w:val="00484287"/>
    <w:rsid w:val="00484459"/>
    <w:rsid w:val="004844A0"/>
    <w:rsid w:val="00484700"/>
    <w:rsid w:val="00484937"/>
    <w:rsid w:val="00484B12"/>
    <w:rsid w:val="00484CF9"/>
    <w:rsid w:val="00484D1E"/>
    <w:rsid w:val="00484D7B"/>
    <w:rsid w:val="00484D84"/>
    <w:rsid w:val="00484F23"/>
    <w:rsid w:val="00484F86"/>
    <w:rsid w:val="00484FA7"/>
    <w:rsid w:val="004850ED"/>
    <w:rsid w:val="00485147"/>
    <w:rsid w:val="0048523B"/>
    <w:rsid w:val="004852E4"/>
    <w:rsid w:val="00485390"/>
    <w:rsid w:val="004854DD"/>
    <w:rsid w:val="0048550F"/>
    <w:rsid w:val="0048572F"/>
    <w:rsid w:val="004857B7"/>
    <w:rsid w:val="004859EF"/>
    <w:rsid w:val="00485A6A"/>
    <w:rsid w:val="00485B4C"/>
    <w:rsid w:val="00485B91"/>
    <w:rsid w:val="00485CC9"/>
    <w:rsid w:val="00485D07"/>
    <w:rsid w:val="00485DD7"/>
    <w:rsid w:val="00485EC1"/>
    <w:rsid w:val="00485FD5"/>
    <w:rsid w:val="00486023"/>
    <w:rsid w:val="004860DD"/>
    <w:rsid w:val="00486205"/>
    <w:rsid w:val="0048629A"/>
    <w:rsid w:val="0048635F"/>
    <w:rsid w:val="00486374"/>
    <w:rsid w:val="0048639E"/>
    <w:rsid w:val="004865F2"/>
    <w:rsid w:val="00486638"/>
    <w:rsid w:val="0048668C"/>
    <w:rsid w:val="00486703"/>
    <w:rsid w:val="00486779"/>
    <w:rsid w:val="0048677E"/>
    <w:rsid w:val="004867C6"/>
    <w:rsid w:val="004869FF"/>
    <w:rsid w:val="00486B51"/>
    <w:rsid w:val="00486B72"/>
    <w:rsid w:val="00486C3B"/>
    <w:rsid w:val="00486C48"/>
    <w:rsid w:val="00486D3A"/>
    <w:rsid w:val="00486D6E"/>
    <w:rsid w:val="00486F28"/>
    <w:rsid w:val="00486F42"/>
    <w:rsid w:val="00486FA4"/>
    <w:rsid w:val="00486FBA"/>
    <w:rsid w:val="00487269"/>
    <w:rsid w:val="004873CB"/>
    <w:rsid w:val="0048747F"/>
    <w:rsid w:val="004875B3"/>
    <w:rsid w:val="004876A8"/>
    <w:rsid w:val="00487888"/>
    <w:rsid w:val="004878A3"/>
    <w:rsid w:val="004878CA"/>
    <w:rsid w:val="0048799A"/>
    <w:rsid w:val="00487AD9"/>
    <w:rsid w:val="00487BC9"/>
    <w:rsid w:val="00487C3A"/>
    <w:rsid w:val="00487C86"/>
    <w:rsid w:val="00487DAC"/>
    <w:rsid w:val="00487E3F"/>
    <w:rsid w:val="004900E4"/>
    <w:rsid w:val="0049010B"/>
    <w:rsid w:val="004902C2"/>
    <w:rsid w:val="004903AD"/>
    <w:rsid w:val="00490687"/>
    <w:rsid w:val="00490746"/>
    <w:rsid w:val="00490852"/>
    <w:rsid w:val="004909CA"/>
    <w:rsid w:val="00490A80"/>
    <w:rsid w:val="00490AE4"/>
    <w:rsid w:val="00490B90"/>
    <w:rsid w:val="00490C64"/>
    <w:rsid w:val="00490D97"/>
    <w:rsid w:val="00490E47"/>
    <w:rsid w:val="00490E58"/>
    <w:rsid w:val="00490E68"/>
    <w:rsid w:val="00490E98"/>
    <w:rsid w:val="00490EAE"/>
    <w:rsid w:val="00491040"/>
    <w:rsid w:val="00491066"/>
    <w:rsid w:val="004910CE"/>
    <w:rsid w:val="004911E7"/>
    <w:rsid w:val="00491244"/>
    <w:rsid w:val="0049127E"/>
    <w:rsid w:val="004912AE"/>
    <w:rsid w:val="004915CA"/>
    <w:rsid w:val="00491671"/>
    <w:rsid w:val="004918F6"/>
    <w:rsid w:val="00491925"/>
    <w:rsid w:val="00491954"/>
    <w:rsid w:val="00491C9C"/>
    <w:rsid w:val="00491CD2"/>
    <w:rsid w:val="00491DF7"/>
    <w:rsid w:val="00491EDE"/>
    <w:rsid w:val="00491FE8"/>
    <w:rsid w:val="004920E1"/>
    <w:rsid w:val="0049219F"/>
    <w:rsid w:val="004923FB"/>
    <w:rsid w:val="00492454"/>
    <w:rsid w:val="004924A8"/>
    <w:rsid w:val="004924D5"/>
    <w:rsid w:val="00492515"/>
    <w:rsid w:val="00492663"/>
    <w:rsid w:val="004926B4"/>
    <w:rsid w:val="0049296F"/>
    <w:rsid w:val="00492986"/>
    <w:rsid w:val="00492BB5"/>
    <w:rsid w:val="00492C5A"/>
    <w:rsid w:val="00492CD8"/>
    <w:rsid w:val="00492D17"/>
    <w:rsid w:val="00492F30"/>
    <w:rsid w:val="00492F36"/>
    <w:rsid w:val="00493345"/>
    <w:rsid w:val="00493384"/>
    <w:rsid w:val="00493454"/>
    <w:rsid w:val="0049346A"/>
    <w:rsid w:val="0049357B"/>
    <w:rsid w:val="004935E0"/>
    <w:rsid w:val="00493663"/>
    <w:rsid w:val="00493706"/>
    <w:rsid w:val="004937C4"/>
    <w:rsid w:val="00493860"/>
    <w:rsid w:val="004938FA"/>
    <w:rsid w:val="004939E4"/>
    <w:rsid w:val="00493A96"/>
    <w:rsid w:val="00493AD7"/>
    <w:rsid w:val="00493B2B"/>
    <w:rsid w:val="00493C78"/>
    <w:rsid w:val="00493CF1"/>
    <w:rsid w:val="00493CFF"/>
    <w:rsid w:val="00493D12"/>
    <w:rsid w:val="00493F13"/>
    <w:rsid w:val="00493F52"/>
    <w:rsid w:val="00493FAE"/>
    <w:rsid w:val="00494138"/>
    <w:rsid w:val="004941D5"/>
    <w:rsid w:val="00494439"/>
    <w:rsid w:val="00494599"/>
    <w:rsid w:val="004945C1"/>
    <w:rsid w:val="004946B3"/>
    <w:rsid w:val="004946F4"/>
    <w:rsid w:val="0049477D"/>
    <w:rsid w:val="004947DD"/>
    <w:rsid w:val="0049485A"/>
    <w:rsid w:val="0049487E"/>
    <w:rsid w:val="00494927"/>
    <w:rsid w:val="00494AAD"/>
    <w:rsid w:val="00494B23"/>
    <w:rsid w:val="00495157"/>
    <w:rsid w:val="004951FE"/>
    <w:rsid w:val="004952C9"/>
    <w:rsid w:val="00495458"/>
    <w:rsid w:val="0049549F"/>
    <w:rsid w:val="004955E0"/>
    <w:rsid w:val="004957CC"/>
    <w:rsid w:val="0049580E"/>
    <w:rsid w:val="00495966"/>
    <w:rsid w:val="0049598B"/>
    <w:rsid w:val="00495A2A"/>
    <w:rsid w:val="00495B1D"/>
    <w:rsid w:val="00495B69"/>
    <w:rsid w:val="00495BA0"/>
    <w:rsid w:val="00495EE8"/>
    <w:rsid w:val="00495F46"/>
    <w:rsid w:val="00495FEF"/>
    <w:rsid w:val="004960B3"/>
    <w:rsid w:val="004961A1"/>
    <w:rsid w:val="004961BF"/>
    <w:rsid w:val="004961F4"/>
    <w:rsid w:val="00496200"/>
    <w:rsid w:val="004962EB"/>
    <w:rsid w:val="0049657F"/>
    <w:rsid w:val="00496653"/>
    <w:rsid w:val="004966CC"/>
    <w:rsid w:val="004966DC"/>
    <w:rsid w:val="004967BF"/>
    <w:rsid w:val="00496845"/>
    <w:rsid w:val="004968A5"/>
    <w:rsid w:val="00496B3C"/>
    <w:rsid w:val="00496D4A"/>
    <w:rsid w:val="00496E15"/>
    <w:rsid w:val="00496E79"/>
    <w:rsid w:val="0049717C"/>
    <w:rsid w:val="004974A9"/>
    <w:rsid w:val="0049750E"/>
    <w:rsid w:val="00497557"/>
    <w:rsid w:val="0049755E"/>
    <w:rsid w:val="0049757B"/>
    <w:rsid w:val="00497842"/>
    <w:rsid w:val="00497897"/>
    <w:rsid w:val="00497965"/>
    <w:rsid w:val="0049797E"/>
    <w:rsid w:val="004979D2"/>
    <w:rsid w:val="00497A3B"/>
    <w:rsid w:val="00497A97"/>
    <w:rsid w:val="00497CF7"/>
    <w:rsid w:val="00497EA1"/>
    <w:rsid w:val="00497F27"/>
    <w:rsid w:val="004A005A"/>
    <w:rsid w:val="004A025F"/>
    <w:rsid w:val="004A0295"/>
    <w:rsid w:val="004A02AC"/>
    <w:rsid w:val="004A03C7"/>
    <w:rsid w:val="004A0508"/>
    <w:rsid w:val="004A068E"/>
    <w:rsid w:val="004A06F5"/>
    <w:rsid w:val="004A09A7"/>
    <w:rsid w:val="004A0A6C"/>
    <w:rsid w:val="004A0A8C"/>
    <w:rsid w:val="004A0D6A"/>
    <w:rsid w:val="004A0DDC"/>
    <w:rsid w:val="004A0F29"/>
    <w:rsid w:val="004A0F34"/>
    <w:rsid w:val="004A0F80"/>
    <w:rsid w:val="004A0F99"/>
    <w:rsid w:val="004A122D"/>
    <w:rsid w:val="004A1294"/>
    <w:rsid w:val="004A140B"/>
    <w:rsid w:val="004A1477"/>
    <w:rsid w:val="004A160D"/>
    <w:rsid w:val="004A1716"/>
    <w:rsid w:val="004A1866"/>
    <w:rsid w:val="004A18BB"/>
    <w:rsid w:val="004A1963"/>
    <w:rsid w:val="004A1B0A"/>
    <w:rsid w:val="004A1DD1"/>
    <w:rsid w:val="004A1DE3"/>
    <w:rsid w:val="004A2020"/>
    <w:rsid w:val="004A2307"/>
    <w:rsid w:val="004A256C"/>
    <w:rsid w:val="004A2591"/>
    <w:rsid w:val="004A2617"/>
    <w:rsid w:val="004A26B4"/>
    <w:rsid w:val="004A2708"/>
    <w:rsid w:val="004A2794"/>
    <w:rsid w:val="004A2914"/>
    <w:rsid w:val="004A2949"/>
    <w:rsid w:val="004A2A7A"/>
    <w:rsid w:val="004A2B25"/>
    <w:rsid w:val="004A2B71"/>
    <w:rsid w:val="004A2BE5"/>
    <w:rsid w:val="004A2C18"/>
    <w:rsid w:val="004A2C20"/>
    <w:rsid w:val="004A2D05"/>
    <w:rsid w:val="004A2D26"/>
    <w:rsid w:val="004A2DC5"/>
    <w:rsid w:val="004A2E3C"/>
    <w:rsid w:val="004A2F43"/>
    <w:rsid w:val="004A32B2"/>
    <w:rsid w:val="004A336B"/>
    <w:rsid w:val="004A344C"/>
    <w:rsid w:val="004A3643"/>
    <w:rsid w:val="004A3824"/>
    <w:rsid w:val="004A3A4D"/>
    <w:rsid w:val="004A3A78"/>
    <w:rsid w:val="004A3A7C"/>
    <w:rsid w:val="004A3E6C"/>
    <w:rsid w:val="004A3E81"/>
    <w:rsid w:val="004A3EFC"/>
    <w:rsid w:val="004A3F26"/>
    <w:rsid w:val="004A3F7F"/>
    <w:rsid w:val="004A3FA1"/>
    <w:rsid w:val="004A404C"/>
    <w:rsid w:val="004A4195"/>
    <w:rsid w:val="004A41FE"/>
    <w:rsid w:val="004A4274"/>
    <w:rsid w:val="004A42BE"/>
    <w:rsid w:val="004A43B7"/>
    <w:rsid w:val="004A4556"/>
    <w:rsid w:val="004A45BF"/>
    <w:rsid w:val="004A4720"/>
    <w:rsid w:val="004A4737"/>
    <w:rsid w:val="004A4752"/>
    <w:rsid w:val="004A49CE"/>
    <w:rsid w:val="004A4A84"/>
    <w:rsid w:val="004A4D14"/>
    <w:rsid w:val="004A4D44"/>
    <w:rsid w:val="004A4DCC"/>
    <w:rsid w:val="004A4DDC"/>
    <w:rsid w:val="004A4E54"/>
    <w:rsid w:val="004A5022"/>
    <w:rsid w:val="004A5198"/>
    <w:rsid w:val="004A53E3"/>
    <w:rsid w:val="004A57FF"/>
    <w:rsid w:val="004A582F"/>
    <w:rsid w:val="004A5895"/>
    <w:rsid w:val="004A5BFF"/>
    <w:rsid w:val="004A5C62"/>
    <w:rsid w:val="004A5CE5"/>
    <w:rsid w:val="004A5D79"/>
    <w:rsid w:val="004A5DC4"/>
    <w:rsid w:val="004A5E5D"/>
    <w:rsid w:val="004A5EBB"/>
    <w:rsid w:val="004A5FC6"/>
    <w:rsid w:val="004A604B"/>
    <w:rsid w:val="004A6071"/>
    <w:rsid w:val="004A607A"/>
    <w:rsid w:val="004A61D9"/>
    <w:rsid w:val="004A62B0"/>
    <w:rsid w:val="004A6355"/>
    <w:rsid w:val="004A64AE"/>
    <w:rsid w:val="004A6698"/>
    <w:rsid w:val="004A680F"/>
    <w:rsid w:val="004A684E"/>
    <w:rsid w:val="004A689E"/>
    <w:rsid w:val="004A68C4"/>
    <w:rsid w:val="004A693B"/>
    <w:rsid w:val="004A699C"/>
    <w:rsid w:val="004A6A69"/>
    <w:rsid w:val="004A6D6E"/>
    <w:rsid w:val="004A6D73"/>
    <w:rsid w:val="004A6D9F"/>
    <w:rsid w:val="004A6DA7"/>
    <w:rsid w:val="004A6DD3"/>
    <w:rsid w:val="004A6DEA"/>
    <w:rsid w:val="004A6E7C"/>
    <w:rsid w:val="004A6F09"/>
    <w:rsid w:val="004A707D"/>
    <w:rsid w:val="004A70FF"/>
    <w:rsid w:val="004A7198"/>
    <w:rsid w:val="004A7306"/>
    <w:rsid w:val="004A7308"/>
    <w:rsid w:val="004A7311"/>
    <w:rsid w:val="004A73E9"/>
    <w:rsid w:val="004A7503"/>
    <w:rsid w:val="004A753E"/>
    <w:rsid w:val="004A7928"/>
    <w:rsid w:val="004A7A70"/>
    <w:rsid w:val="004A7BE9"/>
    <w:rsid w:val="004A7D62"/>
    <w:rsid w:val="004A7E57"/>
    <w:rsid w:val="004A7E83"/>
    <w:rsid w:val="004A7EF3"/>
    <w:rsid w:val="004A7FE4"/>
    <w:rsid w:val="004B010F"/>
    <w:rsid w:val="004B0127"/>
    <w:rsid w:val="004B013B"/>
    <w:rsid w:val="004B0156"/>
    <w:rsid w:val="004B01B7"/>
    <w:rsid w:val="004B0205"/>
    <w:rsid w:val="004B0263"/>
    <w:rsid w:val="004B04E7"/>
    <w:rsid w:val="004B0517"/>
    <w:rsid w:val="004B06EC"/>
    <w:rsid w:val="004B08E8"/>
    <w:rsid w:val="004B0917"/>
    <w:rsid w:val="004B0974"/>
    <w:rsid w:val="004B0AAD"/>
    <w:rsid w:val="004B0B01"/>
    <w:rsid w:val="004B0BA8"/>
    <w:rsid w:val="004B0D74"/>
    <w:rsid w:val="004B103E"/>
    <w:rsid w:val="004B1083"/>
    <w:rsid w:val="004B10FD"/>
    <w:rsid w:val="004B1234"/>
    <w:rsid w:val="004B128F"/>
    <w:rsid w:val="004B15D5"/>
    <w:rsid w:val="004B1662"/>
    <w:rsid w:val="004B1744"/>
    <w:rsid w:val="004B17EA"/>
    <w:rsid w:val="004B180E"/>
    <w:rsid w:val="004B1979"/>
    <w:rsid w:val="004B1A3A"/>
    <w:rsid w:val="004B1BA2"/>
    <w:rsid w:val="004B1D2C"/>
    <w:rsid w:val="004B1EA1"/>
    <w:rsid w:val="004B1F36"/>
    <w:rsid w:val="004B1F94"/>
    <w:rsid w:val="004B20E7"/>
    <w:rsid w:val="004B21CD"/>
    <w:rsid w:val="004B2238"/>
    <w:rsid w:val="004B227D"/>
    <w:rsid w:val="004B22DA"/>
    <w:rsid w:val="004B250C"/>
    <w:rsid w:val="004B25AB"/>
    <w:rsid w:val="004B262B"/>
    <w:rsid w:val="004B2717"/>
    <w:rsid w:val="004B27D9"/>
    <w:rsid w:val="004B2808"/>
    <w:rsid w:val="004B28AD"/>
    <w:rsid w:val="004B2A89"/>
    <w:rsid w:val="004B2BBB"/>
    <w:rsid w:val="004B2CB5"/>
    <w:rsid w:val="004B2ED2"/>
    <w:rsid w:val="004B2F36"/>
    <w:rsid w:val="004B2F5A"/>
    <w:rsid w:val="004B31A9"/>
    <w:rsid w:val="004B3297"/>
    <w:rsid w:val="004B34E5"/>
    <w:rsid w:val="004B3761"/>
    <w:rsid w:val="004B38AA"/>
    <w:rsid w:val="004B390E"/>
    <w:rsid w:val="004B391E"/>
    <w:rsid w:val="004B39EF"/>
    <w:rsid w:val="004B3BAD"/>
    <w:rsid w:val="004B3BB3"/>
    <w:rsid w:val="004B3C65"/>
    <w:rsid w:val="004B3C96"/>
    <w:rsid w:val="004B3F7E"/>
    <w:rsid w:val="004B3FAF"/>
    <w:rsid w:val="004B40F2"/>
    <w:rsid w:val="004B410A"/>
    <w:rsid w:val="004B4185"/>
    <w:rsid w:val="004B41B0"/>
    <w:rsid w:val="004B41D9"/>
    <w:rsid w:val="004B4332"/>
    <w:rsid w:val="004B44E9"/>
    <w:rsid w:val="004B45A6"/>
    <w:rsid w:val="004B4656"/>
    <w:rsid w:val="004B4A01"/>
    <w:rsid w:val="004B4C8B"/>
    <w:rsid w:val="004B4D5F"/>
    <w:rsid w:val="004B4F81"/>
    <w:rsid w:val="004B4F94"/>
    <w:rsid w:val="004B509B"/>
    <w:rsid w:val="004B5204"/>
    <w:rsid w:val="004B534D"/>
    <w:rsid w:val="004B539F"/>
    <w:rsid w:val="004B5532"/>
    <w:rsid w:val="004B5623"/>
    <w:rsid w:val="004B5890"/>
    <w:rsid w:val="004B594C"/>
    <w:rsid w:val="004B5B9B"/>
    <w:rsid w:val="004B5E75"/>
    <w:rsid w:val="004B5EB9"/>
    <w:rsid w:val="004B5F50"/>
    <w:rsid w:val="004B60A5"/>
    <w:rsid w:val="004B61F6"/>
    <w:rsid w:val="004B620F"/>
    <w:rsid w:val="004B62B4"/>
    <w:rsid w:val="004B62EC"/>
    <w:rsid w:val="004B6345"/>
    <w:rsid w:val="004B65D7"/>
    <w:rsid w:val="004B68E1"/>
    <w:rsid w:val="004B69C1"/>
    <w:rsid w:val="004B6A3A"/>
    <w:rsid w:val="004B6C70"/>
    <w:rsid w:val="004B6CA0"/>
    <w:rsid w:val="004B6E0D"/>
    <w:rsid w:val="004B6EB6"/>
    <w:rsid w:val="004B7058"/>
    <w:rsid w:val="004B7087"/>
    <w:rsid w:val="004B70BF"/>
    <w:rsid w:val="004B71CB"/>
    <w:rsid w:val="004B71D5"/>
    <w:rsid w:val="004B73E9"/>
    <w:rsid w:val="004B75B9"/>
    <w:rsid w:val="004B75FF"/>
    <w:rsid w:val="004B762B"/>
    <w:rsid w:val="004B768A"/>
    <w:rsid w:val="004B780B"/>
    <w:rsid w:val="004B7841"/>
    <w:rsid w:val="004B784D"/>
    <w:rsid w:val="004B789C"/>
    <w:rsid w:val="004B78F7"/>
    <w:rsid w:val="004B7929"/>
    <w:rsid w:val="004B7973"/>
    <w:rsid w:val="004B7A69"/>
    <w:rsid w:val="004B7ACB"/>
    <w:rsid w:val="004B7BCF"/>
    <w:rsid w:val="004B7CA0"/>
    <w:rsid w:val="004B7CE9"/>
    <w:rsid w:val="004B7DB5"/>
    <w:rsid w:val="004B7EDD"/>
    <w:rsid w:val="004C0042"/>
    <w:rsid w:val="004C00D4"/>
    <w:rsid w:val="004C0166"/>
    <w:rsid w:val="004C028C"/>
    <w:rsid w:val="004C02A8"/>
    <w:rsid w:val="004C034E"/>
    <w:rsid w:val="004C03EC"/>
    <w:rsid w:val="004C04A5"/>
    <w:rsid w:val="004C04BF"/>
    <w:rsid w:val="004C04D7"/>
    <w:rsid w:val="004C0519"/>
    <w:rsid w:val="004C05D1"/>
    <w:rsid w:val="004C0607"/>
    <w:rsid w:val="004C0981"/>
    <w:rsid w:val="004C0A5D"/>
    <w:rsid w:val="004C0ACA"/>
    <w:rsid w:val="004C0C04"/>
    <w:rsid w:val="004C0C0E"/>
    <w:rsid w:val="004C0C3B"/>
    <w:rsid w:val="004C0DC0"/>
    <w:rsid w:val="004C0DF9"/>
    <w:rsid w:val="004C0E6F"/>
    <w:rsid w:val="004C0ED2"/>
    <w:rsid w:val="004C1039"/>
    <w:rsid w:val="004C1066"/>
    <w:rsid w:val="004C1117"/>
    <w:rsid w:val="004C113C"/>
    <w:rsid w:val="004C115D"/>
    <w:rsid w:val="004C1399"/>
    <w:rsid w:val="004C13FA"/>
    <w:rsid w:val="004C1515"/>
    <w:rsid w:val="004C153A"/>
    <w:rsid w:val="004C16DA"/>
    <w:rsid w:val="004C172E"/>
    <w:rsid w:val="004C17FA"/>
    <w:rsid w:val="004C1881"/>
    <w:rsid w:val="004C1AC4"/>
    <w:rsid w:val="004C1C39"/>
    <w:rsid w:val="004C1E64"/>
    <w:rsid w:val="004C1E88"/>
    <w:rsid w:val="004C1F02"/>
    <w:rsid w:val="004C2128"/>
    <w:rsid w:val="004C21B2"/>
    <w:rsid w:val="004C21C1"/>
    <w:rsid w:val="004C22B4"/>
    <w:rsid w:val="004C23C0"/>
    <w:rsid w:val="004C256D"/>
    <w:rsid w:val="004C2721"/>
    <w:rsid w:val="004C2761"/>
    <w:rsid w:val="004C2885"/>
    <w:rsid w:val="004C2C16"/>
    <w:rsid w:val="004C2C6A"/>
    <w:rsid w:val="004C2E7A"/>
    <w:rsid w:val="004C2EAA"/>
    <w:rsid w:val="004C2ECE"/>
    <w:rsid w:val="004C2F1F"/>
    <w:rsid w:val="004C2F98"/>
    <w:rsid w:val="004C30E8"/>
    <w:rsid w:val="004C3136"/>
    <w:rsid w:val="004C3436"/>
    <w:rsid w:val="004C3521"/>
    <w:rsid w:val="004C364F"/>
    <w:rsid w:val="004C37CF"/>
    <w:rsid w:val="004C37F7"/>
    <w:rsid w:val="004C386C"/>
    <w:rsid w:val="004C3933"/>
    <w:rsid w:val="004C3A6B"/>
    <w:rsid w:val="004C3B96"/>
    <w:rsid w:val="004C3C27"/>
    <w:rsid w:val="004C3E77"/>
    <w:rsid w:val="004C3EF9"/>
    <w:rsid w:val="004C406D"/>
    <w:rsid w:val="004C408E"/>
    <w:rsid w:val="004C410F"/>
    <w:rsid w:val="004C42B7"/>
    <w:rsid w:val="004C4502"/>
    <w:rsid w:val="004C457D"/>
    <w:rsid w:val="004C463F"/>
    <w:rsid w:val="004C4763"/>
    <w:rsid w:val="004C478A"/>
    <w:rsid w:val="004C48ED"/>
    <w:rsid w:val="004C48F0"/>
    <w:rsid w:val="004C4ADD"/>
    <w:rsid w:val="004C4B28"/>
    <w:rsid w:val="004C4BB9"/>
    <w:rsid w:val="004C4C3B"/>
    <w:rsid w:val="004C4C8B"/>
    <w:rsid w:val="004C4CEF"/>
    <w:rsid w:val="004C4E32"/>
    <w:rsid w:val="004C4F78"/>
    <w:rsid w:val="004C50C3"/>
    <w:rsid w:val="004C514E"/>
    <w:rsid w:val="004C5224"/>
    <w:rsid w:val="004C5296"/>
    <w:rsid w:val="004C5303"/>
    <w:rsid w:val="004C534F"/>
    <w:rsid w:val="004C53F4"/>
    <w:rsid w:val="004C5541"/>
    <w:rsid w:val="004C55B8"/>
    <w:rsid w:val="004C56B7"/>
    <w:rsid w:val="004C5750"/>
    <w:rsid w:val="004C58E0"/>
    <w:rsid w:val="004C5A64"/>
    <w:rsid w:val="004C5A6A"/>
    <w:rsid w:val="004C5A85"/>
    <w:rsid w:val="004C5B6A"/>
    <w:rsid w:val="004C5BF7"/>
    <w:rsid w:val="004C5C3E"/>
    <w:rsid w:val="004C5C95"/>
    <w:rsid w:val="004C5CA2"/>
    <w:rsid w:val="004C5D14"/>
    <w:rsid w:val="004C5DD5"/>
    <w:rsid w:val="004C5E27"/>
    <w:rsid w:val="004C5EB4"/>
    <w:rsid w:val="004C5F38"/>
    <w:rsid w:val="004C5FA4"/>
    <w:rsid w:val="004C61B4"/>
    <w:rsid w:val="004C61FD"/>
    <w:rsid w:val="004C62AA"/>
    <w:rsid w:val="004C633C"/>
    <w:rsid w:val="004C63EE"/>
    <w:rsid w:val="004C6526"/>
    <w:rsid w:val="004C6695"/>
    <w:rsid w:val="004C6763"/>
    <w:rsid w:val="004C67A2"/>
    <w:rsid w:val="004C6867"/>
    <w:rsid w:val="004C69AE"/>
    <w:rsid w:val="004C6A63"/>
    <w:rsid w:val="004C6CD6"/>
    <w:rsid w:val="004C6D71"/>
    <w:rsid w:val="004C6DF9"/>
    <w:rsid w:val="004C6EEE"/>
    <w:rsid w:val="004C6F49"/>
    <w:rsid w:val="004C7029"/>
    <w:rsid w:val="004C702B"/>
    <w:rsid w:val="004C7089"/>
    <w:rsid w:val="004C710D"/>
    <w:rsid w:val="004C71F5"/>
    <w:rsid w:val="004C738F"/>
    <w:rsid w:val="004C7433"/>
    <w:rsid w:val="004C774E"/>
    <w:rsid w:val="004C77BC"/>
    <w:rsid w:val="004C78EF"/>
    <w:rsid w:val="004C7A83"/>
    <w:rsid w:val="004C7CF4"/>
    <w:rsid w:val="004C7DFB"/>
    <w:rsid w:val="004C7E24"/>
    <w:rsid w:val="004C7F8D"/>
    <w:rsid w:val="004C7FE8"/>
    <w:rsid w:val="004D0021"/>
    <w:rsid w:val="004D002E"/>
    <w:rsid w:val="004D0033"/>
    <w:rsid w:val="004D010C"/>
    <w:rsid w:val="004D016A"/>
    <w:rsid w:val="004D016B"/>
    <w:rsid w:val="004D0190"/>
    <w:rsid w:val="004D031A"/>
    <w:rsid w:val="004D0403"/>
    <w:rsid w:val="004D054F"/>
    <w:rsid w:val="004D0591"/>
    <w:rsid w:val="004D05CD"/>
    <w:rsid w:val="004D05FA"/>
    <w:rsid w:val="004D073D"/>
    <w:rsid w:val="004D0779"/>
    <w:rsid w:val="004D0799"/>
    <w:rsid w:val="004D07ED"/>
    <w:rsid w:val="004D0838"/>
    <w:rsid w:val="004D087F"/>
    <w:rsid w:val="004D097B"/>
    <w:rsid w:val="004D09AE"/>
    <w:rsid w:val="004D0A17"/>
    <w:rsid w:val="004D0A6D"/>
    <w:rsid w:val="004D0ABD"/>
    <w:rsid w:val="004D0AD4"/>
    <w:rsid w:val="004D0E81"/>
    <w:rsid w:val="004D0EE6"/>
    <w:rsid w:val="004D0F22"/>
    <w:rsid w:val="004D0FB4"/>
    <w:rsid w:val="004D1080"/>
    <w:rsid w:val="004D10F2"/>
    <w:rsid w:val="004D1172"/>
    <w:rsid w:val="004D11C8"/>
    <w:rsid w:val="004D140C"/>
    <w:rsid w:val="004D1595"/>
    <w:rsid w:val="004D15A3"/>
    <w:rsid w:val="004D15FB"/>
    <w:rsid w:val="004D16DB"/>
    <w:rsid w:val="004D173A"/>
    <w:rsid w:val="004D1745"/>
    <w:rsid w:val="004D1923"/>
    <w:rsid w:val="004D1A0B"/>
    <w:rsid w:val="004D1A0D"/>
    <w:rsid w:val="004D1A5C"/>
    <w:rsid w:val="004D1B22"/>
    <w:rsid w:val="004D1C94"/>
    <w:rsid w:val="004D1CCE"/>
    <w:rsid w:val="004D1D7D"/>
    <w:rsid w:val="004D1E94"/>
    <w:rsid w:val="004D1FB4"/>
    <w:rsid w:val="004D2067"/>
    <w:rsid w:val="004D2233"/>
    <w:rsid w:val="004D2287"/>
    <w:rsid w:val="004D22AA"/>
    <w:rsid w:val="004D2335"/>
    <w:rsid w:val="004D2397"/>
    <w:rsid w:val="004D23CC"/>
    <w:rsid w:val="004D2677"/>
    <w:rsid w:val="004D26FE"/>
    <w:rsid w:val="004D275C"/>
    <w:rsid w:val="004D2831"/>
    <w:rsid w:val="004D29C0"/>
    <w:rsid w:val="004D29DB"/>
    <w:rsid w:val="004D2A63"/>
    <w:rsid w:val="004D2A9B"/>
    <w:rsid w:val="004D2B42"/>
    <w:rsid w:val="004D2C0B"/>
    <w:rsid w:val="004D2C50"/>
    <w:rsid w:val="004D2D49"/>
    <w:rsid w:val="004D2F44"/>
    <w:rsid w:val="004D2F87"/>
    <w:rsid w:val="004D313D"/>
    <w:rsid w:val="004D325D"/>
    <w:rsid w:val="004D3336"/>
    <w:rsid w:val="004D33AC"/>
    <w:rsid w:val="004D33B1"/>
    <w:rsid w:val="004D3455"/>
    <w:rsid w:val="004D36F2"/>
    <w:rsid w:val="004D38FB"/>
    <w:rsid w:val="004D3966"/>
    <w:rsid w:val="004D3BF9"/>
    <w:rsid w:val="004D3C5E"/>
    <w:rsid w:val="004D3D15"/>
    <w:rsid w:val="004D3D20"/>
    <w:rsid w:val="004D3D8C"/>
    <w:rsid w:val="004D3EC0"/>
    <w:rsid w:val="004D3ED1"/>
    <w:rsid w:val="004D433D"/>
    <w:rsid w:val="004D43B6"/>
    <w:rsid w:val="004D44EC"/>
    <w:rsid w:val="004D4803"/>
    <w:rsid w:val="004D4867"/>
    <w:rsid w:val="004D4929"/>
    <w:rsid w:val="004D4AC5"/>
    <w:rsid w:val="004D4DA8"/>
    <w:rsid w:val="004D4F85"/>
    <w:rsid w:val="004D4F97"/>
    <w:rsid w:val="004D50EC"/>
    <w:rsid w:val="004D510D"/>
    <w:rsid w:val="004D51E6"/>
    <w:rsid w:val="004D547E"/>
    <w:rsid w:val="004D58AB"/>
    <w:rsid w:val="004D5955"/>
    <w:rsid w:val="004D5A05"/>
    <w:rsid w:val="004D5A50"/>
    <w:rsid w:val="004D5A59"/>
    <w:rsid w:val="004D5A8A"/>
    <w:rsid w:val="004D5BA7"/>
    <w:rsid w:val="004D5C47"/>
    <w:rsid w:val="004D5CBC"/>
    <w:rsid w:val="004D5D44"/>
    <w:rsid w:val="004D5D85"/>
    <w:rsid w:val="004D6404"/>
    <w:rsid w:val="004D6650"/>
    <w:rsid w:val="004D68F0"/>
    <w:rsid w:val="004D6964"/>
    <w:rsid w:val="004D6C83"/>
    <w:rsid w:val="004D6D2E"/>
    <w:rsid w:val="004D6FF4"/>
    <w:rsid w:val="004D6FFD"/>
    <w:rsid w:val="004D700B"/>
    <w:rsid w:val="004D72B9"/>
    <w:rsid w:val="004D7360"/>
    <w:rsid w:val="004D74E2"/>
    <w:rsid w:val="004D7595"/>
    <w:rsid w:val="004D772A"/>
    <w:rsid w:val="004D783B"/>
    <w:rsid w:val="004D7918"/>
    <w:rsid w:val="004D791E"/>
    <w:rsid w:val="004D7A5A"/>
    <w:rsid w:val="004D7A77"/>
    <w:rsid w:val="004D7AAB"/>
    <w:rsid w:val="004D7CAE"/>
    <w:rsid w:val="004D7CE3"/>
    <w:rsid w:val="004D7D86"/>
    <w:rsid w:val="004D7DA8"/>
    <w:rsid w:val="004D7DD1"/>
    <w:rsid w:val="004D7E52"/>
    <w:rsid w:val="004E003B"/>
    <w:rsid w:val="004E01A9"/>
    <w:rsid w:val="004E0360"/>
    <w:rsid w:val="004E0377"/>
    <w:rsid w:val="004E0602"/>
    <w:rsid w:val="004E062E"/>
    <w:rsid w:val="004E0750"/>
    <w:rsid w:val="004E08B0"/>
    <w:rsid w:val="004E0A00"/>
    <w:rsid w:val="004E0C99"/>
    <w:rsid w:val="004E0DFD"/>
    <w:rsid w:val="004E0E14"/>
    <w:rsid w:val="004E0F81"/>
    <w:rsid w:val="004E0FF1"/>
    <w:rsid w:val="004E10B8"/>
    <w:rsid w:val="004E1106"/>
    <w:rsid w:val="004E1143"/>
    <w:rsid w:val="004E11BE"/>
    <w:rsid w:val="004E138F"/>
    <w:rsid w:val="004E13B6"/>
    <w:rsid w:val="004E1436"/>
    <w:rsid w:val="004E1444"/>
    <w:rsid w:val="004E15ED"/>
    <w:rsid w:val="004E1657"/>
    <w:rsid w:val="004E1824"/>
    <w:rsid w:val="004E1976"/>
    <w:rsid w:val="004E1ABD"/>
    <w:rsid w:val="004E1AF2"/>
    <w:rsid w:val="004E1CE6"/>
    <w:rsid w:val="004E1DCA"/>
    <w:rsid w:val="004E1E7B"/>
    <w:rsid w:val="004E1ED8"/>
    <w:rsid w:val="004E1F21"/>
    <w:rsid w:val="004E1F93"/>
    <w:rsid w:val="004E1FC6"/>
    <w:rsid w:val="004E232B"/>
    <w:rsid w:val="004E245B"/>
    <w:rsid w:val="004E24F0"/>
    <w:rsid w:val="004E2562"/>
    <w:rsid w:val="004E2785"/>
    <w:rsid w:val="004E28EC"/>
    <w:rsid w:val="004E2924"/>
    <w:rsid w:val="004E2951"/>
    <w:rsid w:val="004E2A44"/>
    <w:rsid w:val="004E2D1C"/>
    <w:rsid w:val="004E2E92"/>
    <w:rsid w:val="004E2FC2"/>
    <w:rsid w:val="004E31F0"/>
    <w:rsid w:val="004E33B5"/>
    <w:rsid w:val="004E352B"/>
    <w:rsid w:val="004E3574"/>
    <w:rsid w:val="004E3592"/>
    <w:rsid w:val="004E35DB"/>
    <w:rsid w:val="004E36BF"/>
    <w:rsid w:val="004E3958"/>
    <w:rsid w:val="004E3997"/>
    <w:rsid w:val="004E3BB3"/>
    <w:rsid w:val="004E3C1B"/>
    <w:rsid w:val="004E3CAD"/>
    <w:rsid w:val="004E3D6A"/>
    <w:rsid w:val="004E3D6E"/>
    <w:rsid w:val="004E3DA5"/>
    <w:rsid w:val="004E3F4E"/>
    <w:rsid w:val="004E405A"/>
    <w:rsid w:val="004E4106"/>
    <w:rsid w:val="004E4207"/>
    <w:rsid w:val="004E4251"/>
    <w:rsid w:val="004E4353"/>
    <w:rsid w:val="004E4416"/>
    <w:rsid w:val="004E4452"/>
    <w:rsid w:val="004E4649"/>
    <w:rsid w:val="004E4674"/>
    <w:rsid w:val="004E4691"/>
    <w:rsid w:val="004E46A5"/>
    <w:rsid w:val="004E46BC"/>
    <w:rsid w:val="004E4710"/>
    <w:rsid w:val="004E4725"/>
    <w:rsid w:val="004E4904"/>
    <w:rsid w:val="004E4962"/>
    <w:rsid w:val="004E4987"/>
    <w:rsid w:val="004E4CDB"/>
    <w:rsid w:val="004E4D15"/>
    <w:rsid w:val="004E4DCE"/>
    <w:rsid w:val="004E4F98"/>
    <w:rsid w:val="004E4F9E"/>
    <w:rsid w:val="004E508C"/>
    <w:rsid w:val="004E50B8"/>
    <w:rsid w:val="004E5155"/>
    <w:rsid w:val="004E5378"/>
    <w:rsid w:val="004E5424"/>
    <w:rsid w:val="004E546A"/>
    <w:rsid w:val="004E549B"/>
    <w:rsid w:val="004E5588"/>
    <w:rsid w:val="004E5747"/>
    <w:rsid w:val="004E57D0"/>
    <w:rsid w:val="004E58ED"/>
    <w:rsid w:val="004E5ADB"/>
    <w:rsid w:val="004E5B6B"/>
    <w:rsid w:val="004E5C2B"/>
    <w:rsid w:val="004E5CE6"/>
    <w:rsid w:val="004E5D34"/>
    <w:rsid w:val="004E5D87"/>
    <w:rsid w:val="004E5DEF"/>
    <w:rsid w:val="004E5E24"/>
    <w:rsid w:val="004E5F32"/>
    <w:rsid w:val="004E6245"/>
    <w:rsid w:val="004E6268"/>
    <w:rsid w:val="004E636F"/>
    <w:rsid w:val="004E6400"/>
    <w:rsid w:val="004E6516"/>
    <w:rsid w:val="004E654E"/>
    <w:rsid w:val="004E6578"/>
    <w:rsid w:val="004E65FC"/>
    <w:rsid w:val="004E6650"/>
    <w:rsid w:val="004E683D"/>
    <w:rsid w:val="004E6B98"/>
    <w:rsid w:val="004E6D88"/>
    <w:rsid w:val="004E6F5B"/>
    <w:rsid w:val="004E6F87"/>
    <w:rsid w:val="004E6FA0"/>
    <w:rsid w:val="004E7043"/>
    <w:rsid w:val="004E70A7"/>
    <w:rsid w:val="004E7105"/>
    <w:rsid w:val="004E74BE"/>
    <w:rsid w:val="004E75F4"/>
    <w:rsid w:val="004E7769"/>
    <w:rsid w:val="004E7847"/>
    <w:rsid w:val="004E788F"/>
    <w:rsid w:val="004E78C0"/>
    <w:rsid w:val="004E7C2F"/>
    <w:rsid w:val="004E7C82"/>
    <w:rsid w:val="004E7C94"/>
    <w:rsid w:val="004E7CBC"/>
    <w:rsid w:val="004E7F16"/>
    <w:rsid w:val="004F0057"/>
    <w:rsid w:val="004F00DD"/>
    <w:rsid w:val="004F0147"/>
    <w:rsid w:val="004F0207"/>
    <w:rsid w:val="004F028A"/>
    <w:rsid w:val="004F0356"/>
    <w:rsid w:val="004F0562"/>
    <w:rsid w:val="004F0687"/>
    <w:rsid w:val="004F0693"/>
    <w:rsid w:val="004F069E"/>
    <w:rsid w:val="004F0762"/>
    <w:rsid w:val="004F077D"/>
    <w:rsid w:val="004F090A"/>
    <w:rsid w:val="004F0924"/>
    <w:rsid w:val="004F09A4"/>
    <w:rsid w:val="004F09CF"/>
    <w:rsid w:val="004F0AA9"/>
    <w:rsid w:val="004F0BBC"/>
    <w:rsid w:val="004F0C06"/>
    <w:rsid w:val="004F0C61"/>
    <w:rsid w:val="004F0D25"/>
    <w:rsid w:val="004F0DAA"/>
    <w:rsid w:val="004F0E2E"/>
    <w:rsid w:val="004F0F15"/>
    <w:rsid w:val="004F0F7A"/>
    <w:rsid w:val="004F11F1"/>
    <w:rsid w:val="004F1355"/>
    <w:rsid w:val="004F136D"/>
    <w:rsid w:val="004F13C8"/>
    <w:rsid w:val="004F16CB"/>
    <w:rsid w:val="004F17D9"/>
    <w:rsid w:val="004F18D8"/>
    <w:rsid w:val="004F1A5B"/>
    <w:rsid w:val="004F1BA7"/>
    <w:rsid w:val="004F1BC1"/>
    <w:rsid w:val="004F1C24"/>
    <w:rsid w:val="004F1E7C"/>
    <w:rsid w:val="004F1E93"/>
    <w:rsid w:val="004F1EE7"/>
    <w:rsid w:val="004F2051"/>
    <w:rsid w:val="004F20F3"/>
    <w:rsid w:val="004F20FF"/>
    <w:rsid w:val="004F2133"/>
    <w:rsid w:val="004F220F"/>
    <w:rsid w:val="004F222E"/>
    <w:rsid w:val="004F23B3"/>
    <w:rsid w:val="004F242C"/>
    <w:rsid w:val="004F2459"/>
    <w:rsid w:val="004F255A"/>
    <w:rsid w:val="004F25A6"/>
    <w:rsid w:val="004F2814"/>
    <w:rsid w:val="004F284D"/>
    <w:rsid w:val="004F285C"/>
    <w:rsid w:val="004F2970"/>
    <w:rsid w:val="004F2A20"/>
    <w:rsid w:val="004F2A2B"/>
    <w:rsid w:val="004F2D44"/>
    <w:rsid w:val="004F2E74"/>
    <w:rsid w:val="004F2F20"/>
    <w:rsid w:val="004F2F2A"/>
    <w:rsid w:val="004F3031"/>
    <w:rsid w:val="004F3042"/>
    <w:rsid w:val="004F325E"/>
    <w:rsid w:val="004F347A"/>
    <w:rsid w:val="004F35EC"/>
    <w:rsid w:val="004F3673"/>
    <w:rsid w:val="004F36D2"/>
    <w:rsid w:val="004F37BC"/>
    <w:rsid w:val="004F3BC7"/>
    <w:rsid w:val="004F3CD3"/>
    <w:rsid w:val="004F3E52"/>
    <w:rsid w:val="004F405C"/>
    <w:rsid w:val="004F4279"/>
    <w:rsid w:val="004F4343"/>
    <w:rsid w:val="004F4496"/>
    <w:rsid w:val="004F4636"/>
    <w:rsid w:val="004F465E"/>
    <w:rsid w:val="004F4697"/>
    <w:rsid w:val="004F47CA"/>
    <w:rsid w:val="004F48BF"/>
    <w:rsid w:val="004F4B38"/>
    <w:rsid w:val="004F51B8"/>
    <w:rsid w:val="004F525E"/>
    <w:rsid w:val="004F536B"/>
    <w:rsid w:val="004F5398"/>
    <w:rsid w:val="004F53F1"/>
    <w:rsid w:val="004F556B"/>
    <w:rsid w:val="004F55F1"/>
    <w:rsid w:val="004F575B"/>
    <w:rsid w:val="004F5787"/>
    <w:rsid w:val="004F581F"/>
    <w:rsid w:val="004F5AE1"/>
    <w:rsid w:val="004F5C17"/>
    <w:rsid w:val="004F5C2B"/>
    <w:rsid w:val="004F5D85"/>
    <w:rsid w:val="004F5EB7"/>
    <w:rsid w:val="004F5EE8"/>
    <w:rsid w:val="004F6065"/>
    <w:rsid w:val="004F6088"/>
    <w:rsid w:val="004F616C"/>
    <w:rsid w:val="004F6290"/>
    <w:rsid w:val="004F62A0"/>
    <w:rsid w:val="004F634D"/>
    <w:rsid w:val="004F6489"/>
    <w:rsid w:val="004F6500"/>
    <w:rsid w:val="004F655C"/>
    <w:rsid w:val="004F65E3"/>
    <w:rsid w:val="004F664E"/>
    <w:rsid w:val="004F666C"/>
    <w:rsid w:val="004F6677"/>
    <w:rsid w:val="004F66A6"/>
    <w:rsid w:val="004F6794"/>
    <w:rsid w:val="004F67B8"/>
    <w:rsid w:val="004F67D7"/>
    <w:rsid w:val="004F6804"/>
    <w:rsid w:val="004F6834"/>
    <w:rsid w:val="004F6927"/>
    <w:rsid w:val="004F6936"/>
    <w:rsid w:val="004F69AF"/>
    <w:rsid w:val="004F69C7"/>
    <w:rsid w:val="004F6A29"/>
    <w:rsid w:val="004F6AA7"/>
    <w:rsid w:val="004F6EA8"/>
    <w:rsid w:val="004F6EF0"/>
    <w:rsid w:val="004F6F90"/>
    <w:rsid w:val="004F707B"/>
    <w:rsid w:val="004F7332"/>
    <w:rsid w:val="004F74AE"/>
    <w:rsid w:val="004F7665"/>
    <w:rsid w:val="004F78EB"/>
    <w:rsid w:val="004F7B4F"/>
    <w:rsid w:val="004F7CBC"/>
    <w:rsid w:val="004F7D67"/>
    <w:rsid w:val="004F7D77"/>
    <w:rsid w:val="004F7F2C"/>
    <w:rsid w:val="004F7F8F"/>
    <w:rsid w:val="004F7FB3"/>
    <w:rsid w:val="0050010E"/>
    <w:rsid w:val="00500191"/>
    <w:rsid w:val="005001A4"/>
    <w:rsid w:val="005003A1"/>
    <w:rsid w:val="005003F9"/>
    <w:rsid w:val="00500492"/>
    <w:rsid w:val="0050049D"/>
    <w:rsid w:val="005004CC"/>
    <w:rsid w:val="00500527"/>
    <w:rsid w:val="00500545"/>
    <w:rsid w:val="00500618"/>
    <w:rsid w:val="00500636"/>
    <w:rsid w:val="005006AC"/>
    <w:rsid w:val="00500715"/>
    <w:rsid w:val="00500741"/>
    <w:rsid w:val="005007C2"/>
    <w:rsid w:val="005007E5"/>
    <w:rsid w:val="005008A2"/>
    <w:rsid w:val="005009BD"/>
    <w:rsid w:val="00500AAA"/>
    <w:rsid w:val="00500B67"/>
    <w:rsid w:val="00500B92"/>
    <w:rsid w:val="005011A2"/>
    <w:rsid w:val="005011B1"/>
    <w:rsid w:val="005012C4"/>
    <w:rsid w:val="005014D0"/>
    <w:rsid w:val="00501811"/>
    <w:rsid w:val="0050192F"/>
    <w:rsid w:val="005019C4"/>
    <w:rsid w:val="00501A5A"/>
    <w:rsid w:val="00501A80"/>
    <w:rsid w:val="00501A83"/>
    <w:rsid w:val="00501AF1"/>
    <w:rsid w:val="00501BEC"/>
    <w:rsid w:val="00501C2D"/>
    <w:rsid w:val="00501CC8"/>
    <w:rsid w:val="00501DD4"/>
    <w:rsid w:val="00501EAB"/>
    <w:rsid w:val="00501F9C"/>
    <w:rsid w:val="00501FD7"/>
    <w:rsid w:val="00502155"/>
    <w:rsid w:val="00502235"/>
    <w:rsid w:val="00502303"/>
    <w:rsid w:val="00502488"/>
    <w:rsid w:val="005024EC"/>
    <w:rsid w:val="0050250C"/>
    <w:rsid w:val="00502686"/>
    <w:rsid w:val="005026E4"/>
    <w:rsid w:val="0050277A"/>
    <w:rsid w:val="005027BD"/>
    <w:rsid w:val="00502867"/>
    <w:rsid w:val="005028B9"/>
    <w:rsid w:val="005028F8"/>
    <w:rsid w:val="00502906"/>
    <w:rsid w:val="005029CA"/>
    <w:rsid w:val="00502B17"/>
    <w:rsid w:val="00502C2D"/>
    <w:rsid w:val="00502CF6"/>
    <w:rsid w:val="00502D1E"/>
    <w:rsid w:val="00502DC3"/>
    <w:rsid w:val="0050317A"/>
    <w:rsid w:val="005031BE"/>
    <w:rsid w:val="00503247"/>
    <w:rsid w:val="0050328A"/>
    <w:rsid w:val="0050351D"/>
    <w:rsid w:val="005035A8"/>
    <w:rsid w:val="00503643"/>
    <w:rsid w:val="005037F6"/>
    <w:rsid w:val="005039AE"/>
    <w:rsid w:val="005039C6"/>
    <w:rsid w:val="005039D2"/>
    <w:rsid w:val="00503A75"/>
    <w:rsid w:val="00503AED"/>
    <w:rsid w:val="00503DC6"/>
    <w:rsid w:val="00503DD0"/>
    <w:rsid w:val="00503E18"/>
    <w:rsid w:val="00503E55"/>
    <w:rsid w:val="0050400B"/>
    <w:rsid w:val="00504081"/>
    <w:rsid w:val="00504128"/>
    <w:rsid w:val="00504663"/>
    <w:rsid w:val="005047E2"/>
    <w:rsid w:val="00504877"/>
    <w:rsid w:val="00504887"/>
    <w:rsid w:val="005049B5"/>
    <w:rsid w:val="005049EE"/>
    <w:rsid w:val="00504BC2"/>
    <w:rsid w:val="00504C31"/>
    <w:rsid w:val="00504C5B"/>
    <w:rsid w:val="00504CE9"/>
    <w:rsid w:val="00504E95"/>
    <w:rsid w:val="00504F37"/>
    <w:rsid w:val="00504FF7"/>
    <w:rsid w:val="00505231"/>
    <w:rsid w:val="00505240"/>
    <w:rsid w:val="00505432"/>
    <w:rsid w:val="0050544C"/>
    <w:rsid w:val="0050572D"/>
    <w:rsid w:val="00505891"/>
    <w:rsid w:val="00505B5F"/>
    <w:rsid w:val="00505BAB"/>
    <w:rsid w:val="00505BD7"/>
    <w:rsid w:val="00505C15"/>
    <w:rsid w:val="00505D4C"/>
    <w:rsid w:val="00505D7A"/>
    <w:rsid w:val="00505E7C"/>
    <w:rsid w:val="00505F27"/>
    <w:rsid w:val="005060C0"/>
    <w:rsid w:val="00506173"/>
    <w:rsid w:val="00506196"/>
    <w:rsid w:val="005062D9"/>
    <w:rsid w:val="005062FA"/>
    <w:rsid w:val="005064BE"/>
    <w:rsid w:val="0050674F"/>
    <w:rsid w:val="005067D5"/>
    <w:rsid w:val="005068A8"/>
    <w:rsid w:val="00506A50"/>
    <w:rsid w:val="00506C39"/>
    <w:rsid w:val="00506E5B"/>
    <w:rsid w:val="00506ECF"/>
    <w:rsid w:val="00506F5D"/>
    <w:rsid w:val="0050702F"/>
    <w:rsid w:val="005070BC"/>
    <w:rsid w:val="005070D7"/>
    <w:rsid w:val="00507111"/>
    <w:rsid w:val="005071AD"/>
    <w:rsid w:val="005071FC"/>
    <w:rsid w:val="0050733C"/>
    <w:rsid w:val="005073B8"/>
    <w:rsid w:val="00507561"/>
    <w:rsid w:val="00507671"/>
    <w:rsid w:val="005076E2"/>
    <w:rsid w:val="005076F7"/>
    <w:rsid w:val="00507725"/>
    <w:rsid w:val="00507A91"/>
    <w:rsid w:val="00507CE7"/>
    <w:rsid w:val="00507D5D"/>
    <w:rsid w:val="00507EFE"/>
    <w:rsid w:val="00507F76"/>
    <w:rsid w:val="00507FF8"/>
    <w:rsid w:val="00510114"/>
    <w:rsid w:val="0051012E"/>
    <w:rsid w:val="00510216"/>
    <w:rsid w:val="00510288"/>
    <w:rsid w:val="0051037A"/>
    <w:rsid w:val="005104D9"/>
    <w:rsid w:val="00510533"/>
    <w:rsid w:val="00510535"/>
    <w:rsid w:val="00510616"/>
    <w:rsid w:val="00510804"/>
    <w:rsid w:val="0051097C"/>
    <w:rsid w:val="00510987"/>
    <w:rsid w:val="00510B54"/>
    <w:rsid w:val="00510C37"/>
    <w:rsid w:val="00510C5D"/>
    <w:rsid w:val="00510D80"/>
    <w:rsid w:val="00510E54"/>
    <w:rsid w:val="00510F41"/>
    <w:rsid w:val="00510FBB"/>
    <w:rsid w:val="00510FED"/>
    <w:rsid w:val="00511000"/>
    <w:rsid w:val="0051101F"/>
    <w:rsid w:val="00511112"/>
    <w:rsid w:val="005113C4"/>
    <w:rsid w:val="0051158E"/>
    <w:rsid w:val="00511613"/>
    <w:rsid w:val="005116C8"/>
    <w:rsid w:val="005116E3"/>
    <w:rsid w:val="00511787"/>
    <w:rsid w:val="00511795"/>
    <w:rsid w:val="00511860"/>
    <w:rsid w:val="0051187F"/>
    <w:rsid w:val="005118CB"/>
    <w:rsid w:val="00511A0C"/>
    <w:rsid w:val="00511A14"/>
    <w:rsid w:val="00511B06"/>
    <w:rsid w:val="00511CB7"/>
    <w:rsid w:val="00511CCE"/>
    <w:rsid w:val="00511D53"/>
    <w:rsid w:val="00511DF9"/>
    <w:rsid w:val="00511EB6"/>
    <w:rsid w:val="00511FD7"/>
    <w:rsid w:val="00512160"/>
    <w:rsid w:val="0051218B"/>
    <w:rsid w:val="005125A9"/>
    <w:rsid w:val="005125D4"/>
    <w:rsid w:val="0051266D"/>
    <w:rsid w:val="005126D0"/>
    <w:rsid w:val="005127B5"/>
    <w:rsid w:val="005127E5"/>
    <w:rsid w:val="0051294F"/>
    <w:rsid w:val="0051297D"/>
    <w:rsid w:val="00512A00"/>
    <w:rsid w:val="00512AAC"/>
    <w:rsid w:val="00512AE2"/>
    <w:rsid w:val="00512C00"/>
    <w:rsid w:val="00512D76"/>
    <w:rsid w:val="00512E12"/>
    <w:rsid w:val="00512E8A"/>
    <w:rsid w:val="00512F28"/>
    <w:rsid w:val="00512F6F"/>
    <w:rsid w:val="00512F94"/>
    <w:rsid w:val="00513051"/>
    <w:rsid w:val="0051321A"/>
    <w:rsid w:val="00513232"/>
    <w:rsid w:val="0051328A"/>
    <w:rsid w:val="005132E0"/>
    <w:rsid w:val="00513402"/>
    <w:rsid w:val="0051352E"/>
    <w:rsid w:val="0051359D"/>
    <w:rsid w:val="0051382C"/>
    <w:rsid w:val="00513851"/>
    <w:rsid w:val="00513880"/>
    <w:rsid w:val="005138E9"/>
    <w:rsid w:val="005138EA"/>
    <w:rsid w:val="00513960"/>
    <w:rsid w:val="00513D0A"/>
    <w:rsid w:val="00513D67"/>
    <w:rsid w:val="00513DD4"/>
    <w:rsid w:val="00513FB6"/>
    <w:rsid w:val="00514031"/>
    <w:rsid w:val="0051406A"/>
    <w:rsid w:val="00514243"/>
    <w:rsid w:val="00514518"/>
    <w:rsid w:val="005145DB"/>
    <w:rsid w:val="00514667"/>
    <w:rsid w:val="005146BA"/>
    <w:rsid w:val="00514794"/>
    <w:rsid w:val="005147A1"/>
    <w:rsid w:val="00514936"/>
    <w:rsid w:val="0051494A"/>
    <w:rsid w:val="005149A9"/>
    <w:rsid w:val="005149CA"/>
    <w:rsid w:val="00514BED"/>
    <w:rsid w:val="00514CCC"/>
    <w:rsid w:val="00514E0D"/>
    <w:rsid w:val="00514E51"/>
    <w:rsid w:val="00514E7C"/>
    <w:rsid w:val="0051509B"/>
    <w:rsid w:val="005151A1"/>
    <w:rsid w:val="005151E4"/>
    <w:rsid w:val="0051545B"/>
    <w:rsid w:val="0051554A"/>
    <w:rsid w:val="00515598"/>
    <w:rsid w:val="0051568D"/>
    <w:rsid w:val="00515755"/>
    <w:rsid w:val="00515790"/>
    <w:rsid w:val="005159FC"/>
    <w:rsid w:val="00515A3E"/>
    <w:rsid w:val="00515B32"/>
    <w:rsid w:val="00515C49"/>
    <w:rsid w:val="00515E92"/>
    <w:rsid w:val="00515ED4"/>
    <w:rsid w:val="00515FEA"/>
    <w:rsid w:val="005160AF"/>
    <w:rsid w:val="005161CE"/>
    <w:rsid w:val="0051627A"/>
    <w:rsid w:val="00516578"/>
    <w:rsid w:val="00516624"/>
    <w:rsid w:val="0051662C"/>
    <w:rsid w:val="005166E7"/>
    <w:rsid w:val="0051670E"/>
    <w:rsid w:val="00516743"/>
    <w:rsid w:val="0051695D"/>
    <w:rsid w:val="00516A5C"/>
    <w:rsid w:val="00516A94"/>
    <w:rsid w:val="00516B40"/>
    <w:rsid w:val="00516B86"/>
    <w:rsid w:val="00516B98"/>
    <w:rsid w:val="00516BF0"/>
    <w:rsid w:val="00516C0D"/>
    <w:rsid w:val="00516D63"/>
    <w:rsid w:val="00516D88"/>
    <w:rsid w:val="00516EA9"/>
    <w:rsid w:val="00516FDA"/>
    <w:rsid w:val="0051707A"/>
    <w:rsid w:val="005170BB"/>
    <w:rsid w:val="005171FD"/>
    <w:rsid w:val="00517262"/>
    <w:rsid w:val="005172CE"/>
    <w:rsid w:val="00517321"/>
    <w:rsid w:val="00517331"/>
    <w:rsid w:val="0051734C"/>
    <w:rsid w:val="00517492"/>
    <w:rsid w:val="0051771A"/>
    <w:rsid w:val="00517795"/>
    <w:rsid w:val="005177AF"/>
    <w:rsid w:val="005177E2"/>
    <w:rsid w:val="00517847"/>
    <w:rsid w:val="005178D4"/>
    <w:rsid w:val="00517982"/>
    <w:rsid w:val="00517A02"/>
    <w:rsid w:val="00517A7D"/>
    <w:rsid w:val="00517A84"/>
    <w:rsid w:val="00517BE3"/>
    <w:rsid w:val="00517C78"/>
    <w:rsid w:val="00517D64"/>
    <w:rsid w:val="00517D6D"/>
    <w:rsid w:val="00517E6D"/>
    <w:rsid w:val="00517EAB"/>
    <w:rsid w:val="00517F5C"/>
    <w:rsid w:val="005200B7"/>
    <w:rsid w:val="00520231"/>
    <w:rsid w:val="005203BC"/>
    <w:rsid w:val="00520498"/>
    <w:rsid w:val="005205E8"/>
    <w:rsid w:val="00520882"/>
    <w:rsid w:val="005209B9"/>
    <w:rsid w:val="00520B29"/>
    <w:rsid w:val="00520DFD"/>
    <w:rsid w:val="00520E9E"/>
    <w:rsid w:val="00520EFD"/>
    <w:rsid w:val="00521039"/>
    <w:rsid w:val="005210D4"/>
    <w:rsid w:val="00521172"/>
    <w:rsid w:val="005211B4"/>
    <w:rsid w:val="00521238"/>
    <w:rsid w:val="00521429"/>
    <w:rsid w:val="00521432"/>
    <w:rsid w:val="00521453"/>
    <w:rsid w:val="005214AE"/>
    <w:rsid w:val="00521510"/>
    <w:rsid w:val="00521546"/>
    <w:rsid w:val="005215D3"/>
    <w:rsid w:val="00521603"/>
    <w:rsid w:val="005217F2"/>
    <w:rsid w:val="00521930"/>
    <w:rsid w:val="00521A0D"/>
    <w:rsid w:val="00521A3B"/>
    <w:rsid w:val="00521C81"/>
    <w:rsid w:val="00521D66"/>
    <w:rsid w:val="00521D85"/>
    <w:rsid w:val="00522082"/>
    <w:rsid w:val="005220C4"/>
    <w:rsid w:val="005220CF"/>
    <w:rsid w:val="005220DA"/>
    <w:rsid w:val="0052216B"/>
    <w:rsid w:val="005221BA"/>
    <w:rsid w:val="005221DE"/>
    <w:rsid w:val="00522210"/>
    <w:rsid w:val="00522227"/>
    <w:rsid w:val="00522267"/>
    <w:rsid w:val="0052227A"/>
    <w:rsid w:val="00522344"/>
    <w:rsid w:val="005223BA"/>
    <w:rsid w:val="0052240C"/>
    <w:rsid w:val="0052242B"/>
    <w:rsid w:val="0052255A"/>
    <w:rsid w:val="00522630"/>
    <w:rsid w:val="005229CD"/>
    <w:rsid w:val="00522A45"/>
    <w:rsid w:val="00522B7C"/>
    <w:rsid w:val="00522BF7"/>
    <w:rsid w:val="00522C56"/>
    <w:rsid w:val="00522DA4"/>
    <w:rsid w:val="00522E9D"/>
    <w:rsid w:val="005230B7"/>
    <w:rsid w:val="00523453"/>
    <w:rsid w:val="005234F2"/>
    <w:rsid w:val="00523607"/>
    <w:rsid w:val="005237B0"/>
    <w:rsid w:val="00523926"/>
    <w:rsid w:val="00523AC1"/>
    <w:rsid w:val="00523BD3"/>
    <w:rsid w:val="00523BFF"/>
    <w:rsid w:val="00523C6A"/>
    <w:rsid w:val="00523E50"/>
    <w:rsid w:val="00523EF3"/>
    <w:rsid w:val="00523FCF"/>
    <w:rsid w:val="00524049"/>
    <w:rsid w:val="005241BD"/>
    <w:rsid w:val="00524307"/>
    <w:rsid w:val="005243D4"/>
    <w:rsid w:val="00524609"/>
    <w:rsid w:val="005247D1"/>
    <w:rsid w:val="005247D3"/>
    <w:rsid w:val="00524905"/>
    <w:rsid w:val="00524A20"/>
    <w:rsid w:val="00524A93"/>
    <w:rsid w:val="00524ADD"/>
    <w:rsid w:val="00524B29"/>
    <w:rsid w:val="00524BC6"/>
    <w:rsid w:val="00524BEC"/>
    <w:rsid w:val="00524CC6"/>
    <w:rsid w:val="00524CC8"/>
    <w:rsid w:val="00524CFD"/>
    <w:rsid w:val="00524D7B"/>
    <w:rsid w:val="00524DFB"/>
    <w:rsid w:val="00524E1C"/>
    <w:rsid w:val="00524EE2"/>
    <w:rsid w:val="00524F1A"/>
    <w:rsid w:val="00524FAF"/>
    <w:rsid w:val="005250B6"/>
    <w:rsid w:val="0052515C"/>
    <w:rsid w:val="0052516F"/>
    <w:rsid w:val="0052530F"/>
    <w:rsid w:val="005254A0"/>
    <w:rsid w:val="005254C4"/>
    <w:rsid w:val="00525625"/>
    <w:rsid w:val="0052574E"/>
    <w:rsid w:val="00525908"/>
    <w:rsid w:val="00525936"/>
    <w:rsid w:val="00525947"/>
    <w:rsid w:val="0052599F"/>
    <w:rsid w:val="005259CC"/>
    <w:rsid w:val="005259D7"/>
    <w:rsid w:val="00525A82"/>
    <w:rsid w:val="00525AC9"/>
    <w:rsid w:val="00525B4F"/>
    <w:rsid w:val="00525BD3"/>
    <w:rsid w:val="00525C98"/>
    <w:rsid w:val="00525C9E"/>
    <w:rsid w:val="00525CD0"/>
    <w:rsid w:val="00525CE4"/>
    <w:rsid w:val="00525CFA"/>
    <w:rsid w:val="00525D95"/>
    <w:rsid w:val="00525DC9"/>
    <w:rsid w:val="00525E36"/>
    <w:rsid w:val="00525F32"/>
    <w:rsid w:val="00525F91"/>
    <w:rsid w:val="00525FE8"/>
    <w:rsid w:val="005260AE"/>
    <w:rsid w:val="005260D3"/>
    <w:rsid w:val="00526173"/>
    <w:rsid w:val="005261AD"/>
    <w:rsid w:val="00526256"/>
    <w:rsid w:val="0052633C"/>
    <w:rsid w:val="0052636E"/>
    <w:rsid w:val="00526458"/>
    <w:rsid w:val="00526680"/>
    <w:rsid w:val="005266C1"/>
    <w:rsid w:val="0052671A"/>
    <w:rsid w:val="0052673D"/>
    <w:rsid w:val="0052679E"/>
    <w:rsid w:val="005267C2"/>
    <w:rsid w:val="005267FB"/>
    <w:rsid w:val="00526840"/>
    <w:rsid w:val="0052688D"/>
    <w:rsid w:val="00526956"/>
    <w:rsid w:val="00526A58"/>
    <w:rsid w:val="00526AC7"/>
    <w:rsid w:val="00526C15"/>
    <w:rsid w:val="00526C99"/>
    <w:rsid w:val="00526D6E"/>
    <w:rsid w:val="00526F11"/>
    <w:rsid w:val="005271C1"/>
    <w:rsid w:val="00527566"/>
    <w:rsid w:val="0052756A"/>
    <w:rsid w:val="005275C8"/>
    <w:rsid w:val="0052763C"/>
    <w:rsid w:val="0052782B"/>
    <w:rsid w:val="0052782C"/>
    <w:rsid w:val="005278C4"/>
    <w:rsid w:val="00527B7F"/>
    <w:rsid w:val="00527C07"/>
    <w:rsid w:val="00527C92"/>
    <w:rsid w:val="00527F95"/>
    <w:rsid w:val="00530086"/>
    <w:rsid w:val="005300D7"/>
    <w:rsid w:val="0053013C"/>
    <w:rsid w:val="00530143"/>
    <w:rsid w:val="00530278"/>
    <w:rsid w:val="005302BA"/>
    <w:rsid w:val="0053031F"/>
    <w:rsid w:val="005303D3"/>
    <w:rsid w:val="005304C1"/>
    <w:rsid w:val="00530505"/>
    <w:rsid w:val="0053054F"/>
    <w:rsid w:val="0053055B"/>
    <w:rsid w:val="005305B4"/>
    <w:rsid w:val="005306E7"/>
    <w:rsid w:val="005307E7"/>
    <w:rsid w:val="0053080E"/>
    <w:rsid w:val="005308DF"/>
    <w:rsid w:val="00530932"/>
    <w:rsid w:val="00530A66"/>
    <w:rsid w:val="00530C2B"/>
    <w:rsid w:val="00530D15"/>
    <w:rsid w:val="00530F65"/>
    <w:rsid w:val="0053101A"/>
    <w:rsid w:val="0053110D"/>
    <w:rsid w:val="0053113F"/>
    <w:rsid w:val="0053120E"/>
    <w:rsid w:val="00531349"/>
    <w:rsid w:val="00531385"/>
    <w:rsid w:val="00531429"/>
    <w:rsid w:val="00531450"/>
    <w:rsid w:val="00531461"/>
    <w:rsid w:val="00531513"/>
    <w:rsid w:val="005316DF"/>
    <w:rsid w:val="005316EE"/>
    <w:rsid w:val="005316F2"/>
    <w:rsid w:val="00531724"/>
    <w:rsid w:val="0053179A"/>
    <w:rsid w:val="005318D7"/>
    <w:rsid w:val="00531B52"/>
    <w:rsid w:val="00531B84"/>
    <w:rsid w:val="00531CF0"/>
    <w:rsid w:val="00531D36"/>
    <w:rsid w:val="00531DA7"/>
    <w:rsid w:val="00531DF1"/>
    <w:rsid w:val="00531FF7"/>
    <w:rsid w:val="005323D0"/>
    <w:rsid w:val="005324AA"/>
    <w:rsid w:val="005324AE"/>
    <w:rsid w:val="005324DB"/>
    <w:rsid w:val="0053250C"/>
    <w:rsid w:val="00532545"/>
    <w:rsid w:val="005325E0"/>
    <w:rsid w:val="005326AF"/>
    <w:rsid w:val="00532723"/>
    <w:rsid w:val="005327A6"/>
    <w:rsid w:val="0053281E"/>
    <w:rsid w:val="00532834"/>
    <w:rsid w:val="00532848"/>
    <w:rsid w:val="005328E4"/>
    <w:rsid w:val="00532A6B"/>
    <w:rsid w:val="00532AFF"/>
    <w:rsid w:val="00532C64"/>
    <w:rsid w:val="00532CA4"/>
    <w:rsid w:val="00532CE7"/>
    <w:rsid w:val="00532D9C"/>
    <w:rsid w:val="00532E76"/>
    <w:rsid w:val="005330B3"/>
    <w:rsid w:val="005330D3"/>
    <w:rsid w:val="00533116"/>
    <w:rsid w:val="0053320B"/>
    <w:rsid w:val="005332D8"/>
    <w:rsid w:val="0053330F"/>
    <w:rsid w:val="00533478"/>
    <w:rsid w:val="005334AD"/>
    <w:rsid w:val="00533709"/>
    <w:rsid w:val="0053371F"/>
    <w:rsid w:val="0053375B"/>
    <w:rsid w:val="0053386D"/>
    <w:rsid w:val="0053395F"/>
    <w:rsid w:val="00533A4B"/>
    <w:rsid w:val="00533AD5"/>
    <w:rsid w:val="00533B2A"/>
    <w:rsid w:val="00533B93"/>
    <w:rsid w:val="00533C37"/>
    <w:rsid w:val="00533CBE"/>
    <w:rsid w:val="00533D0D"/>
    <w:rsid w:val="00533DA1"/>
    <w:rsid w:val="00533E5A"/>
    <w:rsid w:val="00533F8B"/>
    <w:rsid w:val="0053403A"/>
    <w:rsid w:val="00534547"/>
    <w:rsid w:val="00534674"/>
    <w:rsid w:val="005348B1"/>
    <w:rsid w:val="0053491B"/>
    <w:rsid w:val="00534975"/>
    <w:rsid w:val="00534A3F"/>
    <w:rsid w:val="00534B98"/>
    <w:rsid w:val="00534E0C"/>
    <w:rsid w:val="00534ED3"/>
    <w:rsid w:val="00534F9A"/>
    <w:rsid w:val="00534FD5"/>
    <w:rsid w:val="00534FDA"/>
    <w:rsid w:val="00534FE8"/>
    <w:rsid w:val="00534FF7"/>
    <w:rsid w:val="005350E6"/>
    <w:rsid w:val="00535107"/>
    <w:rsid w:val="005351DE"/>
    <w:rsid w:val="00535248"/>
    <w:rsid w:val="005353D8"/>
    <w:rsid w:val="005353F1"/>
    <w:rsid w:val="00535554"/>
    <w:rsid w:val="005355E1"/>
    <w:rsid w:val="0053562F"/>
    <w:rsid w:val="0053580D"/>
    <w:rsid w:val="00535947"/>
    <w:rsid w:val="0053598E"/>
    <w:rsid w:val="00535AFB"/>
    <w:rsid w:val="00535B4D"/>
    <w:rsid w:val="00535C9E"/>
    <w:rsid w:val="00535CBF"/>
    <w:rsid w:val="00535E48"/>
    <w:rsid w:val="00535EF0"/>
    <w:rsid w:val="00536151"/>
    <w:rsid w:val="00536202"/>
    <w:rsid w:val="005362A2"/>
    <w:rsid w:val="00536311"/>
    <w:rsid w:val="00536388"/>
    <w:rsid w:val="00536499"/>
    <w:rsid w:val="005365A1"/>
    <w:rsid w:val="00536643"/>
    <w:rsid w:val="0053670A"/>
    <w:rsid w:val="005368B7"/>
    <w:rsid w:val="005368F5"/>
    <w:rsid w:val="00536988"/>
    <w:rsid w:val="00536AE9"/>
    <w:rsid w:val="00536B98"/>
    <w:rsid w:val="00536E12"/>
    <w:rsid w:val="005372D6"/>
    <w:rsid w:val="005374AC"/>
    <w:rsid w:val="005374B8"/>
    <w:rsid w:val="005374E5"/>
    <w:rsid w:val="00537542"/>
    <w:rsid w:val="00537642"/>
    <w:rsid w:val="00537726"/>
    <w:rsid w:val="00537730"/>
    <w:rsid w:val="005377D3"/>
    <w:rsid w:val="00537890"/>
    <w:rsid w:val="005378B4"/>
    <w:rsid w:val="005378C1"/>
    <w:rsid w:val="005378EC"/>
    <w:rsid w:val="005379A7"/>
    <w:rsid w:val="00537B34"/>
    <w:rsid w:val="00537B3D"/>
    <w:rsid w:val="00537B3F"/>
    <w:rsid w:val="00537C22"/>
    <w:rsid w:val="00537C4E"/>
    <w:rsid w:val="00537DE8"/>
    <w:rsid w:val="00537E4E"/>
    <w:rsid w:val="00537E52"/>
    <w:rsid w:val="00537E83"/>
    <w:rsid w:val="00537F5D"/>
    <w:rsid w:val="00540024"/>
    <w:rsid w:val="00540049"/>
    <w:rsid w:val="005400C0"/>
    <w:rsid w:val="005401E2"/>
    <w:rsid w:val="005401F2"/>
    <w:rsid w:val="0054020D"/>
    <w:rsid w:val="0054048E"/>
    <w:rsid w:val="005406A4"/>
    <w:rsid w:val="0054091D"/>
    <w:rsid w:val="00540954"/>
    <w:rsid w:val="00540A01"/>
    <w:rsid w:val="00540A39"/>
    <w:rsid w:val="00540BCC"/>
    <w:rsid w:val="00540DD7"/>
    <w:rsid w:val="00540FFB"/>
    <w:rsid w:val="005411FA"/>
    <w:rsid w:val="005412BA"/>
    <w:rsid w:val="005414CE"/>
    <w:rsid w:val="005414E7"/>
    <w:rsid w:val="00541595"/>
    <w:rsid w:val="00541698"/>
    <w:rsid w:val="005416F4"/>
    <w:rsid w:val="00541850"/>
    <w:rsid w:val="00541940"/>
    <w:rsid w:val="005419A5"/>
    <w:rsid w:val="00541A27"/>
    <w:rsid w:val="00541AB2"/>
    <w:rsid w:val="00541ABA"/>
    <w:rsid w:val="00541AEB"/>
    <w:rsid w:val="00541B7A"/>
    <w:rsid w:val="00541C27"/>
    <w:rsid w:val="00541D6D"/>
    <w:rsid w:val="00541D7A"/>
    <w:rsid w:val="00541DEE"/>
    <w:rsid w:val="00541EA9"/>
    <w:rsid w:val="00541F75"/>
    <w:rsid w:val="005420D8"/>
    <w:rsid w:val="005420F5"/>
    <w:rsid w:val="005423F6"/>
    <w:rsid w:val="0054240A"/>
    <w:rsid w:val="00542461"/>
    <w:rsid w:val="0054257A"/>
    <w:rsid w:val="005425A7"/>
    <w:rsid w:val="005425CD"/>
    <w:rsid w:val="00542690"/>
    <w:rsid w:val="00542697"/>
    <w:rsid w:val="005428E2"/>
    <w:rsid w:val="0054295A"/>
    <w:rsid w:val="005429A3"/>
    <w:rsid w:val="005429EE"/>
    <w:rsid w:val="00542A03"/>
    <w:rsid w:val="00542A47"/>
    <w:rsid w:val="00542AB5"/>
    <w:rsid w:val="00542AC9"/>
    <w:rsid w:val="00542B95"/>
    <w:rsid w:val="00542D2C"/>
    <w:rsid w:val="00542D72"/>
    <w:rsid w:val="00542DC5"/>
    <w:rsid w:val="00542E15"/>
    <w:rsid w:val="0054307A"/>
    <w:rsid w:val="00543347"/>
    <w:rsid w:val="00543423"/>
    <w:rsid w:val="00543710"/>
    <w:rsid w:val="00543763"/>
    <w:rsid w:val="00543796"/>
    <w:rsid w:val="00543903"/>
    <w:rsid w:val="00543AEF"/>
    <w:rsid w:val="00543BCC"/>
    <w:rsid w:val="00543DF6"/>
    <w:rsid w:val="00543E69"/>
    <w:rsid w:val="00543EB3"/>
    <w:rsid w:val="00543F11"/>
    <w:rsid w:val="00543FC3"/>
    <w:rsid w:val="005441C3"/>
    <w:rsid w:val="005441DF"/>
    <w:rsid w:val="00544345"/>
    <w:rsid w:val="005444D1"/>
    <w:rsid w:val="00544573"/>
    <w:rsid w:val="0054468C"/>
    <w:rsid w:val="00544732"/>
    <w:rsid w:val="005447CA"/>
    <w:rsid w:val="0054495A"/>
    <w:rsid w:val="00544B19"/>
    <w:rsid w:val="00544B39"/>
    <w:rsid w:val="00544B66"/>
    <w:rsid w:val="00544B7C"/>
    <w:rsid w:val="00544BC4"/>
    <w:rsid w:val="00544DA9"/>
    <w:rsid w:val="00544F10"/>
    <w:rsid w:val="00544F60"/>
    <w:rsid w:val="00544F7E"/>
    <w:rsid w:val="00544F81"/>
    <w:rsid w:val="00544F9C"/>
    <w:rsid w:val="0054504D"/>
    <w:rsid w:val="005451D9"/>
    <w:rsid w:val="00545210"/>
    <w:rsid w:val="005452E1"/>
    <w:rsid w:val="005453D0"/>
    <w:rsid w:val="00545470"/>
    <w:rsid w:val="00545500"/>
    <w:rsid w:val="00545638"/>
    <w:rsid w:val="005456B8"/>
    <w:rsid w:val="00545744"/>
    <w:rsid w:val="00545762"/>
    <w:rsid w:val="005458F4"/>
    <w:rsid w:val="005459A4"/>
    <w:rsid w:val="00545A5F"/>
    <w:rsid w:val="00545AD2"/>
    <w:rsid w:val="00545B0C"/>
    <w:rsid w:val="00545BF3"/>
    <w:rsid w:val="00545CE4"/>
    <w:rsid w:val="00545D2E"/>
    <w:rsid w:val="00545DA8"/>
    <w:rsid w:val="00545DE0"/>
    <w:rsid w:val="00545E9E"/>
    <w:rsid w:val="00546048"/>
    <w:rsid w:val="005460EC"/>
    <w:rsid w:val="00546114"/>
    <w:rsid w:val="005462D0"/>
    <w:rsid w:val="00546305"/>
    <w:rsid w:val="00546473"/>
    <w:rsid w:val="005464AE"/>
    <w:rsid w:val="005465B0"/>
    <w:rsid w:val="005465C5"/>
    <w:rsid w:val="005466F7"/>
    <w:rsid w:val="00546784"/>
    <w:rsid w:val="00546920"/>
    <w:rsid w:val="005469A4"/>
    <w:rsid w:val="00546CC9"/>
    <w:rsid w:val="00546D30"/>
    <w:rsid w:val="00546D65"/>
    <w:rsid w:val="00546DD3"/>
    <w:rsid w:val="00546ED0"/>
    <w:rsid w:val="00546F1E"/>
    <w:rsid w:val="005471ED"/>
    <w:rsid w:val="005473B8"/>
    <w:rsid w:val="005475B8"/>
    <w:rsid w:val="005475F4"/>
    <w:rsid w:val="0054775C"/>
    <w:rsid w:val="005478A5"/>
    <w:rsid w:val="005478B8"/>
    <w:rsid w:val="005478CD"/>
    <w:rsid w:val="0054790F"/>
    <w:rsid w:val="005479E6"/>
    <w:rsid w:val="00547A02"/>
    <w:rsid w:val="00547A19"/>
    <w:rsid w:val="00547A37"/>
    <w:rsid w:val="00547A95"/>
    <w:rsid w:val="00547AC0"/>
    <w:rsid w:val="00547B1E"/>
    <w:rsid w:val="00547D42"/>
    <w:rsid w:val="00547E8E"/>
    <w:rsid w:val="00547F32"/>
    <w:rsid w:val="0055002C"/>
    <w:rsid w:val="0055003A"/>
    <w:rsid w:val="005503C4"/>
    <w:rsid w:val="00550584"/>
    <w:rsid w:val="0055065E"/>
    <w:rsid w:val="005506F3"/>
    <w:rsid w:val="005509C8"/>
    <w:rsid w:val="005509F3"/>
    <w:rsid w:val="00550B54"/>
    <w:rsid w:val="00550BB3"/>
    <w:rsid w:val="00550BE3"/>
    <w:rsid w:val="00550D99"/>
    <w:rsid w:val="00550ECC"/>
    <w:rsid w:val="00550EFB"/>
    <w:rsid w:val="0055119B"/>
    <w:rsid w:val="00551263"/>
    <w:rsid w:val="00551298"/>
    <w:rsid w:val="005512B5"/>
    <w:rsid w:val="00551413"/>
    <w:rsid w:val="0055163D"/>
    <w:rsid w:val="005516A8"/>
    <w:rsid w:val="00551706"/>
    <w:rsid w:val="00551808"/>
    <w:rsid w:val="00551881"/>
    <w:rsid w:val="00551927"/>
    <w:rsid w:val="00551C09"/>
    <w:rsid w:val="00551CC5"/>
    <w:rsid w:val="00551CD9"/>
    <w:rsid w:val="00551DA6"/>
    <w:rsid w:val="00551EF9"/>
    <w:rsid w:val="0055201D"/>
    <w:rsid w:val="00552094"/>
    <w:rsid w:val="005521FE"/>
    <w:rsid w:val="00552237"/>
    <w:rsid w:val="00552250"/>
    <w:rsid w:val="00552302"/>
    <w:rsid w:val="00552401"/>
    <w:rsid w:val="00552683"/>
    <w:rsid w:val="005526F7"/>
    <w:rsid w:val="0055279F"/>
    <w:rsid w:val="005528CE"/>
    <w:rsid w:val="005529A2"/>
    <w:rsid w:val="00552BB4"/>
    <w:rsid w:val="00552C2D"/>
    <w:rsid w:val="00552CBC"/>
    <w:rsid w:val="00552CC3"/>
    <w:rsid w:val="00552DDA"/>
    <w:rsid w:val="00552F6E"/>
    <w:rsid w:val="00552FDC"/>
    <w:rsid w:val="005530F6"/>
    <w:rsid w:val="00553231"/>
    <w:rsid w:val="0055337B"/>
    <w:rsid w:val="00553430"/>
    <w:rsid w:val="00553465"/>
    <w:rsid w:val="0055346C"/>
    <w:rsid w:val="00553658"/>
    <w:rsid w:val="0055365E"/>
    <w:rsid w:val="0055373E"/>
    <w:rsid w:val="0055378C"/>
    <w:rsid w:val="0055378D"/>
    <w:rsid w:val="00553B2E"/>
    <w:rsid w:val="00553B67"/>
    <w:rsid w:val="00553C15"/>
    <w:rsid w:val="00553D55"/>
    <w:rsid w:val="00553DBF"/>
    <w:rsid w:val="00553DF9"/>
    <w:rsid w:val="00553E31"/>
    <w:rsid w:val="00553EDA"/>
    <w:rsid w:val="00553F84"/>
    <w:rsid w:val="00553FB5"/>
    <w:rsid w:val="005541A8"/>
    <w:rsid w:val="0055479A"/>
    <w:rsid w:val="005547D4"/>
    <w:rsid w:val="0055480C"/>
    <w:rsid w:val="00554991"/>
    <w:rsid w:val="00554B29"/>
    <w:rsid w:val="00554B8F"/>
    <w:rsid w:val="00554BB5"/>
    <w:rsid w:val="00554C0E"/>
    <w:rsid w:val="00554D20"/>
    <w:rsid w:val="00554E38"/>
    <w:rsid w:val="00554F4B"/>
    <w:rsid w:val="00554FBD"/>
    <w:rsid w:val="005551DE"/>
    <w:rsid w:val="005551E0"/>
    <w:rsid w:val="00555305"/>
    <w:rsid w:val="00555346"/>
    <w:rsid w:val="00555358"/>
    <w:rsid w:val="0055539C"/>
    <w:rsid w:val="005553BA"/>
    <w:rsid w:val="005553ED"/>
    <w:rsid w:val="005554BE"/>
    <w:rsid w:val="00555881"/>
    <w:rsid w:val="00555BBF"/>
    <w:rsid w:val="00555D76"/>
    <w:rsid w:val="00555DA8"/>
    <w:rsid w:val="00555EB3"/>
    <w:rsid w:val="00555F36"/>
    <w:rsid w:val="00555F3B"/>
    <w:rsid w:val="005561A3"/>
    <w:rsid w:val="00556354"/>
    <w:rsid w:val="00556372"/>
    <w:rsid w:val="00556399"/>
    <w:rsid w:val="005563CF"/>
    <w:rsid w:val="00556474"/>
    <w:rsid w:val="00556497"/>
    <w:rsid w:val="005565B9"/>
    <w:rsid w:val="005565BB"/>
    <w:rsid w:val="005566DE"/>
    <w:rsid w:val="00556745"/>
    <w:rsid w:val="0055683A"/>
    <w:rsid w:val="005568A2"/>
    <w:rsid w:val="00556B50"/>
    <w:rsid w:val="00556B81"/>
    <w:rsid w:val="00556BDB"/>
    <w:rsid w:val="00556D80"/>
    <w:rsid w:val="00556E85"/>
    <w:rsid w:val="00556EFF"/>
    <w:rsid w:val="00556FD3"/>
    <w:rsid w:val="00557054"/>
    <w:rsid w:val="005571B1"/>
    <w:rsid w:val="0055733D"/>
    <w:rsid w:val="005574C5"/>
    <w:rsid w:val="005575D0"/>
    <w:rsid w:val="005575FE"/>
    <w:rsid w:val="00557697"/>
    <w:rsid w:val="0055769E"/>
    <w:rsid w:val="00557823"/>
    <w:rsid w:val="00557853"/>
    <w:rsid w:val="0055788D"/>
    <w:rsid w:val="00557911"/>
    <w:rsid w:val="0055793B"/>
    <w:rsid w:val="0055795D"/>
    <w:rsid w:val="00557AE4"/>
    <w:rsid w:val="00557C3D"/>
    <w:rsid w:val="00557CE8"/>
    <w:rsid w:val="00557D8D"/>
    <w:rsid w:val="00557E38"/>
    <w:rsid w:val="00557EAB"/>
    <w:rsid w:val="00557ECB"/>
    <w:rsid w:val="005600EC"/>
    <w:rsid w:val="005604A9"/>
    <w:rsid w:val="005608CC"/>
    <w:rsid w:val="005608D1"/>
    <w:rsid w:val="005608DD"/>
    <w:rsid w:val="005609C0"/>
    <w:rsid w:val="00560A85"/>
    <w:rsid w:val="00560B56"/>
    <w:rsid w:val="00560E75"/>
    <w:rsid w:val="00560F1E"/>
    <w:rsid w:val="00560F2E"/>
    <w:rsid w:val="00560F55"/>
    <w:rsid w:val="00560F99"/>
    <w:rsid w:val="00560FDC"/>
    <w:rsid w:val="00561202"/>
    <w:rsid w:val="0056146C"/>
    <w:rsid w:val="00561626"/>
    <w:rsid w:val="005616A9"/>
    <w:rsid w:val="005616C3"/>
    <w:rsid w:val="0056193D"/>
    <w:rsid w:val="00561AD1"/>
    <w:rsid w:val="00561ADE"/>
    <w:rsid w:val="00561C5C"/>
    <w:rsid w:val="00561D7F"/>
    <w:rsid w:val="00561F4E"/>
    <w:rsid w:val="00561F63"/>
    <w:rsid w:val="00561FC0"/>
    <w:rsid w:val="00561FE0"/>
    <w:rsid w:val="00562205"/>
    <w:rsid w:val="0056247F"/>
    <w:rsid w:val="00562507"/>
    <w:rsid w:val="005626DA"/>
    <w:rsid w:val="00562811"/>
    <w:rsid w:val="00562813"/>
    <w:rsid w:val="005628BF"/>
    <w:rsid w:val="00562921"/>
    <w:rsid w:val="00562960"/>
    <w:rsid w:val="00562B3B"/>
    <w:rsid w:val="00562BD6"/>
    <w:rsid w:val="00562C3A"/>
    <w:rsid w:val="00562E2F"/>
    <w:rsid w:val="00562EA7"/>
    <w:rsid w:val="00563241"/>
    <w:rsid w:val="00563279"/>
    <w:rsid w:val="00563330"/>
    <w:rsid w:val="00563462"/>
    <w:rsid w:val="00563478"/>
    <w:rsid w:val="00563508"/>
    <w:rsid w:val="0056355C"/>
    <w:rsid w:val="0056357E"/>
    <w:rsid w:val="005635E1"/>
    <w:rsid w:val="00563608"/>
    <w:rsid w:val="00563751"/>
    <w:rsid w:val="00563941"/>
    <w:rsid w:val="00563952"/>
    <w:rsid w:val="00563A65"/>
    <w:rsid w:val="00563C64"/>
    <w:rsid w:val="00563CB7"/>
    <w:rsid w:val="00563D3E"/>
    <w:rsid w:val="00563E5A"/>
    <w:rsid w:val="00563F73"/>
    <w:rsid w:val="00564381"/>
    <w:rsid w:val="005643D9"/>
    <w:rsid w:val="005645E7"/>
    <w:rsid w:val="00564628"/>
    <w:rsid w:val="005646D3"/>
    <w:rsid w:val="00564967"/>
    <w:rsid w:val="00564968"/>
    <w:rsid w:val="005649DF"/>
    <w:rsid w:val="00564CD9"/>
    <w:rsid w:val="00564ED0"/>
    <w:rsid w:val="00564FDF"/>
    <w:rsid w:val="00565169"/>
    <w:rsid w:val="00565314"/>
    <w:rsid w:val="00565341"/>
    <w:rsid w:val="00565559"/>
    <w:rsid w:val="005656B6"/>
    <w:rsid w:val="005659D6"/>
    <w:rsid w:val="00565A4D"/>
    <w:rsid w:val="00565A87"/>
    <w:rsid w:val="00565C4E"/>
    <w:rsid w:val="00565C61"/>
    <w:rsid w:val="00565D99"/>
    <w:rsid w:val="00565DAA"/>
    <w:rsid w:val="00565DDD"/>
    <w:rsid w:val="00565E70"/>
    <w:rsid w:val="00565EAC"/>
    <w:rsid w:val="00565F01"/>
    <w:rsid w:val="00565F64"/>
    <w:rsid w:val="00565FFF"/>
    <w:rsid w:val="00566047"/>
    <w:rsid w:val="00566063"/>
    <w:rsid w:val="0056606C"/>
    <w:rsid w:val="005660AF"/>
    <w:rsid w:val="005660C2"/>
    <w:rsid w:val="0056620C"/>
    <w:rsid w:val="005662D5"/>
    <w:rsid w:val="0056634F"/>
    <w:rsid w:val="005665A9"/>
    <w:rsid w:val="00566637"/>
    <w:rsid w:val="005666E6"/>
    <w:rsid w:val="005668B4"/>
    <w:rsid w:val="005669B8"/>
    <w:rsid w:val="00566A7F"/>
    <w:rsid w:val="00566A90"/>
    <w:rsid w:val="00566B80"/>
    <w:rsid w:val="00566BF7"/>
    <w:rsid w:val="00566C93"/>
    <w:rsid w:val="00566DC8"/>
    <w:rsid w:val="00566E9F"/>
    <w:rsid w:val="00566F0E"/>
    <w:rsid w:val="00566F48"/>
    <w:rsid w:val="00566F8A"/>
    <w:rsid w:val="00566FD4"/>
    <w:rsid w:val="0056705F"/>
    <w:rsid w:val="005672C5"/>
    <w:rsid w:val="00567319"/>
    <w:rsid w:val="00567321"/>
    <w:rsid w:val="005673BD"/>
    <w:rsid w:val="005674AD"/>
    <w:rsid w:val="00567523"/>
    <w:rsid w:val="005675B4"/>
    <w:rsid w:val="0056762E"/>
    <w:rsid w:val="00567688"/>
    <w:rsid w:val="005676EA"/>
    <w:rsid w:val="00567795"/>
    <w:rsid w:val="005677AE"/>
    <w:rsid w:val="00567AD9"/>
    <w:rsid w:val="00567BA5"/>
    <w:rsid w:val="00567BCA"/>
    <w:rsid w:val="00567C94"/>
    <w:rsid w:val="00567D0F"/>
    <w:rsid w:val="0056BDF1"/>
    <w:rsid w:val="005700E6"/>
    <w:rsid w:val="0057017C"/>
    <w:rsid w:val="005702E9"/>
    <w:rsid w:val="005702F7"/>
    <w:rsid w:val="00570317"/>
    <w:rsid w:val="0057034C"/>
    <w:rsid w:val="005704C3"/>
    <w:rsid w:val="00570525"/>
    <w:rsid w:val="0057052E"/>
    <w:rsid w:val="0057058E"/>
    <w:rsid w:val="00570752"/>
    <w:rsid w:val="005709F8"/>
    <w:rsid w:val="00570AF4"/>
    <w:rsid w:val="00570BF3"/>
    <w:rsid w:val="00570C7A"/>
    <w:rsid w:val="00570F10"/>
    <w:rsid w:val="00570F4F"/>
    <w:rsid w:val="005711D7"/>
    <w:rsid w:val="005712B5"/>
    <w:rsid w:val="005713D1"/>
    <w:rsid w:val="0057146F"/>
    <w:rsid w:val="005714CB"/>
    <w:rsid w:val="00571795"/>
    <w:rsid w:val="005717D5"/>
    <w:rsid w:val="00571812"/>
    <w:rsid w:val="0057182C"/>
    <w:rsid w:val="00571870"/>
    <w:rsid w:val="005719A4"/>
    <w:rsid w:val="00571A74"/>
    <w:rsid w:val="00571CF8"/>
    <w:rsid w:val="00571D95"/>
    <w:rsid w:val="00571E1D"/>
    <w:rsid w:val="00571EB9"/>
    <w:rsid w:val="00571F1F"/>
    <w:rsid w:val="00572031"/>
    <w:rsid w:val="00572044"/>
    <w:rsid w:val="0057215D"/>
    <w:rsid w:val="005721FA"/>
    <w:rsid w:val="00572282"/>
    <w:rsid w:val="005724B2"/>
    <w:rsid w:val="005725B1"/>
    <w:rsid w:val="00572676"/>
    <w:rsid w:val="005727D2"/>
    <w:rsid w:val="0057280D"/>
    <w:rsid w:val="00572826"/>
    <w:rsid w:val="00572840"/>
    <w:rsid w:val="005729A0"/>
    <w:rsid w:val="005729E6"/>
    <w:rsid w:val="00572A02"/>
    <w:rsid w:val="00572C48"/>
    <w:rsid w:val="00572D37"/>
    <w:rsid w:val="00572E34"/>
    <w:rsid w:val="00572E86"/>
    <w:rsid w:val="00572EA5"/>
    <w:rsid w:val="00572EB9"/>
    <w:rsid w:val="00572FB4"/>
    <w:rsid w:val="00573040"/>
    <w:rsid w:val="005731CD"/>
    <w:rsid w:val="00573314"/>
    <w:rsid w:val="005733C7"/>
    <w:rsid w:val="00573415"/>
    <w:rsid w:val="0057346F"/>
    <w:rsid w:val="005734FB"/>
    <w:rsid w:val="005736B5"/>
    <w:rsid w:val="005736BF"/>
    <w:rsid w:val="005738FB"/>
    <w:rsid w:val="005739E3"/>
    <w:rsid w:val="00573A0E"/>
    <w:rsid w:val="00573A12"/>
    <w:rsid w:val="00573A30"/>
    <w:rsid w:val="00573AA5"/>
    <w:rsid w:val="00573BA8"/>
    <w:rsid w:val="00573C77"/>
    <w:rsid w:val="00573CE3"/>
    <w:rsid w:val="00573D3F"/>
    <w:rsid w:val="00573DBC"/>
    <w:rsid w:val="00573E60"/>
    <w:rsid w:val="005740A8"/>
    <w:rsid w:val="0057420F"/>
    <w:rsid w:val="00574396"/>
    <w:rsid w:val="00574406"/>
    <w:rsid w:val="005744B6"/>
    <w:rsid w:val="0057450B"/>
    <w:rsid w:val="00574597"/>
    <w:rsid w:val="005745B2"/>
    <w:rsid w:val="0057465F"/>
    <w:rsid w:val="0057469F"/>
    <w:rsid w:val="005746CE"/>
    <w:rsid w:val="0057472E"/>
    <w:rsid w:val="0057473A"/>
    <w:rsid w:val="00574867"/>
    <w:rsid w:val="00574A10"/>
    <w:rsid w:val="00574A50"/>
    <w:rsid w:val="00574AF2"/>
    <w:rsid w:val="00574BC3"/>
    <w:rsid w:val="00574BE0"/>
    <w:rsid w:val="00574C46"/>
    <w:rsid w:val="00574F79"/>
    <w:rsid w:val="00574F7D"/>
    <w:rsid w:val="0057508E"/>
    <w:rsid w:val="0057513D"/>
    <w:rsid w:val="00575206"/>
    <w:rsid w:val="0057531D"/>
    <w:rsid w:val="005754CA"/>
    <w:rsid w:val="00575636"/>
    <w:rsid w:val="005756CD"/>
    <w:rsid w:val="00575844"/>
    <w:rsid w:val="00575884"/>
    <w:rsid w:val="0057591C"/>
    <w:rsid w:val="00575B10"/>
    <w:rsid w:val="00575BB8"/>
    <w:rsid w:val="00575BF6"/>
    <w:rsid w:val="00575C37"/>
    <w:rsid w:val="00575C8F"/>
    <w:rsid w:val="00575C94"/>
    <w:rsid w:val="00575D3C"/>
    <w:rsid w:val="00575F8D"/>
    <w:rsid w:val="005760D2"/>
    <w:rsid w:val="0057617F"/>
    <w:rsid w:val="0057624B"/>
    <w:rsid w:val="005762AA"/>
    <w:rsid w:val="00576343"/>
    <w:rsid w:val="0057637C"/>
    <w:rsid w:val="00576738"/>
    <w:rsid w:val="00576746"/>
    <w:rsid w:val="00576777"/>
    <w:rsid w:val="005767DC"/>
    <w:rsid w:val="00576AB6"/>
    <w:rsid w:val="00576B09"/>
    <w:rsid w:val="00576BEF"/>
    <w:rsid w:val="00576C2A"/>
    <w:rsid w:val="00576C74"/>
    <w:rsid w:val="00576D84"/>
    <w:rsid w:val="00576E84"/>
    <w:rsid w:val="00576F3F"/>
    <w:rsid w:val="00577067"/>
    <w:rsid w:val="00577258"/>
    <w:rsid w:val="005772E3"/>
    <w:rsid w:val="00577347"/>
    <w:rsid w:val="0057736E"/>
    <w:rsid w:val="005773D5"/>
    <w:rsid w:val="005773EA"/>
    <w:rsid w:val="005773FC"/>
    <w:rsid w:val="00577677"/>
    <w:rsid w:val="00577757"/>
    <w:rsid w:val="00577872"/>
    <w:rsid w:val="005778D5"/>
    <w:rsid w:val="00577A1A"/>
    <w:rsid w:val="00577ABF"/>
    <w:rsid w:val="00577B1F"/>
    <w:rsid w:val="00577B42"/>
    <w:rsid w:val="00577B6B"/>
    <w:rsid w:val="00577BC0"/>
    <w:rsid w:val="00577BF4"/>
    <w:rsid w:val="00577C05"/>
    <w:rsid w:val="00577C1D"/>
    <w:rsid w:val="00577EC0"/>
    <w:rsid w:val="005800D2"/>
    <w:rsid w:val="005801BE"/>
    <w:rsid w:val="0058027A"/>
    <w:rsid w:val="0058027E"/>
    <w:rsid w:val="00580341"/>
    <w:rsid w:val="00580394"/>
    <w:rsid w:val="00580396"/>
    <w:rsid w:val="00580402"/>
    <w:rsid w:val="0058044D"/>
    <w:rsid w:val="005804FA"/>
    <w:rsid w:val="00580734"/>
    <w:rsid w:val="00580744"/>
    <w:rsid w:val="00580769"/>
    <w:rsid w:val="00580846"/>
    <w:rsid w:val="0058097D"/>
    <w:rsid w:val="0058099F"/>
    <w:rsid w:val="005809CD"/>
    <w:rsid w:val="00580A65"/>
    <w:rsid w:val="00580C23"/>
    <w:rsid w:val="00581016"/>
    <w:rsid w:val="005810D6"/>
    <w:rsid w:val="005812AE"/>
    <w:rsid w:val="005812BB"/>
    <w:rsid w:val="00581376"/>
    <w:rsid w:val="00581397"/>
    <w:rsid w:val="00581495"/>
    <w:rsid w:val="005815BD"/>
    <w:rsid w:val="0058162A"/>
    <w:rsid w:val="0058163B"/>
    <w:rsid w:val="00581679"/>
    <w:rsid w:val="005816E4"/>
    <w:rsid w:val="00581765"/>
    <w:rsid w:val="0058178A"/>
    <w:rsid w:val="0058187F"/>
    <w:rsid w:val="00581A27"/>
    <w:rsid w:val="00581B22"/>
    <w:rsid w:val="00581BB8"/>
    <w:rsid w:val="00581DA9"/>
    <w:rsid w:val="00581DED"/>
    <w:rsid w:val="00581E4B"/>
    <w:rsid w:val="00581FA4"/>
    <w:rsid w:val="00581FE6"/>
    <w:rsid w:val="00582051"/>
    <w:rsid w:val="00582180"/>
    <w:rsid w:val="00582194"/>
    <w:rsid w:val="005821E8"/>
    <w:rsid w:val="00582214"/>
    <w:rsid w:val="00582216"/>
    <w:rsid w:val="00582312"/>
    <w:rsid w:val="0058233F"/>
    <w:rsid w:val="005823DE"/>
    <w:rsid w:val="005823EC"/>
    <w:rsid w:val="0058241B"/>
    <w:rsid w:val="00582420"/>
    <w:rsid w:val="005825B1"/>
    <w:rsid w:val="00582603"/>
    <w:rsid w:val="005826D9"/>
    <w:rsid w:val="00582915"/>
    <w:rsid w:val="005829FF"/>
    <w:rsid w:val="00582A16"/>
    <w:rsid w:val="00582AF5"/>
    <w:rsid w:val="00582B74"/>
    <w:rsid w:val="00582B8C"/>
    <w:rsid w:val="00582C16"/>
    <w:rsid w:val="00582D4D"/>
    <w:rsid w:val="00582DCF"/>
    <w:rsid w:val="00582E3D"/>
    <w:rsid w:val="00582EB1"/>
    <w:rsid w:val="00582EBA"/>
    <w:rsid w:val="00582ED1"/>
    <w:rsid w:val="00582FC9"/>
    <w:rsid w:val="0058319A"/>
    <w:rsid w:val="00583274"/>
    <w:rsid w:val="005832C8"/>
    <w:rsid w:val="0058342C"/>
    <w:rsid w:val="00583465"/>
    <w:rsid w:val="005834CB"/>
    <w:rsid w:val="0058364C"/>
    <w:rsid w:val="00583679"/>
    <w:rsid w:val="005836EB"/>
    <w:rsid w:val="00583711"/>
    <w:rsid w:val="0058377C"/>
    <w:rsid w:val="005837FD"/>
    <w:rsid w:val="0058393D"/>
    <w:rsid w:val="00583947"/>
    <w:rsid w:val="0058396D"/>
    <w:rsid w:val="005839DA"/>
    <w:rsid w:val="005839DB"/>
    <w:rsid w:val="00583B06"/>
    <w:rsid w:val="00583B3A"/>
    <w:rsid w:val="00583C1A"/>
    <w:rsid w:val="00583C3C"/>
    <w:rsid w:val="00583CA3"/>
    <w:rsid w:val="00583DD4"/>
    <w:rsid w:val="0058401B"/>
    <w:rsid w:val="00584062"/>
    <w:rsid w:val="0058412D"/>
    <w:rsid w:val="005843A5"/>
    <w:rsid w:val="00584456"/>
    <w:rsid w:val="00584519"/>
    <w:rsid w:val="00584606"/>
    <w:rsid w:val="00584637"/>
    <w:rsid w:val="005847C1"/>
    <w:rsid w:val="005848E0"/>
    <w:rsid w:val="005848EE"/>
    <w:rsid w:val="00584950"/>
    <w:rsid w:val="00584995"/>
    <w:rsid w:val="00584A5C"/>
    <w:rsid w:val="00584AA1"/>
    <w:rsid w:val="00584B4B"/>
    <w:rsid w:val="00584CC9"/>
    <w:rsid w:val="00584CF3"/>
    <w:rsid w:val="00584D08"/>
    <w:rsid w:val="00584FB4"/>
    <w:rsid w:val="0058519D"/>
    <w:rsid w:val="00585291"/>
    <w:rsid w:val="00585421"/>
    <w:rsid w:val="0058542A"/>
    <w:rsid w:val="005854C1"/>
    <w:rsid w:val="0058553F"/>
    <w:rsid w:val="0058574D"/>
    <w:rsid w:val="00585755"/>
    <w:rsid w:val="005857A3"/>
    <w:rsid w:val="00585813"/>
    <w:rsid w:val="00585922"/>
    <w:rsid w:val="00585AB8"/>
    <w:rsid w:val="00585E11"/>
    <w:rsid w:val="00585EEB"/>
    <w:rsid w:val="00585EF6"/>
    <w:rsid w:val="005860D7"/>
    <w:rsid w:val="0058611D"/>
    <w:rsid w:val="0058618D"/>
    <w:rsid w:val="00586190"/>
    <w:rsid w:val="005861B8"/>
    <w:rsid w:val="0058640D"/>
    <w:rsid w:val="00586637"/>
    <w:rsid w:val="0058679E"/>
    <w:rsid w:val="005867F7"/>
    <w:rsid w:val="005867FA"/>
    <w:rsid w:val="0058683A"/>
    <w:rsid w:val="00586EF6"/>
    <w:rsid w:val="00587052"/>
    <w:rsid w:val="00587053"/>
    <w:rsid w:val="00587176"/>
    <w:rsid w:val="005871C2"/>
    <w:rsid w:val="005872D6"/>
    <w:rsid w:val="005873FE"/>
    <w:rsid w:val="0058747B"/>
    <w:rsid w:val="005874CC"/>
    <w:rsid w:val="005874D6"/>
    <w:rsid w:val="00587541"/>
    <w:rsid w:val="0058757E"/>
    <w:rsid w:val="005875D4"/>
    <w:rsid w:val="0058772C"/>
    <w:rsid w:val="005877D3"/>
    <w:rsid w:val="00587916"/>
    <w:rsid w:val="00587977"/>
    <w:rsid w:val="0058798B"/>
    <w:rsid w:val="00587AA3"/>
    <w:rsid w:val="00587B22"/>
    <w:rsid w:val="00587BB7"/>
    <w:rsid w:val="00587C72"/>
    <w:rsid w:val="00587E1F"/>
    <w:rsid w:val="00587ED0"/>
    <w:rsid w:val="00587F8C"/>
    <w:rsid w:val="00587FB5"/>
    <w:rsid w:val="00587FE4"/>
    <w:rsid w:val="0059017E"/>
    <w:rsid w:val="00590267"/>
    <w:rsid w:val="005902B6"/>
    <w:rsid w:val="005902BF"/>
    <w:rsid w:val="00590384"/>
    <w:rsid w:val="0059049C"/>
    <w:rsid w:val="00590587"/>
    <w:rsid w:val="00590624"/>
    <w:rsid w:val="00590641"/>
    <w:rsid w:val="00590652"/>
    <w:rsid w:val="005906E1"/>
    <w:rsid w:val="0059073B"/>
    <w:rsid w:val="0059075C"/>
    <w:rsid w:val="0059086C"/>
    <w:rsid w:val="00590B9A"/>
    <w:rsid w:val="00590CC2"/>
    <w:rsid w:val="00590CE0"/>
    <w:rsid w:val="00590D7F"/>
    <w:rsid w:val="00590F3D"/>
    <w:rsid w:val="0059127C"/>
    <w:rsid w:val="005913D9"/>
    <w:rsid w:val="0059148A"/>
    <w:rsid w:val="0059149F"/>
    <w:rsid w:val="00591749"/>
    <w:rsid w:val="0059195A"/>
    <w:rsid w:val="00591B1E"/>
    <w:rsid w:val="00591B25"/>
    <w:rsid w:val="00591C7D"/>
    <w:rsid w:val="00591F39"/>
    <w:rsid w:val="00592022"/>
    <w:rsid w:val="005920B9"/>
    <w:rsid w:val="00592270"/>
    <w:rsid w:val="005922EA"/>
    <w:rsid w:val="00592300"/>
    <w:rsid w:val="0059239A"/>
    <w:rsid w:val="005923FD"/>
    <w:rsid w:val="005924DF"/>
    <w:rsid w:val="00592599"/>
    <w:rsid w:val="00592821"/>
    <w:rsid w:val="00592ABB"/>
    <w:rsid w:val="00592B32"/>
    <w:rsid w:val="00592B68"/>
    <w:rsid w:val="00592C09"/>
    <w:rsid w:val="00592E7C"/>
    <w:rsid w:val="00592F62"/>
    <w:rsid w:val="00593051"/>
    <w:rsid w:val="005931BF"/>
    <w:rsid w:val="005932C6"/>
    <w:rsid w:val="0059330E"/>
    <w:rsid w:val="0059339F"/>
    <w:rsid w:val="0059344A"/>
    <w:rsid w:val="0059349F"/>
    <w:rsid w:val="005934A7"/>
    <w:rsid w:val="00593533"/>
    <w:rsid w:val="005937E7"/>
    <w:rsid w:val="005938B1"/>
    <w:rsid w:val="0059395F"/>
    <w:rsid w:val="005939FC"/>
    <w:rsid w:val="00593A05"/>
    <w:rsid w:val="00593A4F"/>
    <w:rsid w:val="00593A5F"/>
    <w:rsid w:val="00593AB2"/>
    <w:rsid w:val="00593D13"/>
    <w:rsid w:val="00593D80"/>
    <w:rsid w:val="00593F62"/>
    <w:rsid w:val="00594018"/>
    <w:rsid w:val="0059406E"/>
    <w:rsid w:val="0059409C"/>
    <w:rsid w:val="005943DE"/>
    <w:rsid w:val="005944DD"/>
    <w:rsid w:val="005944E7"/>
    <w:rsid w:val="0059462E"/>
    <w:rsid w:val="0059465F"/>
    <w:rsid w:val="00594676"/>
    <w:rsid w:val="005946A6"/>
    <w:rsid w:val="00594746"/>
    <w:rsid w:val="00594891"/>
    <w:rsid w:val="00594AAA"/>
    <w:rsid w:val="00594B4C"/>
    <w:rsid w:val="00594B71"/>
    <w:rsid w:val="00594B91"/>
    <w:rsid w:val="00594CC7"/>
    <w:rsid w:val="00594D9E"/>
    <w:rsid w:val="00594FD1"/>
    <w:rsid w:val="005953FB"/>
    <w:rsid w:val="00595510"/>
    <w:rsid w:val="0059551E"/>
    <w:rsid w:val="00595528"/>
    <w:rsid w:val="00595708"/>
    <w:rsid w:val="0059580F"/>
    <w:rsid w:val="0059583F"/>
    <w:rsid w:val="00595867"/>
    <w:rsid w:val="00595960"/>
    <w:rsid w:val="005959CB"/>
    <w:rsid w:val="00595A4A"/>
    <w:rsid w:val="00595A76"/>
    <w:rsid w:val="00595AA0"/>
    <w:rsid w:val="00595CCA"/>
    <w:rsid w:val="00595F42"/>
    <w:rsid w:val="00595FBA"/>
    <w:rsid w:val="00596165"/>
    <w:rsid w:val="00596250"/>
    <w:rsid w:val="0059633D"/>
    <w:rsid w:val="00596498"/>
    <w:rsid w:val="005965F5"/>
    <w:rsid w:val="0059663C"/>
    <w:rsid w:val="0059669D"/>
    <w:rsid w:val="0059686D"/>
    <w:rsid w:val="005968C3"/>
    <w:rsid w:val="005969FB"/>
    <w:rsid w:val="00596A01"/>
    <w:rsid w:val="00596A4B"/>
    <w:rsid w:val="00596B65"/>
    <w:rsid w:val="00596D3E"/>
    <w:rsid w:val="00596E86"/>
    <w:rsid w:val="00597246"/>
    <w:rsid w:val="005974EF"/>
    <w:rsid w:val="00597507"/>
    <w:rsid w:val="00597590"/>
    <w:rsid w:val="00597636"/>
    <w:rsid w:val="0059770E"/>
    <w:rsid w:val="00597742"/>
    <w:rsid w:val="005978A1"/>
    <w:rsid w:val="00597BA8"/>
    <w:rsid w:val="00597BF0"/>
    <w:rsid w:val="00597EAF"/>
    <w:rsid w:val="00597F79"/>
    <w:rsid w:val="005A0019"/>
    <w:rsid w:val="005A01A6"/>
    <w:rsid w:val="005A01F7"/>
    <w:rsid w:val="005A032B"/>
    <w:rsid w:val="005A0381"/>
    <w:rsid w:val="005A0405"/>
    <w:rsid w:val="005A0473"/>
    <w:rsid w:val="005A0519"/>
    <w:rsid w:val="005A054A"/>
    <w:rsid w:val="005A0587"/>
    <w:rsid w:val="005A0790"/>
    <w:rsid w:val="005A08B0"/>
    <w:rsid w:val="005A0903"/>
    <w:rsid w:val="005A0A8B"/>
    <w:rsid w:val="005A0AC4"/>
    <w:rsid w:val="005A0B77"/>
    <w:rsid w:val="005A0BD9"/>
    <w:rsid w:val="005A0C1C"/>
    <w:rsid w:val="005A0DA1"/>
    <w:rsid w:val="005A0DD8"/>
    <w:rsid w:val="005A0E23"/>
    <w:rsid w:val="005A0F55"/>
    <w:rsid w:val="005A125F"/>
    <w:rsid w:val="005A130E"/>
    <w:rsid w:val="005A1361"/>
    <w:rsid w:val="005A1414"/>
    <w:rsid w:val="005A1483"/>
    <w:rsid w:val="005A14D0"/>
    <w:rsid w:val="005A1519"/>
    <w:rsid w:val="005A158D"/>
    <w:rsid w:val="005A165D"/>
    <w:rsid w:val="005A1667"/>
    <w:rsid w:val="005A1689"/>
    <w:rsid w:val="005A175F"/>
    <w:rsid w:val="005A18D8"/>
    <w:rsid w:val="005A1AC2"/>
    <w:rsid w:val="005A1B63"/>
    <w:rsid w:val="005A1C21"/>
    <w:rsid w:val="005A20D5"/>
    <w:rsid w:val="005A2309"/>
    <w:rsid w:val="005A23F8"/>
    <w:rsid w:val="005A267E"/>
    <w:rsid w:val="005A28BF"/>
    <w:rsid w:val="005A2959"/>
    <w:rsid w:val="005A29CD"/>
    <w:rsid w:val="005A29E2"/>
    <w:rsid w:val="005A2A41"/>
    <w:rsid w:val="005A2AF0"/>
    <w:rsid w:val="005A2C1B"/>
    <w:rsid w:val="005A30D4"/>
    <w:rsid w:val="005A3268"/>
    <w:rsid w:val="005A3377"/>
    <w:rsid w:val="005A33BB"/>
    <w:rsid w:val="005A3468"/>
    <w:rsid w:val="005A3519"/>
    <w:rsid w:val="005A356C"/>
    <w:rsid w:val="005A3917"/>
    <w:rsid w:val="005A3A74"/>
    <w:rsid w:val="005A3CCE"/>
    <w:rsid w:val="005A3D71"/>
    <w:rsid w:val="005A3DE0"/>
    <w:rsid w:val="005A3F3C"/>
    <w:rsid w:val="005A3F7D"/>
    <w:rsid w:val="005A406B"/>
    <w:rsid w:val="005A4220"/>
    <w:rsid w:val="005A44C3"/>
    <w:rsid w:val="005A44EA"/>
    <w:rsid w:val="005A45F3"/>
    <w:rsid w:val="005A4693"/>
    <w:rsid w:val="005A479D"/>
    <w:rsid w:val="005A4821"/>
    <w:rsid w:val="005A49E3"/>
    <w:rsid w:val="005A49FF"/>
    <w:rsid w:val="005A4C6E"/>
    <w:rsid w:val="005A4C7D"/>
    <w:rsid w:val="005A4D07"/>
    <w:rsid w:val="005A4D73"/>
    <w:rsid w:val="005A50CB"/>
    <w:rsid w:val="005A50CE"/>
    <w:rsid w:val="005A510E"/>
    <w:rsid w:val="005A515B"/>
    <w:rsid w:val="005A5197"/>
    <w:rsid w:val="005A51FD"/>
    <w:rsid w:val="005A5270"/>
    <w:rsid w:val="005A53BC"/>
    <w:rsid w:val="005A53D5"/>
    <w:rsid w:val="005A543C"/>
    <w:rsid w:val="005A58A5"/>
    <w:rsid w:val="005A5947"/>
    <w:rsid w:val="005A599D"/>
    <w:rsid w:val="005A59F9"/>
    <w:rsid w:val="005A5A08"/>
    <w:rsid w:val="005A5AA0"/>
    <w:rsid w:val="005A5B4B"/>
    <w:rsid w:val="005A5B7D"/>
    <w:rsid w:val="005A5BCF"/>
    <w:rsid w:val="005A5C80"/>
    <w:rsid w:val="005A5D74"/>
    <w:rsid w:val="005A5DBA"/>
    <w:rsid w:val="005A5ED7"/>
    <w:rsid w:val="005A5EE1"/>
    <w:rsid w:val="005A5FA6"/>
    <w:rsid w:val="005A5FB8"/>
    <w:rsid w:val="005A609D"/>
    <w:rsid w:val="005A612C"/>
    <w:rsid w:val="005A624A"/>
    <w:rsid w:val="005A63BD"/>
    <w:rsid w:val="005A6526"/>
    <w:rsid w:val="005A6555"/>
    <w:rsid w:val="005A677A"/>
    <w:rsid w:val="005A6B08"/>
    <w:rsid w:val="005A6B5A"/>
    <w:rsid w:val="005A6C52"/>
    <w:rsid w:val="005A6C75"/>
    <w:rsid w:val="005A6D76"/>
    <w:rsid w:val="005A6D79"/>
    <w:rsid w:val="005A6DDB"/>
    <w:rsid w:val="005A6DE9"/>
    <w:rsid w:val="005A704B"/>
    <w:rsid w:val="005A72DA"/>
    <w:rsid w:val="005A72DB"/>
    <w:rsid w:val="005A7322"/>
    <w:rsid w:val="005A73BC"/>
    <w:rsid w:val="005A74C0"/>
    <w:rsid w:val="005A74D2"/>
    <w:rsid w:val="005A7532"/>
    <w:rsid w:val="005A7547"/>
    <w:rsid w:val="005A76A6"/>
    <w:rsid w:val="005A77CB"/>
    <w:rsid w:val="005A7899"/>
    <w:rsid w:val="005A7B38"/>
    <w:rsid w:val="005A7C8F"/>
    <w:rsid w:val="005A7E51"/>
    <w:rsid w:val="005A7E88"/>
    <w:rsid w:val="005B0064"/>
    <w:rsid w:val="005B0082"/>
    <w:rsid w:val="005B00B5"/>
    <w:rsid w:val="005B00D8"/>
    <w:rsid w:val="005B02A9"/>
    <w:rsid w:val="005B02FB"/>
    <w:rsid w:val="005B03EF"/>
    <w:rsid w:val="005B056C"/>
    <w:rsid w:val="005B07EB"/>
    <w:rsid w:val="005B08E7"/>
    <w:rsid w:val="005B0AC6"/>
    <w:rsid w:val="005B0ADC"/>
    <w:rsid w:val="005B0B23"/>
    <w:rsid w:val="005B0B2E"/>
    <w:rsid w:val="005B0C43"/>
    <w:rsid w:val="005B0C61"/>
    <w:rsid w:val="005B0CE3"/>
    <w:rsid w:val="005B0D8A"/>
    <w:rsid w:val="005B0FA0"/>
    <w:rsid w:val="005B101D"/>
    <w:rsid w:val="005B10D0"/>
    <w:rsid w:val="005B1376"/>
    <w:rsid w:val="005B1467"/>
    <w:rsid w:val="005B1651"/>
    <w:rsid w:val="005B1729"/>
    <w:rsid w:val="005B176C"/>
    <w:rsid w:val="005B180B"/>
    <w:rsid w:val="005B19D9"/>
    <w:rsid w:val="005B1A51"/>
    <w:rsid w:val="005B1B0B"/>
    <w:rsid w:val="005B1B9A"/>
    <w:rsid w:val="005B1C31"/>
    <w:rsid w:val="005B1C6D"/>
    <w:rsid w:val="005B1E16"/>
    <w:rsid w:val="005B1EDF"/>
    <w:rsid w:val="005B1F98"/>
    <w:rsid w:val="005B20A1"/>
    <w:rsid w:val="005B20D0"/>
    <w:rsid w:val="005B2124"/>
    <w:rsid w:val="005B2137"/>
    <w:rsid w:val="005B21A6"/>
    <w:rsid w:val="005B21B6"/>
    <w:rsid w:val="005B225E"/>
    <w:rsid w:val="005B2304"/>
    <w:rsid w:val="005B2326"/>
    <w:rsid w:val="005B2332"/>
    <w:rsid w:val="005B253D"/>
    <w:rsid w:val="005B278F"/>
    <w:rsid w:val="005B27C2"/>
    <w:rsid w:val="005B27C5"/>
    <w:rsid w:val="005B2923"/>
    <w:rsid w:val="005B292E"/>
    <w:rsid w:val="005B2993"/>
    <w:rsid w:val="005B2AA4"/>
    <w:rsid w:val="005B2C52"/>
    <w:rsid w:val="005B2D1A"/>
    <w:rsid w:val="005B2DC2"/>
    <w:rsid w:val="005B2E72"/>
    <w:rsid w:val="005B3058"/>
    <w:rsid w:val="005B3432"/>
    <w:rsid w:val="005B348B"/>
    <w:rsid w:val="005B35F6"/>
    <w:rsid w:val="005B36C3"/>
    <w:rsid w:val="005B376B"/>
    <w:rsid w:val="005B3857"/>
    <w:rsid w:val="005B3889"/>
    <w:rsid w:val="005B3908"/>
    <w:rsid w:val="005B39C4"/>
    <w:rsid w:val="005B3A08"/>
    <w:rsid w:val="005B3C39"/>
    <w:rsid w:val="005B3CD2"/>
    <w:rsid w:val="005B3CEE"/>
    <w:rsid w:val="005B3DD8"/>
    <w:rsid w:val="005B3DE5"/>
    <w:rsid w:val="005B3E3C"/>
    <w:rsid w:val="005B3EAB"/>
    <w:rsid w:val="005B41FF"/>
    <w:rsid w:val="005B4246"/>
    <w:rsid w:val="005B431F"/>
    <w:rsid w:val="005B44C8"/>
    <w:rsid w:val="005B44D4"/>
    <w:rsid w:val="005B45B7"/>
    <w:rsid w:val="005B4707"/>
    <w:rsid w:val="005B47F9"/>
    <w:rsid w:val="005B487F"/>
    <w:rsid w:val="005B49F4"/>
    <w:rsid w:val="005B4B51"/>
    <w:rsid w:val="005B4BFC"/>
    <w:rsid w:val="005B4C23"/>
    <w:rsid w:val="005B51EE"/>
    <w:rsid w:val="005B5346"/>
    <w:rsid w:val="005B5571"/>
    <w:rsid w:val="005B5674"/>
    <w:rsid w:val="005B5709"/>
    <w:rsid w:val="005B5925"/>
    <w:rsid w:val="005B5B81"/>
    <w:rsid w:val="005B5C10"/>
    <w:rsid w:val="005B5C1B"/>
    <w:rsid w:val="005B5C29"/>
    <w:rsid w:val="005B5DF6"/>
    <w:rsid w:val="005B5EEA"/>
    <w:rsid w:val="005B6015"/>
    <w:rsid w:val="005B6189"/>
    <w:rsid w:val="005B61A9"/>
    <w:rsid w:val="005B62CC"/>
    <w:rsid w:val="005B64F2"/>
    <w:rsid w:val="005B653F"/>
    <w:rsid w:val="005B65B9"/>
    <w:rsid w:val="005B6898"/>
    <w:rsid w:val="005B68CB"/>
    <w:rsid w:val="005B6AB9"/>
    <w:rsid w:val="005B6B32"/>
    <w:rsid w:val="005B6B4F"/>
    <w:rsid w:val="005B6BD1"/>
    <w:rsid w:val="005B6C78"/>
    <w:rsid w:val="005B6D4E"/>
    <w:rsid w:val="005B6DA8"/>
    <w:rsid w:val="005B6DCA"/>
    <w:rsid w:val="005B6DDB"/>
    <w:rsid w:val="005B6E01"/>
    <w:rsid w:val="005B6F57"/>
    <w:rsid w:val="005B6F76"/>
    <w:rsid w:val="005B6FE1"/>
    <w:rsid w:val="005B70F4"/>
    <w:rsid w:val="005B719E"/>
    <w:rsid w:val="005B7218"/>
    <w:rsid w:val="005B756E"/>
    <w:rsid w:val="005B75D3"/>
    <w:rsid w:val="005B77A9"/>
    <w:rsid w:val="005B7A0B"/>
    <w:rsid w:val="005B7A12"/>
    <w:rsid w:val="005B7A63"/>
    <w:rsid w:val="005B7ADC"/>
    <w:rsid w:val="005B7BD2"/>
    <w:rsid w:val="005B7C86"/>
    <w:rsid w:val="005B7C87"/>
    <w:rsid w:val="005B7CD6"/>
    <w:rsid w:val="005B7FF1"/>
    <w:rsid w:val="005C0064"/>
    <w:rsid w:val="005C0093"/>
    <w:rsid w:val="005C0277"/>
    <w:rsid w:val="005C02F4"/>
    <w:rsid w:val="005C038B"/>
    <w:rsid w:val="005C03BB"/>
    <w:rsid w:val="005C0402"/>
    <w:rsid w:val="005C051D"/>
    <w:rsid w:val="005C07AC"/>
    <w:rsid w:val="005C0801"/>
    <w:rsid w:val="005C081E"/>
    <w:rsid w:val="005C0955"/>
    <w:rsid w:val="005C09B3"/>
    <w:rsid w:val="005C09BD"/>
    <w:rsid w:val="005C0C4B"/>
    <w:rsid w:val="005C0C99"/>
    <w:rsid w:val="005C0D19"/>
    <w:rsid w:val="005C0F4F"/>
    <w:rsid w:val="005C0F6D"/>
    <w:rsid w:val="005C1064"/>
    <w:rsid w:val="005C10CB"/>
    <w:rsid w:val="005C10E0"/>
    <w:rsid w:val="005C1185"/>
    <w:rsid w:val="005C11FD"/>
    <w:rsid w:val="005C1315"/>
    <w:rsid w:val="005C138E"/>
    <w:rsid w:val="005C143D"/>
    <w:rsid w:val="005C1674"/>
    <w:rsid w:val="005C1695"/>
    <w:rsid w:val="005C179A"/>
    <w:rsid w:val="005C17DA"/>
    <w:rsid w:val="005C1820"/>
    <w:rsid w:val="005C18B2"/>
    <w:rsid w:val="005C19A3"/>
    <w:rsid w:val="005C19A6"/>
    <w:rsid w:val="005C19C5"/>
    <w:rsid w:val="005C1A18"/>
    <w:rsid w:val="005C1AE6"/>
    <w:rsid w:val="005C1B59"/>
    <w:rsid w:val="005C1CE1"/>
    <w:rsid w:val="005C1CE9"/>
    <w:rsid w:val="005C1D07"/>
    <w:rsid w:val="005C1D2F"/>
    <w:rsid w:val="005C1E64"/>
    <w:rsid w:val="005C1F04"/>
    <w:rsid w:val="005C2115"/>
    <w:rsid w:val="005C218A"/>
    <w:rsid w:val="005C2327"/>
    <w:rsid w:val="005C237E"/>
    <w:rsid w:val="005C2427"/>
    <w:rsid w:val="005C268F"/>
    <w:rsid w:val="005C2692"/>
    <w:rsid w:val="005C26AE"/>
    <w:rsid w:val="005C26CB"/>
    <w:rsid w:val="005C2706"/>
    <w:rsid w:val="005C2738"/>
    <w:rsid w:val="005C28E4"/>
    <w:rsid w:val="005C2A9E"/>
    <w:rsid w:val="005C2AE6"/>
    <w:rsid w:val="005C2C87"/>
    <w:rsid w:val="005C2CB8"/>
    <w:rsid w:val="005C2E76"/>
    <w:rsid w:val="005C2E9A"/>
    <w:rsid w:val="005C2F22"/>
    <w:rsid w:val="005C30BE"/>
    <w:rsid w:val="005C30DE"/>
    <w:rsid w:val="005C31BE"/>
    <w:rsid w:val="005C31F3"/>
    <w:rsid w:val="005C32EE"/>
    <w:rsid w:val="005C36A2"/>
    <w:rsid w:val="005C3736"/>
    <w:rsid w:val="005C3781"/>
    <w:rsid w:val="005C38DF"/>
    <w:rsid w:val="005C38F4"/>
    <w:rsid w:val="005C3AC6"/>
    <w:rsid w:val="005C3B1A"/>
    <w:rsid w:val="005C3B2C"/>
    <w:rsid w:val="005C3B34"/>
    <w:rsid w:val="005C3B6B"/>
    <w:rsid w:val="005C3BF3"/>
    <w:rsid w:val="005C3D57"/>
    <w:rsid w:val="005C4051"/>
    <w:rsid w:val="005C4091"/>
    <w:rsid w:val="005C434F"/>
    <w:rsid w:val="005C4375"/>
    <w:rsid w:val="005C439D"/>
    <w:rsid w:val="005C43A4"/>
    <w:rsid w:val="005C4480"/>
    <w:rsid w:val="005C44F7"/>
    <w:rsid w:val="005C4511"/>
    <w:rsid w:val="005C4545"/>
    <w:rsid w:val="005C45AA"/>
    <w:rsid w:val="005C488B"/>
    <w:rsid w:val="005C4925"/>
    <w:rsid w:val="005C4998"/>
    <w:rsid w:val="005C49D7"/>
    <w:rsid w:val="005C49DA"/>
    <w:rsid w:val="005C4A57"/>
    <w:rsid w:val="005C4A65"/>
    <w:rsid w:val="005C4B69"/>
    <w:rsid w:val="005C4C0A"/>
    <w:rsid w:val="005C4D79"/>
    <w:rsid w:val="005C4EC5"/>
    <w:rsid w:val="005C4EF1"/>
    <w:rsid w:val="005C4F1D"/>
    <w:rsid w:val="005C4F95"/>
    <w:rsid w:val="005C509B"/>
    <w:rsid w:val="005C50F3"/>
    <w:rsid w:val="005C50FF"/>
    <w:rsid w:val="005C5182"/>
    <w:rsid w:val="005C5213"/>
    <w:rsid w:val="005C5243"/>
    <w:rsid w:val="005C5260"/>
    <w:rsid w:val="005C5326"/>
    <w:rsid w:val="005C54AB"/>
    <w:rsid w:val="005C54B5"/>
    <w:rsid w:val="005C54E8"/>
    <w:rsid w:val="005C574A"/>
    <w:rsid w:val="005C5820"/>
    <w:rsid w:val="005C58C3"/>
    <w:rsid w:val="005C590C"/>
    <w:rsid w:val="005C5A00"/>
    <w:rsid w:val="005C5A22"/>
    <w:rsid w:val="005C5B23"/>
    <w:rsid w:val="005C5BFD"/>
    <w:rsid w:val="005C5CBC"/>
    <w:rsid w:val="005C5D71"/>
    <w:rsid w:val="005C5D7E"/>
    <w:rsid w:val="005C5D80"/>
    <w:rsid w:val="005C5D91"/>
    <w:rsid w:val="005C6023"/>
    <w:rsid w:val="005C6029"/>
    <w:rsid w:val="005C607A"/>
    <w:rsid w:val="005C6099"/>
    <w:rsid w:val="005C61C2"/>
    <w:rsid w:val="005C61F3"/>
    <w:rsid w:val="005C631D"/>
    <w:rsid w:val="005C641B"/>
    <w:rsid w:val="005C6569"/>
    <w:rsid w:val="005C65AB"/>
    <w:rsid w:val="005C68C8"/>
    <w:rsid w:val="005C68C9"/>
    <w:rsid w:val="005C6BAC"/>
    <w:rsid w:val="005C6BD1"/>
    <w:rsid w:val="005C6CE5"/>
    <w:rsid w:val="005C6D53"/>
    <w:rsid w:val="005C6D6C"/>
    <w:rsid w:val="005C6EA9"/>
    <w:rsid w:val="005C7057"/>
    <w:rsid w:val="005C7067"/>
    <w:rsid w:val="005C70B3"/>
    <w:rsid w:val="005C7114"/>
    <w:rsid w:val="005C71D8"/>
    <w:rsid w:val="005C7236"/>
    <w:rsid w:val="005C740A"/>
    <w:rsid w:val="005C7574"/>
    <w:rsid w:val="005C7590"/>
    <w:rsid w:val="005C76B2"/>
    <w:rsid w:val="005C7769"/>
    <w:rsid w:val="005C7773"/>
    <w:rsid w:val="005C781F"/>
    <w:rsid w:val="005C7BF8"/>
    <w:rsid w:val="005C7C97"/>
    <w:rsid w:val="005C7FA0"/>
    <w:rsid w:val="005C7FA5"/>
    <w:rsid w:val="005D02FA"/>
    <w:rsid w:val="005D0424"/>
    <w:rsid w:val="005D0439"/>
    <w:rsid w:val="005D04A0"/>
    <w:rsid w:val="005D065D"/>
    <w:rsid w:val="005D0736"/>
    <w:rsid w:val="005D076E"/>
    <w:rsid w:val="005D07B8"/>
    <w:rsid w:val="005D087F"/>
    <w:rsid w:val="005D0985"/>
    <w:rsid w:val="005D0AFD"/>
    <w:rsid w:val="005D0B5B"/>
    <w:rsid w:val="005D0B76"/>
    <w:rsid w:val="005D0C94"/>
    <w:rsid w:val="005D0D88"/>
    <w:rsid w:val="005D0DB5"/>
    <w:rsid w:val="005D0DFF"/>
    <w:rsid w:val="005D0E8A"/>
    <w:rsid w:val="005D0E97"/>
    <w:rsid w:val="005D0E9C"/>
    <w:rsid w:val="005D0FBC"/>
    <w:rsid w:val="005D104F"/>
    <w:rsid w:val="005D10CF"/>
    <w:rsid w:val="005D10E4"/>
    <w:rsid w:val="005D1173"/>
    <w:rsid w:val="005D119C"/>
    <w:rsid w:val="005D119D"/>
    <w:rsid w:val="005D1223"/>
    <w:rsid w:val="005D13FC"/>
    <w:rsid w:val="005D15F5"/>
    <w:rsid w:val="005D1640"/>
    <w:rsid w:val="005D164E"/>
    <w:rsid w:val="005D17AF"/>
    <w:rsid w:val="005D17B3"/>
    <w:rsid w:val="005D18E9"/>
    <w:rsid w:val="005D18FF"/>
    <w:rsid w:val="005D1CA5"/>
    <w:rsid w:val="005D1D99"/>
    <w:rsid w:val="005D1DDD"/>
    <w:rsid w:val="005D1EDA"/>
    <w:rsid w:val="005D228E"/>
    <w:rsid w:val="005D23FB"/>
    <w:rsid w:val="005D25EB"/>
    <w:rsid w:val="005D279A"/>
    <w:rsid w:val="005D2989"/>
    <w:rsid w:val="005D29C7"/>
    <w:rsid w:val="005D2AF5"/>
    <w:rsid w:val="005D2B31"/>
    <w:rsid w:val="005D2B69"/>
    <w:rsid w:val="005D2C29"/>
    <w:rsid w:val="005D2C72"/>
    <w:rsid w:val="005D2FB6"/>
    <w:rsid w:val="005D2FF9"/>
    <w:rsid w:val="005D30FE"/>
    <w:rsid w:val="005D321C"/>
    <w:rsid w:val="005D3271"/>
    <w:rsid w:val="005D33A9"/>
    <w:rsid w:val="005D3437"/>
    <w:rsid w:val="005D3444"/>
    <w:rsid w:val="005D3652"/>
    <w:rsid w:val="005D3701"/>
    <w:rsid w:val="005D3723"/>
    <w:rsid w:val="005D3809"/>
    <w:rsid w:val="005D397A"/>
    <w:rsid w:val="005D3AF7"/>
    <w:rsid w:val="005D3C6B"/>
    <w:rsid w:val="005D3E05"/>
    <w:rsid w:val="005D3F2E"/>
    <w:rsid w:val="005D40D8"/>
    <w:rsid w:val="005D4103"/>
    <w:rsid w:val="005D4269"/>
    <w:rsid w:val="005D43DD"/>
    <w:rsid w:val="005D4437"/>
    <w:rsid w:val="005D4598"/>
    <w:rsid w:val="005D45D3"/>
    <w:rsid w:val="005D4612"/>
    <w:rsid w:val="005D467D"/>
    <w:rsid w:val="005D4772"/>
    <w:rsid w:val="005D4992"/>
    <w:rsid w:val="005D4A1F"/>
    <w:rsid w:val="005D4CA2"/>
    <w:rsid w:val="005D4CDB"/>
    <w:rsid w:val="005D4D1C"/>
    <w:rsid w:val="005D4E4E"/>
    <w:rsid w:val="005D4EBA"/>
    <w:rsid w:val="005D4F37"/>
    <w:rsid w:val="005D4F60"/>
    <w:rsid w:val="005D5035"/>
    <w:rsid w:val="005D5051"/>
    <w:rsid w:val="005D507D"/>
    <w:rsid w:val="005D5083"/>
    <w:rsid w:val="005D53A1"/>
    <w:rsid w:val="005D5420"/>
    <w:rsid w:val="005D547D"/>
    <w:rsid w:val="005D553F"/>
    <w:rsid w:val="005D55D7"/>
    <w:rsid w:val="005D5645"/>
    <w:rsid w:val="005D589E"/>
    <w:rsid w:val="005D5A2B"/>
    <w:rsid w:val="005D5C2B"/>
    <w:rsid w:val="005D5CD9"/>
    <w:rsid w:val="005D5D0E"/>
    <w:rsid w:val="005D5F1D"/>
    <w:rsid w:val="005D5F97"/>
    <w:rsid w:val="005D600E"/>
    <w:rsid w:val="005D6051"/>
    <w:rsid w:val="005D60F7"/>
    <w:rsid w:val="005D6231"/>
    <w:rsid w:val="005D6280"/>
    <w:rsid w:val="005D6282"/>
    <w:rsid w:val="005D62F2"/>
    <w:rsid w:val="005D637F"/>
    <w:rsid w:val="005D658A"/>
    <w:rsid w:val="005D6596"/>
    <w:rsid w:val="005D6597"/>
    <w:rsid w:val="005D65FC"/>
    <w:rsid w:val="005D67DB"/>
    <w:rsid w:val="005D6A9D"/>
    <w:rsid w:val="005D6AD4"/>
    <w:rsid w:val="005D6B74"/>
    <w:rsid w:val="005D6F65"/>
    <w:rsid w:val="005D7002"/>
    <w:rsid w:val="005D700E"/>
    <w:rsid w:val="005D703A"/>
    <w:rsid w:val="005D711A"/>
    <w:rsid w:val="005D716A"/>
    <w:rsid w:val="005D7172"/>
    <w:rsid w:val="005D71C0"/>
    <w:rsid w:val="005D71D5"/>
    <w:rsid w:val="005D71E1"/>
    <w:rsid w:val="005D73E9"/>
    <w:rsid w:val="005D74D9"/>
    <w:rsid w:val="005D74E2"/>
    <w:rsid w:val="005D75EF"/>
    <w:rsid w:val="005D778B"/>
    <w:rsid w:val="005D7851"/>
    <w:rsid w:val="005D78D4"/>
    <w:rsid w:val="005D7903"/>
    <w:rsid w:val="005D7A8C"/>
    <w:rsid w:val="005D7B93"/>
    <w:rsid w:val="005D7C1F"/>
    <w:rsid w:val="005D7D43"/>
    <w:rsid w:val="005D7F3D"/>
    <w:rsid w:val="005E011B"/>
    <w:rsid w:val="005E0123"/>
    <w:rsid w:val="005E02FD"/>
    <w:rsid w:val="005E03FC"/>
    <w:rsid w:val="005E0419"/>
    <w:rsid w:val="005E0487"/>
    <w:rsid w:val="005E04C7"/>
    <w:rsid w:val="005E067A"/>
    <w:rsid w:val="005E0720"/>
    <w:rsid w:val="005E0736"/>
    <w:rsid w:val="005E076B"/>
    <w:rsid w:val="005E09A5"/>
    <w:rsid w:val="005E09FD"/>
    <w:rsid w:val="005E0A05"/>
    <w:rsid w:val="005E0B2B"/>
    <w:rsid w:val="005E0D17"/>
    <w:rsid w:val="005E0D4D"/>
    <w:rsid w:val="005E0E9A"/>
    <w:rsid w:val="005E0F20"/>
    <w:rsid w:val="005E1016"/>
    <w:rsid w:val="005E105E"/>
    <w:rsid w:val="005E11FB"/>
    <w:rsid w:val="005E1282"/>
    <w:rsid w:val="005E12EC"/>
    <w:rsid w:val="005E1482"/>
    <w:rsid w:val="005E14E7"/>
    <w:rsid w:val="005E1565"/>
    <w:rsid w:val="005E16E5"/>
    <w:rsid w:val="005E17D2"/>
    <w:rsid w:val="005E19EB"/>
    <w:rsid w:val="005E1B45"/>
    <w:rsid w:val="005E1BAE"/>
    <w:rsid w:val="005E1C07"/>
    <w:rsid w:val="005E1CBE"/>
    <w:rsid w:val="005E1E92"/>
    <w:rsid w:val="005E1EEA"/>
    <w:rsid w:val="005E1F39"/>
    <w:rsid w:val="005E2429"/>
    <w:rsid w:val="005E24F0"/>
    <w:rsid w:val="005E24FF"/>
    <w:rsid w:val="005E25AE"/>
    <w:rsid w:val="005E2634"/>
    <w:rsid w:val="005E2669"/>
    <w:rsid w:val="005E267F"/>
    <w:rsid w:val="005E26A3"/>
    <w:rsid w:val="005E2773"/>
    <w:rsid w:val="005E27D4"/>
    <w:rsid w:val="005E291E"/>
    <w:rsid w:val="005E29DC"/>
    <w:rsid w:val="005E2A20"/>
    <w:rsid w:val="005E2B1E"/>
    <w:rsid w:val="005E2C05"/>
    <w:rsid w:val="005E2ECB"/>
    <w:rsid w:val="005E3029"/>
    <w:rsid w:val="005E3055"/>
    <w:rsid w:val="005E31AF"/>
    <w:rsid w:val="005E31B5"/>
    <w:rsid w:val="005E31CF"/>
    <w:rsid w:val="005E3320"/>
    <w:rsid w:val="005E33CC"/>
    <w:rsid w:val="005E350E"/>
    <w:rsid w:val="005E35C7"/>
    <w:rsid w:val="005E3738"/>
    <w:rsid w:val="005E3806"/>
    <w:rsid w:val="005E3A84"/>
    <w:rsid w:val="005E3BF9"/>
    <w:rsid w:val="005E3C61"/>
    <w:rsid w:val="005E3CA0"/>
    <w:rsid w:val="005E3F57"/>
    <w:rsid w:val="005E3FC8"/>
    <w:rsid w:val="005E3FE3"/>
    <w:rsid w:val="005E40AC"/>
    <w:rsid w:val="005E4237"/>
    <w:rsid w:val="005E444E"/>
    <w:rsid w:val="005E4451"/>
    <w:rsid w:val="005E4466"/>
    <w:rsid w:val="005E447E"/>
    <w:rsid w:val="005E457D"/>
    <w:rsid w:val="005E4687"/>
    <w:rsid w:val="005E4699"/>
    <w:rsid w:val="005E47BC"/>
    <w:rsid w:val="005E4908"/>
    <w:rsid w:val="005E4951"/>
    <w:rsid w:val="005E49E8"/>
    <w:rsid w:val="005E4A03"/>
    <w:rsid w:val="005E4BDC"/>
    <w:rsid w:val="005E4C5A"/>
    <w:rsid w:val="005E4D15"/>
    <w:rsid w:val="005E4FD1"/>
    <w:rsid w:val="005E4FD2"/>
    <w:rsid w:val="005E4FD8"/>
    <w:rsid w:val="005E4FE5"/>
    <w:rsid w:val="005E522B"/>
    <w:rsid w:val="005E537E"/>
    <w:rsid w:val="005E5446"/>
    <w:rsid w:val="005E54B7"/>
    <w:rsid w:val="005E54F6"/>
    <w:rsid w:val="005E5609"/>
    <w:rsid w:val="005E5715"/>
    <w:rsid w:val="005E5846"/>
    <w:rsid w:val="005E58B3"/>
    <w:rsid w:val="005E59D0"/>
    <w:rsid w:val="005E5A64"/>
    <w:rsid w:val="005E5CC4"/>
    <w:rsid w:val="005E5DE3"/>
    <w:rsid w:val="005E5E7A"/>
    <w:rsid w:val="005E5E87"/>
    <w:rsid w:val="005E604C"/>
    <w:rsid w:val="005E61F3"/>
    <w:rsid w:val="005E62B9"/>
    <w:rsid w:val="005E6366"/>
    <w:rsid w:val="005E63BC"/>
    <w:rsid w:val="005E6487"/>
    <w:rsid w:val="005E64FD"/>
    <w:rsid w:val="005E64FE"/>
    <w:rsid w:val="005E670A"/>
    <w:rsid w:val="005E6887"/>
    <w:rsid w:val="005E68D6"/>
    <w:rsid w:val="005E6AEA"/>
    <w:rsid w:val="005E6B98"/>
    <w:rsid w:val="005E6D06"/>
    <w:rsid w:val="005E6EA7"/>
    <w:rsid w:val="005E6FBE"/>
    <w:rsid w:val="005E706F"/>
    <w:rsid w:val="005E731C"/>
    <w:rsid w:val="005E7321"/>
    <w:rsid w:val="005E7329"/>
    <w:rsid w:val="005E73B2"/>
    <w:rsid w:val="005E7475"/>
    <w:rsid w:val="005E74FF"/>
    <w:rsid w:val="005E752E"/>
    <w:rsid w:val="005E75C1"/>
    <w:rsid w:val="005E77BA"/>
    <w:rsid w:val="005E7820"/>
    <w:rsid w:val="005E79ED"/>
    <w:rsid w:val="005E7C76"/>
    <w:rsid w:val="005E7C89"/>
    <w:rsid w:val="005E7E03"/>
    <w:rsid w:val="005F00D6"/>
    <w:rsid w:val="005F0225"/>
    <w:rsid w:val="005F036C"/>
    <w:rsid w:val="005F0471"/>
    <w:rsid w:val="005F04BA"/>
    <w:rsid w:val="005F05A7"/>
    <w:rsid w:val="005F0602"/>
    <w:rsid w:val="005F0649"/>
    <w:rsid w:val="005F0775"/>
    <w:rsid w:val="005F096C"/>
    <w:rsid w:val="005F0A14"/>
    <w:rsid w:val="005F0A31"/>
    <w:rsid w:val="005F0CF5"/>
    <w:rsid w:val="005F0DC3"/>
    <w:rsid w:val="005F0E09"/>
    <w:rsid w:val="005F0EA5"/>
    <w:rsid w:val="005F102B"/>
    <w:rsid w:val="005F1185"/>
    <w:rsid w:val="005F119C"/>
    <w:rsid w:val="005F11DA"/>
    <w:rsid w:val="005F1317"/>
    <w:rsid w:val="005F159A"/>
    <w:rsid w:val="005F173B"/>
    <w:rsid w:val="005F1743"/>
    <w:rsid w:val="005F18BE"/>
    <w:rsid w:val="005F19F4"/>
    <w:rsid w:val="005F1A90"/>
    <w:rsid w:val="005F1C2A"/>
    <w:rsid w:val="005F1FD9"/>
    <w:rsid w:val="005F2039"/>
    <w:rsid w:val="005F2122"/>
    <w:rsid w:val="005F21A8"/>
    <w:rsid w:val="005F21EB"/>
    <w:rsid w:val="005F222F"/>
    <w:rsid w:val="005F22F1"/>
    <w:rsid w:val="005F23B7"/>
    <w:rsid w:val="005F250E"/>
    <w:rsid w:val="005F253B"/>
    <w:rsid w:val="005F264C"/>
    <w:rsid w:val="005F2997"/>
    <w:rsid w:val="005F2A48"/>
    <w:rsid w:val="005F2BD4"/>
    <w:rsid w:val="005F2BFC"/>
    <w:rsid w:val="005F2D36"/>
    <w:rsid w:val="005F2D3F"/>
    <w:rsid w:val="005F2D64"/>
    <w:rsid w:val="005F2FDA"/>
    <w:rsid w:val="005F317C"/>
    <w:rsid w:val="005F3195"/>
    <w:rsid w:val="005F322C"/>
    <w:rsid w:val="005F3271"/>
    <w:rsid w:val="005F327D"/>
    <w:rsid w:val="005F32DB"/>
    <w:rsid w:val="005F3327"/>
    <w:rsid w:val="005F336C"/>
    <w:rsid w:val="005F352F"/>
    <w:rsid w:val="005F3673"/>
    <w:rsid w:val="005F36FA"/>
    <w:rsid w:val="005F3794"/>
    <w:rsid w:val="005F381A"/>
    <w:rsid w:val="005F3904"/>
    <w:rsid w:val="005F39F5"/>
    <w:rsid w:val="005F3A76"/>
    <w:rsid w:val="005F3B15"/>
    <w:rsid w:val="005F3B2E"/>
    <w:rsid w:val="005F3C6D"/>
    <w:rsid w:val="005F3CC1"/>
    <w:rsid w:val="005F3DC0"/>
    <w:rsid w:val="005F3DF0"/>
    <w:rsid w:val="005F3E33"/>
    <w:rsid w:val="005F407B"/>
    <w:rsid w:val="005F40C0"/>
    <w:rsid w:val="005F418A"/>
    <w:rsid w:val="005F4191"/>
    <w:rsid w:val="005F41AB"/>
    <w:rsid w:val="005F43B3"/>
    <w:rsid w:val="005F43BA"/>
    <w:rsid w:val="005F45D0"/>
    <w:rsid w:val="005F45E1"/>
    <w:rsid w:val="005F46A5"/>
    <w:rsid w:val="005F46E5"/>
    <w:rsid w:val="005F477E"/>
    <w:rsid w:val="005F4789"/>
    <w:rsid w:val="005F4859"/>
    <w:rsid w:val="005F4913"/>
    <w:rsid w:val="005F4941"/>
    <w:rsid w:val="005F4BB1"/>
    <w:rsid w:val="005F4BCD"/>
    <w:rsid w:val="005F4BD6"/>
    <w:rsid w:val="005F4C7C"/>
    <w:rsid w:val="005F4E33"/>
    <w:rsid w:val="005F4E90"/>
    <w:rsid w:val="005F4EC1"/>
    <w:rsid w:val="005F4F19"/>
    <w:rsid w:val="005F4F51"/>
    <w:rsid w:val="005F51A1"/>
    <w:rsid w:val="005F52D3"/>
    <w:rsid w:val="005F54F7"/>
    <w:rsid w:val="005F55A5"/>
    <w:rsid w:val="005F55F2"/>
    <w:rsid w:val="005F569D"/>
    <w:rsid w:val="005F56F1"/>
    <w:rsid w:val="005F5771"/>
    <w:rsid w:val="005F5774"/>
    <w:rsid w:val="005F5795"/>
    <w:rsid w:val="005F57E7"/>
    <w:rsid w:val="005F57FF"/>
    <w:rsid w:val="005F5868"/>
    <w:rsid w:val="005F5903"/>
    <w:rsid w:val="005F59B9"/>
    <w:rsid w:val="005F5A56"/>
    <w:rsid w:val="005F5ACE"/>
    <w:rsid w:val="005F5B59"/>
    <w:rsid w:val="005F5BD5"/>
    <w:rsid w:val="005F5CBC"/>
    <w:rsid w:val="005F5CC4"/>
    <w:rsid w:val="005F5CD6"/>
    <w:rsid w:val="005F5D0F"/>
    <w:rsid w:val="005F5EB0"/>
    <w:rsid w:val="005F5F87"/>
    <w:rsid w:val="005F60B6"/>
    <w:rsid w:val="005F6288"/>
    <w:rsid w:val="005F6326"/>
    <w:rsid w:val="005F6437"/>
    <w:rsid w:val="005F6466"/>
    <w:rsid w:val="005F64CF"/>
    <w:rsid w:val="005F6631"/>
    <w:rsid w:val="005F6634"/>
    <w:rsid w:val="005F6748"/>
    <w:rsid w:val="005F6757"/>
    <w:rsid w:val="005F67B1"/>
    <w:rsid w:val="005F688D"/>
    <w:rsid w:val="005F69BD"/>
    <w:rsid w:val="005F6A9C"/>
    <w:rsid w:val="005F6AB2"/>
    <w:rsid w:val="005F6CEA"/>
    <w:rsid w:val="005F6D5F"/>
    <w:rsid w:val="005F6DE5"/>
    <w:rsid w:val="005F6F4D"/>
    <w:rsid w:val="005F6F62"/>
    <w:rsid w:val="005F6F6B"/>
    <w:rsid w:val="005F707C"/>
    <w:rsid w:val="005F70DA"/>
    <w:rsid w:val="005F710F"/>
    <w:rsid w:val="005F73D4"/>
    <w:rsid w:val="005F74D0"/>
    <w:rsid w:val="005F74D3"/>
    <w:rsid w:val="005F74E9"/>
    <w:rsid w:val="005F75D0"/>
    <w:rsid w:val="005F763C"/>
    <w:rsid w:val="005F777E"/>
    <w:rsid w:val="005F7965"/>
    <w:rsid w:val="005F796F"/>
    <w:rsid w:val="005F7A07"/>
    <w:rsid w:val="005F7AE2"/>
    <w:rsid w:val="005F7B4A"/>
    <w:rsid w:val="005F7B8B"/>
    <w:rsid w:val="005F7BAF"/>
    <w:rsid w:val="005F7C29"/>
    <w:rsid w:val="005F7C3B"/>
    <w:rsid w:val="005F7C56"/>
    <w:rsid w:val="005F7C6D"/>
    <w:rsid w:val="005F7E38"/>
    <w:rsid w:val="005F7F43"/>
    <w:rsid w:val="006000DD"/>
    <w:rsid w:val="006000FB"/>
    <w:rsid w:val="0060011B"/>
    <w:rsid w:val="00600166"/>
    <w:rsid w:val="006001B6"/>
    <w:rsid w:val="0060035A"/>
    <w:rsid w:val="006004D3"/>
    <w:rsid w:val="0060068A"/>
    <w:rsid w:val="00600692"/>
    <w:rsid w:val="00600924"/>
    <w:rsid w:val="00600990"/>
    <w:rsid w:val="006009D7"/>
    <w:rsid w:val="006009DC"/>
    <w:rsid w:val="00600A67"/>
    <w:rsid w:val="00600B11"/>
    <w:rsid w:val="00600E6D"/>
    <w:rsid w:val="00600FE8"/>
    <w:rsid w:val="0060104A"/>
    <w:rsid w:val="006010FB"/>
    <w:rsid w:val="0060113C"/>
    <w:rsid w:val="0060114E"/>
    <w:rsid w:val="00601271"/>
    <w:rsid w:val="0060161E"/>
    <w:rsid w:val="00601715"/>
    <w:rsid w:val="006017CC"/>
    <w:rsid w:val="00601827"/>
    <w:rsid w:val="006018EC"/>
    <w:rsid w:val="0060196F"/>
    <w:rsid w:val="00601BED"/>
    <w:rsid w:val="00601D28"/>
    <w:rsid w:val="00601D68"/>
    <w:rsid w:val="00601E0C"/>
    <w:rsid w:val="00601E52"/>
    <w:rsid w:val="00601F00"/>
    <w:rsid w:val="00601F26"/>
    <w:rsid w:val="006020E3"/>
    <w:rsid w:val="00602388"/>
    <w:rsid w:val="0060240B"/>
    <w:rsid w:val="006024D6"/>
    <w:rsid w:val="006025A3"/>
    <w:rsid w:val="006026EE"/>
    <w:rsid w:val="006027D7"/>
    <w:rsid w:val="00602897"/>
    <w:rsid w:val="00602A0A"/>
    <w:rsid w:val="00602C83"/>
    <w:rsid w:val="00602CDA"/>
    <w:rsid w:val="00602D8F"/>
    <w:rsid w:val="00602DD6"/>
    <w:rsid w:val="00602E01"/>
    <w:rsid w:val="00602E3F"/>
    <w:rsid w:val="00602ED8"/>
    <w:rsid w:val="00603590"/>
    <w:rsid w:val="0060362B"/>
    <w:rsid w:val="006036EF"/>
    <w:rsid w:val="00603817"/>
    <w:rsid w:val="006039C0"/>
    <w:rsid w:val="00603A22"/>
    <w:rsid w:val="00603BFD"/>
    <w:rsid w:val="00603C12"/>
    <w:rsid w:val="00603C83"/>
    <w:rsid w:val="00603EE1"/>
    <w:rsid w:val="00603F6B"/>
    <w:rsid w:val="00603F7B"/>
    <w:rsid w:val="00603FF9"/>
    <w:rsid w:val="0060414F"/>
    <w:rsid w:val="00604181"/>
    <w:rsid w:val="006041AD"/>
    <w:rsid w:val="00604207"/>
    <w:rsid w:val="0060426F"/>
    <w:rsid w:val="00604355"/>
    <w:rsid w:val="00604403"/>
    <w:rsid w:val="0060450C"/>
    <w:rsid w:val="00604540"/>
    <w:rsid w:val="006045E6"/>
    <w:rsid w:val="006047E1"/>
    <w:rsid w:val="00604961"/>
    <w:rsid w:val="00604AA1"/>
    <w:rsid w:val="00604AFC"/>
    <w:rsid w:val="00604EFE"/>
    <w:rsid w:val="00605032"/>
    <w:rsid w:val="0060507D"/>
    <w:rsid w:val="00605246"/>
    <w:rsid w:val="00605279"/>
    <w:rsid w:val="006052D1"/>
    <w:rsid w:val="006052D2"/>
    <w:rsid w:val="00605399"/>
    <w:rsid w:val="0060550D"/>
    <w:rsid w:val="00605659"/>
    <w:rsid w:val="0060565A"/>
    <w:rsid w:val="0060565D"/>
    <w:rsid w:val="00605677"/>
    <w:rsid w:val="006057AA"/>
    <w:rsid w:val="0060583D"/>
    <w:rsid w:val="00605857"/>
    <w:rsid w:val="006058CA"/>
    <w:rsid w:val="00605908"/>
    <w:rsid w:val="0060590E"/>
    <w:rsid w:val="006059B3"/>
    <w:rsid w:val="00605AAE"/>
    <w:rsid w:val="00605AD7"/>
    <w:rsid w:val="00605B80"/>
    <w:rsid w:val="00605C02"/>
    <w:rsid w:val="00605DF3"/>
    <w:rsid w:val="00605E98"/>
    <w:rsid w:val="006060B8"/>
    <w:rsid w:val="00606147"/>
    <w:rsid w:val="00606184"/>
    <w:rsid w:val="00606407"/>
    <w:rsid w:val="00606446"/>
    <w:rsid w:val="00606671"/>
    <w:rsid w:val="0060671B"/>
    <w:rsid w:val="006067B4"/>
    <w:rsid w:val="006068AE"/>
    <w:rsid w:val="006068D1"/>
    <w:rsid w:val="006069C2"/>
    <w:rsid w:val="00606A96"/>
    <w:rsid w:val="00606AF9"/>
    <w:rsid w:val="00606B9B"/>
    <w:rsid w:val="00606BD2"/>
    <w:rsid w:val="00606CEF"/>
    <w:rsid w:val="00606D8B"/>
    <w:rsid w:val="00606DC6"/>
    <w:rsid w:val="00606E38"/>
    <w:rsid w:val="00606EE3"/>
    <w:rsid w:val="006073F8"/>
    <w:rsid w:val="006075BC"/>
    <w:rsid w:val="006075F1"/>
    <w:rsid w:val="006077B2"/>
    <w:rsid w:val="006077BF"/>
    <w:rsid w:val="00607850"/>
    <w:rsid w:val="00607A47"/>
    <w:rsid w:val="00607C12"/>
    <w:rsid w:val="00607CA8"/>
    <w:rsid w:val="00607CD6"/>
    <w:rsid w:val="00607EC2"/>
    <w:rsid w:val="00607EF7"/>
    <w:rsid w:val="0061002D"/>
    <w:rsid w:val="00610053"/>
    <w:rsid w:val="006101AA"/>
    <w:rsid w:val="006102EF"/>
    <w:rsid w:val="006104BA"/>
    <w:rsid w:val="00610878"/>
    <w:rsid w:val="00610A66"/>
    <w:rsid w:val="00610AB4"/>
    <w:rsid w:val="00610B89"/>
    <w:rsid w:val="00610B8E"/>
    <w:rsid w:val="00610B97"/>
    <w:rsid w:val="00610D7C"/>
    <w:rsid w:val="00610F85"/>
    <w:rsid w:val="006110C8"/>
    <w:rsid w:val="006110CF"/>
    <w:rsid w:val="0061111A"/>
    <w:rsid w:val="0061129F"/>
    <w:rsid w:val="006112B7"/>
    <w:rsid w:val="006113C5"/>
    <w:rsid w:val="006113C9"/>
    <w:rsid w:val="0061143A"/>
    <w:rsid w:val="00611553"/>
    <w:rsid w:val="0061156E"/>
    <w:rsid w:val="00611584"/>
    <w:rsid w:val="00611696"/>
    <w:rsid w:val="006116FC"/>
    <w:rsid w:val="006117B3"/>
    <w:rsid w:val="00611902"/>
    <w:rsid w:val="0061192C"/>
    <w:rsid w:val="0061197C"/>
    <w:rsid w:val="00611AA0"/>
    <w:rsid w:val="00611C60"/>
    <w:rsid w:val="00611C77"/>
    <w:rsid w:val="00611FF5"/>
    <w:rsid w:val="00612000"/>
    <w:rsid w:val="0061203C"/>
    <w:rsid w:val="006120F9"/>
    <w:rsid w:val="00612195"/>
    <w:rsid w:val="006121D8"/>
    <w:rsid w:val="00612215"/>
    <w:rsid w:val="0061223C"/>
    <w:rsid w:val="00612385"/>
    <w:rsid w:val="00612773"/>
    <w:rsid w:val="006127A8"/>
    <w:rsid w:val="006127CF"/>
    <w:rsid w:val="00612819"/>
    <w:rsid w:val="006128FF"/>
    <w:rsid w:val="006129B2"/>
    <w:rsid w:val="00612A4B"/>
    <w:rsid w:val="00612C9D"/>
    <w:rsid w:val="00612CBC"/>
    <w:rsid w:val="00612F03"/>
    <w:rsid w:val="00612F37"/>
    <w:rsid w:val="00613058"/>
    <w:rsid w:val="006131FD"/>
    <w:rsid w:val="00613254"/>
    <w:rsid w:val="00613388"/>
    <w:rsid w:val="00613391"/>
    <w:rsid w:val="00613414"/>
    <w:rsid w:val="006134BD"/>
    <w:rsid w:val="00613648"/>
    <w:rsid w:val="00613704"/>
    <w:rsid w:val="00613733"/>
    <w:rsid w:val="0061384C"/>
    <w:rsid w:val="0061384F"/>
    <w:rsid w:val="00613899"/>
    <w:rsid w:val="0061398E"/>
    <w:rsid w:val="00613A16"/>
    <w:rsid w:val="00613AD2"/>
    <w:rsid w:val="00613C19"/>
    <w:rsid w:val="00613CB5"/>
    <w:rsid w:val="00613D29"/>
    <w:rsid w:val="00613E10"/>
    <w:rsid w:val="00613FF2"/>
    <w:rsid w:val="00614001"/>
    <w:rsid w:val="00614197"/>
    <w:rsid w:val="0061446D"/>
    <w:rsid w:val="0061454E"/>
    <w:rsid w:val="00614653"/>
    <w:rsid w:val="00614665"/>
    <w:rsid w:val="00614692"/>
    <w:rsid w:val="0061479E"/>
    <w:rsid w:val="006148DB"/>
    <w:rsid w:val="0061490D"/>
    <w:rsid w:val="006149D4"/>
    <w:rsid w:val="00614A24"/>
    <w:rsid w:val="00614BC2"/>
    <w:rsid w:val="00614C30"/>
    <w:rsid w:val="00614CB6"/>
    <w:rsid w:val="00614EA0"/>
    <w:rsid w:val="00614EBC"/>
    <w:rsid w:val="00615086"/>
    <w:rsid w:val="006150AD"/>
    <w:rsid w:val="00615240"/>
    <w:rsid w:val="00615269"/>
    <w:rsid w:val="00615363"/>
    <w:rsid w:val="0061540A"/>
    <w:rsid w:val="0061545B"/>
    <w:rsid w:val="00615550"/>
    <w:rsid w:val="006157FB"/>
    <w:rsid w:val="0061587C"/>
    <w:rsid w:val="00615950"/>
    <w:rsid w:val="00615AB3"/>
    <w:rsid w:val="00615CC9"/>
    <w:rsid w:val="00615D35"/>
    <w:rsid w:val="00615D76"/>
    <w:rsid w:val="00615F4C"/>
    <w:rsid w:val="00615FFB"/>
    <w:rsid w:val="0061610A"/>
    <w:rsid w:val="006161B5"/>
    <w:rsid w:val="006161FE"/>
    <w:rsid w:val="00616296"/>
    <w:rsid w:val="0061633A"/>
    <w:rsid w:val="00616381"/>
    <w:rsid w:val="00616567"/>
    <w:rsid w:val="006165A8"/>
    <w:rsid w:val="006165C9"/>
    <w:rsid w:val="00616682"/>
    <w:rsid w:val="006166FB"/>
    <w:rsid w:val="006168C3"/>
    <w:rsid w:val="0061691D"/>
    <w:rsid w:val="00616A1C"/>
    <w:rsid w:val="00616C73"/>
    <w:rsid w:val="00616CA4"/>
    <w:rsid w:val="00616E9A"/>
    <w:rsid w:val="00617131"/>
    <w:rsid w:val="0061713B"/>
    <w:rsid w:val="00617236"/>
    <w:rsid w:val="006172EA"/>
    <w:rsid w:val="00617350"/>
    <w:rsid w:val="0061744C"/>
    <w:rsid w:val="0061755F"/>
    <w:rsid w:val="00617560"/>
    <w:rsid w:val="006175A2"/>
    <w:rsid w:val="006175CB"/>
    <w:rsid w:val="0061776F"/>
    <w:rsid w:val="006177F0"/>
    <w:rsid w:val="0061784D"/>
    <w:rsid w:val="0061785E"/>
    <w:rsid w:val="006178B5"/>
    <w:rsid w:val="0061794F"/>
    <w:rsid w:val="0061795B"/>
    <w:rsid w:val="00617973"/>
    <w:rsid w:val="00617999"/>
    <w:rsid w:val="006179B1"/>
    <w:rsid w:val="00617A2E"/>
    <w:rsid w:val="00617A43"/>
    <w:rsid w:val="00617B1B"/>
    <w:rsid w:val="00617B38"/>
    <w:rsid w:val="00617B41"/>
    <w:rsid w:val="00617BCF"/>
    <w:rsid w:val="00617C07"/>
    <w:rsid w:val="00617CA7"/>
    <w:rsid w:val="00617DA8"/>
    <w:rsid w:val="00617DF5"/>
    <w:rsid w:val="00617E60"/>
    <w:rsid w:val="00617E75"/>
    <w:rsid w:val="00617F54"/>
    <w:rsid w:val="00620011"/>
    <w:rsid w:val="00620154"/>
    <w:rsid w:val="00620228"/>
    <w:rsid w:val="00620328"/>
    <w:rsid w:val="00620405"/>
    <w:rsid w:val="006204A4"/>
    <w:rsid w:val="00620673"/>
    <w:rsid w:val="006206E1"/>
    <w:rsid w:val="0062072F"/>
    <w:rsid w:val="00620749"/>
    <w:rsid w:val="006208BE"/>
    <w:rsid w:val="006209F7"/>
    <w:rsid w:val="00620AA3"/>
    <w:rsid w:val="00620AA4"/>
    <w:rsid w:val="00620AF0"/>
    <w:rsid w:val="00620B3F"/>
    <w:rsid w:val="00620B5B"/>
    <w:rsid w:val="00620C40"/>
    <w:rsid w:val="00620D7B"/>
    <w:rsid w:val="00620DF0"/>
    <w:rsid w:val="00620E1C"/>
    <w:rsid w:val="00620E3D"/>
    <w:rsid w:val="0062100E"/>
    <w:rsid w:val="0062103F"/>
    <w:rsid w:val="006210C1"/>
    <w:rsid w:val="0062139E"/>
    <w:rsid w:val="006213C5"/>
    <w:rsid w:val="006213FB"/>
    <w:rsid w:val="00621747"/>
    <w:rsid w:val="00621855"/>
    <w:rsid w:val="00621867"/>
    <w:rsid w:val="00621924"/>
    <w:rsid w:val="00621A2D"/>
    <w:rsid w:val="00621EC6"/>
    <w:rsid w:val="0062207D"/>
    <w:rsid w:val="00622086"/>
    <w:rsid w:val="00622149"/>
    <w:rsid w:val="006223DE"/>
    <w:rsid w:val="0062249D"/>
    <w:rsid w:val="00622704"/>
    <w:rsid w:val="00622947"/>
    <w:rsid w:val="00622948"/>
    <w:rsid w:val="00622A67"/>
    <w:rsid w:val="00622A70"/>
    <w:rsid w:val="00622BBE"/>
    <w:rsid w:val="00622BFC"/>
    <w:rsid w:val="00622C1A"/>
    <w:rsid w:val="00622CEE"/>
    <w:rsid w:val="00622DEB"/>
    <w:rsid w:val="00622E22"/>
    <w:rsid w:val="00622F32"/>
    <w:rsid w:val="0062306B"/>
    <w:rsid w:val="006230C7"/>
    <w:rsid w:val="0062315F"/>
    <w:rsid w:val="00623382"/>
    <w:rsid w:val="0062341A"/>
    <w:rsid w:val="00623438"/>
    <w:rsid w:val="0062361F"/>
    <w:rsid w:val="00623626"/>
    <w:rsid w:val="0062368F"/>
    <w:rsid w:val="00623742"/>
    <w:rsid w:val="0062376B"/>
    <w:rsid w:val="006237DD"/>
    <w:rsid w:val="006237E5"/>
    <w:rsid w:val="00623808"/>
    <w:rsid w:val="00623854"/>
    <w:rsid w:val="00623B09"/>
    <w:rsid w:val="00623B29"/>
    <w:rsid w:val="00623CC1"/>
    <w:rsid w:val="00623D0B"/>
    <w:rsid w:val="00623D47"/>
    <w:rsid w:val="00623E32"/>
    <w:rsid w:val="00623EA3"/>
    <w:rsid w:val="00623F94"/>
    <w:rsid w:val="00623FF2"/>
    <w:rsid w:val="00624021"/>
    <w:rsid w:val="00624044"/>
    <w:rsid w:val="00624073"/>
    <w:rsid w:val="0062408D"/>
    <w:rsid w:val="006240BE"/>
    <w:rsid w:val="006240CC"/>
    <w:rsid w:val="00624182"/>
    <w:rsid w:val="00624208"/>
    <w:rsid w:val="006244B5"/>
    <w:rsid w:val="006244C0"/>
    <w:rsid w:val="00624577"/>
    <w:rsid w:val="006245DE"/>
    <w:rsid w:val="00624680"/>
    <w:rsid w:val="006247BA"/>
    <w:rsid w:val="00624940"/>
    <w:rsid w:val="0062499A"/>
    <w:rsid w:val="00624BC1"/>
    <w:rsid w:val="0062504C"/>
    <w:rsid w:val="0062507F"/>
    <w:rsid w:val="00625367"/>
    <w:rsid w:val="006253D4"/>
    <w:rsid w:val="00625405"/>
    <w:rsid w:val="00625435"/>
    <w:rsid w:val="006254F8"/>
    <w:rsid w:val="006255FC"/>
    <w:rsid w:val="0062561E"/>
    <w:rsid w:val="00625735"/>
    <w:rsid w:val="0062584E"/>
    <w:rsid w:val="0062584F"/>
    <w:rsid w:val="006259FF"/>
    <w:rsid w:val="00625AC5"/>
    <w:rsid w:val="00625ADB"/>
    <w:rsid w:val="00625B93"/>
    <w:rsid w:val="00625BB8"/>
    <w:rsid w:val="00625BDA"/>
    <w:rsid w:val="00625C4F"/>
    <w:rsid w:val="00625E92"/>
    <w:rsid w:val="0062614B"/>
    <w:rsid w:val="0062615B"/>
    <w:rsid w:val="006261BB"/>
    <w:rsid w:val="00626290"/>
    <w:rsid w:val="0062643A"/>
    <w:rsid w:val="006264AD"/>
    <w:rsid w:val="006266BE"/>
    <w:rsid w:val="006266CE"/>
    <w:rsid w:val="006266E1"/>
    <w:rsid w:val="00626759"/>
    <w:rsid w:val="006267F1"/>
    <w:rsid w:val="006268D8"/>
    <w:rsid w:val="0062692B"/>
    <w:rsid w:val="0062693C"/>
    <w:rsid w:val="006269B1"/>
    <w:rsid w:val="00626C88"/>
    <w:rsid w:val="00626F1A"/>
    <w:rsid w:val="00626FD7"/>
    <w:rsid w:val="00627010"/>
    <w:rsid w:val="00627089"/>
    <w:rsid w:val="00627129"/>
    <w:rsid w:val="0062727D"/>
    <w:rsid w:val="006274DC"/>
    <w:rsid w:val="006275F1"/>
    <w:rsid w:val="006276DF"/>
    <w:rsid w:val="00627ADE"/>
    <w:rsid w:val="00627B17"/>
    <w:rsid w:val="00627C69"/>
    <w:rsid w:val="00627C9F"/>
    <w:rsid w:val="00627CEE"/>
    <w:rsid w:val="00627DA7"/>
    <w:rsid w:val="00627E80"/>
    <w:rsid w:val="00627EDE"/>
    <w:rsid w:val="00627F24"/>
    <w:rsid w:val="00630166"/>
    <w:rsid w:val="00630221"/>
    <w:rsid w:val="00630255"/>
    <w:rsid w:val="0063028B"/>
    <w:rsid w:val="006302A7"/>
    <w:rsid w:val="006303BD"/>
    <w:rsid w:val="0063043D"/>
    <w:rsid w:val="0063044C"/>
    <w:rsid w:val="00630473"/>
    <w:rsid w:val="006305C7"/>
    <w:rsid w:val="006305F3"/>
    <w:rsid w:val="0063064C"/>
    <w:rsid w:val="00630654"/>
    <w:rsid w:val="006306C5"/>
    <w:rsid w:val="006306D7"/>
    <w:rsid w:val="006307AB"/>
    <w:rsid w:val="006308C0"/>
    <w:rsid w:val="006308C5"/>
    <w:rsid w:val="006308DE"/>
    <w:rsid w:val="00630B3B"/>
    <w:rsid w:val="00630BE1"/>
    <w:rsid w:val="00630C02"/>
    <w:rsid w:val="00630C80"/>
    <w:rsid w:val="00630DA4"/>
    <w:rsid w:val="00630DFE"/>
    <w:rsid w:val="00630E0D"/>
    <w:rsid w:val="00631108"/>
    <w:rsid w:val="0063116E"/>
    <w:rsid w:val="006312E3"/>
    <w:rsid w:val="006312FF"/>
    <w:rsid w:val="0063132A"/>
    <w:rsid w:val="0063149A"/>
    <w:rsid w:val="006314B8"/>
    <w:rsid w:val="00631636"/>
    <w:rsid w:val="00631721"/>
    <w:rsid w:val="006317B9"/>
    <w:rsid w:val="00631867"/>
    <w:rsid w:val="00631945"/>
    <w:rsid w:val="00631959"/>
    <w:rsid w:val="00631970"/>
    <w:rsid w:val="006319EF"/>
    <w:rsid w:val="00631AAB"/>
    <w:rsid w:val="00631B04"/>
    <w:rsid w:val="00631C20"/>
    <w:rsid w:val="00631CC8"/>
    <w:rsid w:val="00631CD4"/>
    <w:rsid w:val="00631D7B"/>
    <w:rsid w:val="00631DDD"/>
    <w:rsid w:val="00631E2B"/>
    <w:rsid w:val="00631F12"/>
    <w:rsid w:val="00631F4C"/>
    <w:rsid w:val="00631FA7"/>
    <w:rsid w:val="0063213E"/>
    <w:rsid w:val="00632159"/>
    <w:rsid w:val="006323F5"/>
    <w:rsid w:val="0063244E"/>
    <w:rsid w:val="00632597"/>
    <w:rsid w:val="006325BD"/>
    <w:rsid w:val="00632816"/>
    <w:rsid w:val="0063296C"/>
    <w:rsid w:val="0063296E"/>
    <w:rsid w:val="006329F1"/>
    <w:rsid w:val="006329F7"/>
    <w:rsid w:val="00632B1A"/>
    <w:rsid w:val="00632B32"/>
    <w:rsid w:val="00632BF9"/>
    <w:rsid w:val="00632D2F"/>
    <w:rsid w:val="00632D55"/>
    <w:rsid w:val="00632D92"/>
    <w:rsid w:val="00632DBC"/>
    <w:rsid w:val="00632DF3"/>
    <w:rsid w:val="00632E77"/>
    <w:rsid w:val="00632EA1"/>
    <w:rsid w:val="00632EB7"/>
    <w:rsid w:val="00632F39"/>
    <w:rsid w:val="00632FAF"/>
    <w:rsid w:val="00633029"/>
    <w:rsid w:val="006332F8"/>
    <w:rsid w:val="00633775"/>
    <w:rsid w:val="00633851"/>
    <w:rsid w:val="0063394F"/>
    <w:rsid w:val="00633AC5"/>
    <w:rsid w:val="00634013"/>
    <w:rsid w:val="00634104"/>
    <w:rsid w:val="006341B4"/>
    <w:rsid w:val="006341EA"/>
    <w:rsid w:val="006342BD"/>
    <w:rsid w:val="0063432D"/>
    <w:rsid w:val="006343B2"/>
    <w:rsid w:val="00634406"/>
    <w:rsid w:val="00634521"/>
    <w:rsid w:val="00634591"/>
    <w:rsid w:val="006346A7"/>
    <w:rsid w:val="0063477C"/>
    <w:rsid w:val="0063484D"/>
    <w:rsid w:val="00634866"/>
    <w:rsid w:val="0063489D"/>
    <w:rsid w:val="006348AD"/>
    <w:rsid w:val="0063491B"/>
    <w:rsid w:val="00634A0A"/>
    <w:rsid w:val="00634A4E"/>
    <w:rsid w:val="00634C7E"/>
    <w:rsid w:val="00634C88"/>
    <w:rsid w:val="00634CED"/>
    <w:rsid w:val="00634CF0"/>
    <w:rsid w:val="00634D13"/>
    <w:rsid w:val="00634D7B"/>
    <w:rsid w:val="00634DD0"/>
    <w:rsid w:val="00634E04"/>
    <w:rsid w:val="00634E0B"/>
    <w:rsid w:val="00634FB2"/>
    <w:rsid w:val="00635047"/>
    <w:rsid w:val="006351C9"/>
    <w:rsid w:val="00635230"/>
    <w:rsid w:val="0063527A"/>
    <w:rsid w:val="006353E8"/>
    <w:rsid w:val="006354C6"/>
    <w:rsid w:val="006354E2"/>
    <w:rsid w:val="0063555D"/>
    <w:rsid w:val="006356A4"/>
    <w:rsid w:val="0063578A"/>
    <w:rsid w:val="006357C8"/>
    <w:rsid w:val="00635870"/>
    <w:rsid w:val="006358A3"/>
    <w:rsid w:val="006358B4"/>
    <w:rsid w:val="00635AB9"/>
    <w:rsid w:val="00635C6A"/>
    <w:rsid w:val="00635D29"/>
    <w:rsid w:val="00635DE9"/>
    <w:rsid w:val="00635F4C"/>
    <w:rsid w:val="00636008"/>
    <w:rsid w:val="0063606F"/>
    <w:rsid w:val="0063607D"/>
    <w:rsid w:val="00636091"/>
    <w:rsid w:val="00636176"/>
    <w:rsid w:val="00636209"/>
    <w:rsid w:val="006362AE"/>
    <w:rsid w:val="006362FB"/>
    <w:rsid w:val="0063637B"/>
    <w:rsid w:val="006364DF"/>
    <w:rsid w:val="006365EA"/>
    <w:rsid w:val="00636761"/>
    <w:rsid w:val="00636861"/>
    <w:rsid w:val="0063687F"/>
    <w:rsid w:val="00636A4B"/>
    <w:rsid w:val="00636B80"/>
    <w:rsid w:val="00636D73"/>
    <w:rsid w:val="00636E51"/>
    <w:rsid w:val="00637220"/>
    <w:rsid w:val="00637223"/>
    <w:rsid w:val="0063728F"/>
    <w:rsid w:val="00637330"/>
    <w:rsid w:val="00637577"/>
    <w:rsid w:val="0063762B"/>
    <w:rsid w:val="006376C6"/>
    <w:rsid w:val="006377BE"/>
    <w:rsid w:val="006377EF"/>
    <w:rsid w:val="006379C2"/>
    <w:rsid w:val="00637A25"/>
    <w:rsid w:val="00637BE2"/>
    <w:rsid w:val="00637BEE"/>
    <w:rsid w:val="00637C84"/>
    <w:rsid w:val="00637E18"/>
    <w:rsid w:val="00637F98"/>
    <w:rsid w:val="00640044"/>
    <w:rsid w:val="006400CE"/>
    <w:rsid w:val="0064033E"/>
    <w:rsid w:val="00640370"/>
    <w:rsid w:val="0064048A"/>
    <w:rsid w:val="00640588"/>
    <w:rsid w:val="00640593"/>
    <w:rsid w:val="00640772"/>
    <w:rsid w:val="00640781"/>
    <w:rsid w:val="006407DE"/>
    <w:rsid w:val="00640862"/>
    <w:rsid w:val="0064087A"/>
    <w:rsid w:val="00640923"/>
    <w:rsid w:val="006409F5"/>
    <w:rsid w:val="00640A20"/>
    <w:rsid w:val="00640A2C"/>
    <w:rsid w:val="00640A31"/>
    <w:rsid w:val="00640AEC"/>
    <w:rsid w:val="00640C09"/>
    <w:rsid w:val="00640C63"/>
    <w:rsid w:val="00640D0D"/>
    <w:rsid w:val="00640EBE"/>
    <w:rsid w:val="00640F39"/>
    <w:rsid w:val="00640F3E"/>
    <w:rsid w:val="00641093"/>
    <w:rsid w:val="006410DE"/>
    <w:rsid w:val="006410F3"/>
    <w:rsid w:val="006410F7"/>
    <w:rsid w:val="0064118F"/>
    <w:rsid w:val="006411E3"/>
    <w:rsid w:val="00641360"/>
    <w:rsid w:val="00641550"/>
    <w:rsid w:val="006416A9"/>
    <w:rsid w:val="00641724"/>
    <w:rsid w:val="00641764"/>
    <w:rsid w:val="006419AA"/>
    <w:rsid w:val="006419DA"/>
    <w:rsid w:val="006419E6"/>
    <w:rsid w:val="00641AF4"/>
    <w:rsid w:val="00641B06"/>
    <w:rsid w:val="00641B2C"/>
    <w:rsid w:val="00641B99"/>
    <w:rsid w:val="00641C0C"/>
    <w:rsid w:val="00641C0D"/>
    <w:rsid w:val="00641C90"/>
    <w:rsid w:val="00641DD7"/>
    <w:rsid w:val="00641E1E"/>
    <w:rsid w:val="00641E50"/>
    <w:rsid w:val="00641FEF"/>
    <w:rsid w:val="00642081"/>
    <w:rsid w:val="0064210B"/>
    <w:rsid w:val="0064214A"/>
    <w:rsid w:val="006421B8"/>
    <w:rsid w:val="00642420"/>
    <w:rsid w:val="00642523"/>
    <w:rsid w:val="00642577"/>
    <w:rsid w:val="0064263B"/>
    <w:rsid w:val="0064294D"/>
    <w:rsid w:val="00642A05"/>
    <w:rsid w:val="00642B83"/>
    <w:rsid w:val="00642B89"/>
    <w:rsid w:val="00642BA4"/>
    <w:rsid w:val="00642C31"/>
    <w:rsid w:val="00642CB2"/>
    <w:rsid w:val="00642CE5"/>
    <w:rsid w:val="00642E1B"/>
    <w:rsid w:val="00642E32"/>
    <w:rsid w:val="00642FAD"/>
    <w:rsid w:val="006433F9"/>
    <w:rsid w:val="00643518"/>
    <w:rsid w:val="006436BA"/>
    <w:rsid w:val="00643733"/>
    <w:rsid w:val="00643743"/>
    <w:rsid w:val="006438B5"/>
    <w:rsid w:val="0064397E"/>
    <w:rsid w:val="00643A4E"/>
    <w:rsid w:val="00643BCB"/>
    <w:rsid w:val="00643C1D"/>
    <w:rsid w:val="00643D2A"/>
    <w:rsid w:val="00643DA0"/>
    <w:rsid w:val="00643EF4"/>
    <w:rsid w:val="00644116"/>
    <w:rsid w:val="00644159"/>
    <w:rsid w:val="00644191"/>
    <w:rsid w:val="00644234"/>
    <w:rsid w:val="006444FB"/>
    <w:rsid w:val="00644534"/>
    <w:rsid w:val="0064459F"/>
    <w:rsid w:val="006445BA"/>
    <w:rsid w:val="006446C7"/>
    <w:rsid w:val="00644703"/>
    <w:rsid w:val="00644781"/>
    <w:rsid w:val="00644A7B"/>
    <w:rsid w:val="00644AB7"/>
    <w:rsid w:val="00644B1F"/>
    <w:rsid w:val="00644B7E"/>
    <w:rsid w:val="00644BFB"/>
    <w:rsid w:val="00644D1E"/>
    <w:rsid w:val="00644FAC"/>
    <w:rsid w:val="00645117"/>
    <w:rsid w:val="00645208"/>
    <w:rsid w:val="00645316"/>
    <w:rsid w:val="006454D4"/>
    <w:rsid w:val="006454E6"/>
    <w:rsid w:val="00645544"/>
    <w:rsid w:val="0064557D"/>
    <w:rsid w:val="006455AC"/>
    <w:rsid w:val="006455F2"/>
    <w:rsid w:val="006457E9"/>
    <w:rsid w:val="006458D7"/>
    <w:rsid w:val="0064590D"/>
    <w:rsid w:val="00645955"/>
    <w:rsid w:val="00645988"/>
    <w:rsid w:val="00645C49"/>
    <w:rsid w:val="00645EA6"/>
    <w:rsid w:val="00645FAD"/>
    <w:rsid w:val="0064607B"/>
    <w:rsid w:val="006460DA"/>
    <w:rsid w:val="0064612C"/>
    <w:rsid w:val="00646148"/>
    <w:rsid w:val="00646213"/>
    <w:rsid w:val="00646235"/>
    <w:rsid w:val="00646262"/>
    <w:rsid w:val="00646289"/>
    <w:rsid w:val="006462CE"/>
    <w:rsid w:val="006462FC"/>
    <w:rsid w:val="00646490"/>
    <w:rsid w:val="006464A2"/>
    <w:rsid w:val="00646616"/>
    <w:rsid w:val="0064676F"/>
    <w:rsid w:val="006467A9"/>
    <w:rsid w:val="00646998"/>
    <w:rsid w:val="006469A4"/>
    <w:rsid w:val="006469E7"/>
    <w:rsid w:val="00646A68"/>
    <w:rsid w:val="00646C03"/>
    <w:rsid w:val="00646DBE"/>
    <w:rsid w:val="00646DF9"/>
    <w:rsid w:val="00646EAE"/>
    <w:rsid w:val="00646F48"/>
    <w:rsid w:val="00646FC4"/>
    <w:rsid w:val="00647001"/>
    <w:rsid w:val="006470E4"/>
    <w:rsid w:val="0064716C"/>
    <w:rsid w:val="006472A7"/>
    <w:rsid w:val="00647310"/>
    <w:rsid w:val="0064732D"/>
    <w:rsid w:val="006475E5"/>
    <w:rsid w:val="0064762C"/>
    <w:rsid w:val="00647776"/>
    <w:rsid w:val="00647A5A"/>
    <w:rsid w:val="00647CB8"/>
    <w:rsid w:val="00647E0B"/>
    <w:rsid w:val="00647E3C"/>
    <w:rsid w:val="00647F9D"/>
    <w:rsid w:val="006500AF"/>
    <w:rsid w:val="006500B1"/>
    <w:rsid w:val="0065030A"/>
    <w:rsid w:val="006503F4"/>
    <w:rsid w:val="006505BD"/>
    <w:rsid w:val="006505D9"/>
    <w:rsid w:val="006507F6"/>
    <w:rsid w:val="0065080D"/>
    <w:rsid w:val="00650818"/>
    <w:rsid w:val="006508EA"/>
    <w:rsid w:val="006508EB"/>
    <w:rsid w:val="0065092E"/>
    <w:rsid w:val="006509FE"/>
    <w:rsid w:val="00650A3E"/>
    <w:rsid w:val="00650A40"/>
    <w:rsid w:val="00650BBC"/>
    <w:rsid w:val="00650CB8"/>
    <w:rsid w:val="00650D18"/>
    <w:rsid w:val="00650EF2"/>
    <w:rsid w:val="00650F26"/>
    <w:rsid w:val="00650F9D"/>
    <w:rsid w:val="00651003"/>
    <w:rsid w:val="00651182"/>
    <w:rsid w:val="006513D5"/>
    <w:rsid w:val="00651557"/>
    <w:rsid w:val="00651595"/>
    <w:rsid w:val="0065161E"/>
    <w:rsid w:val="006516AC"/>
    <w:rsid w:val="006516D3"/>
    <w:rsid w:val="006517F0"/>
    <w:rsid w:val="006517FE"/>
    <w:rsid w:val="00651AFC"/>
    <w:rsid w:val="00651BFF"/>
    <w:rsid w:val="00651C72"/>
    <w:rsid w:val="00651CB2"/>
    <w:rsid w:val="00651E1A"/>
    <w:rsid w:val="00651E47"/>
    <w:rsid w:val="00651E94"/>
    <w:rsid w:val="00651F78"/>
    <w:rsid w:val="00651FC0"/>
    <w:rsid w:val="00651FFD"/>
    <w:rsid w:val="006520B0"/>
    <w:rsid w:val="00652161"/>
    <w:rsid w:val="00652433"/>
    <w:rsid w:val="00652472"/>
    <w:rsid w:val="006524E4"/>
    <w:rsid w:val="0065254A"/>
    <w:rsid w:val="006526B3"/>
    <w:rsid w:val="006526E4"/>
    <w:rsid w:val="0065274F"/>
    <w:rsid w:val="00652920"/>
    <w:rsid w:val="0065295A"/>
    <w:rsid w:val="006529EA"/>
    <w:rsid w:val="00652A5E"/>
    <w:rsid w:val="00652B3F"/>
    <w:rsid w:val="00652B5A"/>
    <w:rsid w:val="00652C5D"/>
    <w:rsid w:val="00652CF3"/>
    <w:rsid w:val="00652D8B"/>
    <w:rsid w:val="00652F98"/>
    <w:rsid w:val="0065319F"/>
    <w:rsid w:val="006532EE"/>
    <w:rsid w:val="00653324"/>
    <w:rsid w:val="006536CD"/>
    <w:rsid w:val="006537D3"/>
    <w:rsid w:val="00653A2F"/>
    <w:rsid w:val="00653A43"/>
    <w:rsid w:val="00653A46"/>
    <w:rsid w:val="00653C2D"/>
    <w:rsid w:val="00653DB9"/>
    <w:rsid w:val="00653EA0"/>
    <w:rsid w:val="0065405A"/>
    <w:rsid w:val="0065406E"/>
    <w:rsid w:val="00654091"/>
    <w:rsid w:val="00654130"/>
    <w:rsid w:val="00654140"/>
    <w:rsid w:val="00654219"/>
    <w:rsid w:val="00654271"/>
    <w:rsid w:val="00654495"/>
    <w:rsid w:val="0065455A"/>
    <w:rsid w:val="00654614"/>
    <w:rsid w:val="00654664"/>
    <w:rsid w:val="00654696"/>
    <w:rsid w:val="00654728"/>
    <w:rsid w:val="0065474A"/>
    <w:rsid w:val="006547A3"/>
    <w:rsid w:val="006547AF"/>
    <w:rsid w:val="006548D6"/>
    <w:rsid w:val="0065492B"/>
    <w:rsid w:val="00654A61"/>
    <w:rsid w:val="00654A9A"/>
    <w:rsid w:val="00654AC7"/>
    <w:rsid w:val="00654BA2"/>
    <w:rsid w:val="00654C6F"/>
    <w:rsid w:val="00654CD4"/>
    <w:rsid w:val="00654CE2"/>
    <w:rsid w:val="00654CFB"/>
    <w:rsid w:val="00654D21"/>
    <w:rsid w:val="00654DD8"/>
    <w:rsid w:val="00654EBD"/>
    <w:rsid w:val="00654EC0"/>
    <w:rsid w:val="00654FD2"/>
    <w:rsid w:val="00655044"/>
    <w:rsid w:val="00655192"/>
    <w:rsid w:val="006551B3"/>
    <w:rsid w:val="00655230"/>
    <w:rsid w:val="00655231"/>
    <w:rsid w:val="00655452"/>
    <w:rsid w:val="00655679"/>
    <w:rsid w:val="00655710"/>
    <w:rsid w:val="006557A7"/>
    <w:rsid w:val="006558CC"/>
    <w:rsid w:val="006559DC"/>
    <w:rsid w:val="00655B10"/>
    <w:rsid w:val="00655B5B"/>
    <w:rsid w:val="00655C54"/>
    <w:rsid w:val="00655C55"/>
    <w:rsid w:val="00655D5C"/>
    <w:rsid w:val="00656071"/>
    <w:rsid w:val="00656123"/>
    <w:rsid w:val="00656290"/>
    <w:rsid w:val="006563AF"/>
    <w:rsid w:val="0065647A"/>
    <w:rsid w:val="00656775"/>
    <w:rsid w:val="00656790"/>
    <w:rsid w:val="00656BB9"/>
    <w:rsid w:val="00656C98"/>
    <w:rsid w:val="00656E12"/>
    <w:rsid w:val="00656F27"/>
    <w:rsid w:val="00656FFA"/>
    <w:rsid w:val="00657041"/>
    <w:rsid w:val="0065710F"/>
    <w:rsid w:val="0065712D"/>
    <w:rsid w:val="00657167"/>
    <w:rsid w:val="00657260"/>
    <w:rsid w:val="006572CD"/>
    <w:rsid w:val="00657332"/>
    <w:rsid w:val="00657527"/>
    <w:rsid w:val="006575FE"/>
    <w:rsid w:val="00657710"/>
    <w:rsid w:val="006577BD"/>
    <w:rsid w:val="006577F6"/>
    <w:rsid w:val="00657822"/>
    <w:rsid w:val="00657844"/>
    <w:rsid w:val="006579D4"/>
    <w:rsid w:val="00657A06"/>
    <w:rsid w:val="00657BA6"/>
    <w:rsid w:val="00657C8E"/>
    <w:rsid w:val="00657CF5"/>
    <w:rsid w:val="00657D30"/>
    <w:rsid w:val="00657DE7"/>
    <w:rsid w:val="00657E09"/>
    <w:rsid w:val="00657E60"/>
    <w:rsid w:val="00657ECF"/>
    <w:rsid w:val="00657F8F"/>
    <w:rsid w:val="00660034"/>
    <w:rsid w:val="006601C9"/>
    <w:rsid w:val="00660686"/>
    <w:rsid w:val="00660779"/>
    <w:rsid w:val="00660863"/>
    <w:rsid w:val="006608D8"/>
    <w:rsid w:val="00660A4F"/>
    <w:rsid w:val="00660AA8"/>
    <w:rsid w:val="00660E4D"/>
    <w:rsid w:val="00660E79"/>
    <w:rsid w:val="00660F2A"/>
    <w:rsid w:val="00660F30"/>
    <w:rsid w:val="006610A7"/>
    <w:rsid w:val="006610F1"/>
    <w:rsid w:val="006611CB"/>
    <w:rsid w:val="006611E6"/>
    <w:rsid w:val="00661418"/>
    <w:rsid w:val="006614BC"/>
    <w:rsid w:val="00661726"/>
    <w:rsid w:val="006617AF"/>
    <w:rsid w:val="00661868"/>
    <w:rsid w:val="00661B36"/>
    <w:rsid w:val="00661C55"/>
    <w:rsid w:val="00661CA0"/>
    <w:rsid w:val="00661D45"/>
    <w:rsid w:val="00661E8E"/>
    <w:rsid w:val="00661FCC"/>
    <w:rsid w:val="00662045"/>
    <w:rsid w:val="0066205D"/>
    <w:rsid w:val="006620EE"/>
    <w:rsid w:val="006621D6"/>
    <w:rsid w:val="006621D7"/>
    <w:rsid w:val="00662470"/>
    <w:rsid w:val="00662522"/>
    <w:rsid w:val="00662572"/>
    <w:rsid w:val="006625CB"/>
    <w:rsid w:val="006625DB"/>
    <w:rsid w:val="0066264B"/>
    <w:rsid w:val="006626B4"/>
    <w:rsid w:val="00662A18"/>
    <w:rsid w:val="00662A68"/>
    <w:rsid w:val="00662B09"/>
    <w:rsid w:val="00662BE4"/>
    <w:rsid w:val="00662BF5"/>
    <w:rsid w:val="00662C1E"/>
    <w:rsid w:val="00662D4F"/>
    <w:rsid w:val="00662E6B"/>
    <w:rsid w:val="00662E78"/>
    <w:rsid w:val="00662FB8"/>
    <w:rsid w:val="00662FD1"/>
    <w:rsid w:val="00663023"/>
    <w:rsid w:val="0066302A"/>
    <w:rsid w:val="0066302C"/>
    <w:rsid w:val="00663188"/>
    <w:rsid w:val="0066345B"/>
    <w:rsid w:val="00663640"/>
    <w:rsid w:val="0066381A"/>
    <w:rsid w:val="006638A0"/>
    <w:rsid w:val="006639E7"/>
    <w:rsid w:val="00663A40"/>
    <w:rsid w:val="00663B22"/>
    <w:rsid w:val="00663B8F"/>
    <w:rsid w:val="00663BB2"/>
    <w:rsid w:val="00663D40"/>
    <w:rsid w:val="00663ED7"/>
    <w:rsid w:val="00663F0F"/>
    <w:rsid w:val="00664007"/>
    <w:rsid w:val="00664066"/>
    <w:rsid w:val="00664221"/>
    <w:rsid w:val="00664237"/>
    <w:rsid w:val="0066429B"/>
    <w:rsid w:val="0066451D"/>
    <w:rsid w:val="00664615"/>
    <w:rsid w:val="00664668"/>
    <w:rsid w:val="00664808"/>
    <w:rsid w:val="00664810"/>
    <w:rsid w:val="0066490C"/>
    <w:rsid w:val="00664A1F"/>
    <w:rsid w:val="00664B59"/>
    <w:rsid w:val="00664BBF"/>
    <w:rsid w:val="00664CF7"/>
    <w:rsid w:val="00664D90"/>
    <w:rsid w:val="00664DEA"/>
    <w:rsid w:val="00664EE7"/>
    <w:rsid w:val="00664EF2"/>
    <w:rsid w:val="00664F52"/>
    <w:rsid w:val="00664F6F"/>
    <w:rsid w:val="006650BA"/>
    <w:rsid w:val="00665173"/>
    <w:rsid w:val="006651CB"/>
    <w:rsid w:val="00665290"/>
    <w:rsid w:val="006652D5"/>
    <w:rsid w:val="00665334"/>
    <w:rsid w:val="006653D4"/>
    <w:rsid w:val="0066541A"/>
    <w:rsid w:val="0066545C"/>
    <w:rsid w:val="006654AA"/>
    <w:rsid w:val="00665598"/>
    <w:rsid w:val="00665738"/>
    <w:rsid w:val="00665742"/>
    <w:rsid w:val="00665795"/>
    <w:rsid w:val="006657A6"/>
    <w:rsid w:val="006658DB"/>
    <w:rsid w:val="006659A0"/>
    <w:rsid w:val="00665A0E"/>
    <w:rsid w:val="00665AD7"/>
    <w:rsid w:val="00665C6E"/>
    <w:rsid w:val="00665E4C"/>
    <w:rsid w:val="00665E6E"/>
    <w:rsid w:val="00665E85"/>
    <w:rsid w:val="00665E92"/>
    <w:rsid w:val="00665E9D"/>
    <w:rsid w:val="00665F37"/>
    <w:rsid w:val="00665F5C"/>
    <w:rsid w:val="00666000"/>
    <w:rsid w:val="0066601F"/>
    <w:rsid w:val="006660AE"/>
    <w:rsid w:val="006663CF"/>
    <w:rsid w:val="00666701"/>
    <w:rsid w:val="00666837"/>
    <w:rsid w:val="006669AC"/>
    <w:rsid w:val="006669F1"/>
    <w:rsid w:val="00666A16"/>
    <w:rsid w:val="00666A65"/>
    <w:rsid w:val="00666B5B"/>
    <w:rsid w:val="00666B7F"/>
    <w:rsid w:val="00666BA2"/>
    <w:rsid w:val="00666CC3"/>
    <w:rsid w:val="00666D1C"/>
    <w:rsid w:val="00666E75"/>
    <w:rsid w:val="00666F5A"/>
    <w:rsid w:val="00667059"/>
    <w:rsid w:val="00667068"/>
    <w:rsid w:val="00667357"/>
    <w:rsid w:val="00667433"/>
    <w:rsid w:val="006674FF"/>
    <w:rsid w:val="0066756D"/>
    <w:rsid w:val="00667608"/>
    <w:rsid w:val="0066762B"/>
    <w:rsid w:val="00667770"/>
    <w:rsid w:val="006678A8"/>
    <w:rsid w:val="00667A0F"/>
    <w:rsid w:val="00667B52"/>
    <w:rsid w:val="00667B64"/>
    <w:rsid w:val="00667C91"/>
    <w:rsid w:val="00667D3E"/>
    <w:rsid w:val="00667E68"/>
    <w:rsid w:val="006700B8"/>
    <w:rsid w:val="00670483"/>
    <w:rsid w:val="00670597"/>
    <w:rsid w:val="00670667"/>
    <w:rsid w:val="006706D0"/>
    <w:rsid w:val="006708B3"/>
    <w:rsid w:val="0067096B"/>
    <w:rsid w:val="006709AE"/>
    <w:rsid w:val="006709C8"/>
    <w:rsid w:val="00670ACC"/>
    <w:rsid w:val="00670CC7"/>
    <w:rsid w:val="00671216"/>
    <w:rsid w:val="00671299"/>
    <w:rsid w:val="00671378"/>
    <w:rsid w:val="00671419"/>
    <w:rsid w:val="006714D9"/>
    <w:rsid w:val="00671588"/>
    <w:rsid w:val="0067158F"/>
    <w:rsid w:val="006715BC"/>
    <w:rsid w:val="006716A9"/>
    <w:rsid w:val="00671883"/>
    <w:rsid w:val="00671924"/>
    <w:rsid w:val="00671B04"/>
    <w:rsid w:val="00671B31"/>
    <w:rsid w:val="00671BB8"/>
    <w:rsid w:val="00671BF3"/>
    <w:rsid w:val="00671C24"/>
    <w:rsid w:val="00671DF6"/>
    <w:rsid w:val="00671F6F"/>
    <w:rsid w:val="00672065"/>
    <w:rsid w:val="00672241"/>
    <w:rsid w:val="0067224B"/>
    <w:rsid w:val="006722A2"/>
    <w:rsid w:val="006722F9"/>
    <w:rsid w:val="00672452"/>
    <w:rsid w:val="0067248C"/>
    <w:rsid w:val="0067253C"/>
    <w:rsid w:val="00672767"/>
    <w:rsid w:val="00672873"/>
    <w:rsid w:val="006728EE"/>
    <w:rsid w:val="0067297B"/>
    <w:rsid w:val="006729A8"/>
    <w:rsid w:val="00672A51"/>
    <w:rsid w:val="00672B76"/>
    <w:rsid w:val="00672BE6"/>
    <w:rsid w:val="00672C62"/>
    <w:rsid w:val="00672D64"/>
    <w:rsid w:val="00672DF5"/>
    <w:rsid w:val="00672DF9"/>
    <w:rsid w:val="00672FDF"/>
    <w:rsid w:val="00673054"/>
    <w:rsid w:val="006731B1"/>
    <w:rsid w:val="006731BA"/>
    <w:rsid w:val="00673363"/>
    <w:rsid w:val="00673385"/>
    <w:rsid w:val="00673560"/>
    <w:rsid w:val="0067392C"/>
    <w:rsid w:val="00673950"/>
    <w:rsid w:val="00673B5F"/>
    <w:rsid w:val="00673B92"/>
    <w:rsid w:val="00673CFD"/>
    <w:rsid w:val="00673D91"/>
    <w:rsid w:val="00673DDC"/>
    <w:rsid w:val="00673E98"/>
    <w:rsid w:val="00673FD0"/>
    <w:rsid w:val="006741D9"/>
    <w:rsid w:val="0067439C"/>
    <w:rsid w:val="006744C6"/>
    <w:rsid w:val="006746BA"/>
    <w:rsid w:val="00674709"/>
    <w:rsid w:val="00674742"/>
    <w:rsid w:val="00674847"/>
    <w:rsid w:val="006749F6"/>
    <w:rsid w:val="00674A02"/>
    <w:rsid w:val="00674AED"/>
    <w:rsid w:val="00674C16"/>
    <w:rsid w:val="00674D9C"/>
    <w:rsid w:val="00674E41"/>
    <w:rsid w:val="00674E53"/>
    <w:rsid w:val="00674EF1"/>
    <w:rsid w:val="00674F34"/>
    <w:rsid w:val="0067506E"/>
    <w:rsid w:val="006750D0"/>
    <w:rsid w:val="00675469"/>
    <w:rsid w:val="00675623"/>
    <w:rsid w:val="00675670"/>
    <w:rsid w:val="0067567B"/>
    <w:rsid w:val="006757AC"/>
    <w:rsid w:val="00675871"/>
    <w:rsid w:val="006758F3"/>
    <w:rsid w:val="006759D0"/>
    <w:rsid w:val="006759D5"/>
    <w:rsid w:val="00675A86"/>
    <w:rsid w:val="00675BBA"/>
    <w:rsid w:val="00675CE0"/>
    <w:rsid w:val="00675D57"/>
    <w:rsid w:val="00675F44"/>
    <w:rsid w:val="00675F88"/>
    <w:rsid w:val="00676172"/>
    <w:rsid w:val="006761EA"/>
    <w:rsid w:val="006761EF"/>
    <w:rsid w:val="006762F8"/>
    <w:rsid w:val="006763E4"/>
    <w:rsid w:val="006765DA"/>
    <w:rsid w:val="0067664E"/>
    <w:rsid w:val="00676684"/>
    <w:rsid w:val="006766E6"/>
    <w:rsid w:val="00676A0D"/>
    <w:rsid w:val="00676A83"/>
    <w:rsid w:val="00676B84"/>
    <w:rsid w:val="00676CCA"/>
    <w:rsid w:val="00676D7E"/>
    <w:rsid w:val="00676E3D"/>
    <w:rsid w:val="00676FDB"/>
    <w:rsid w:val="006770D4"/>
    <w:rsid w:val="00677104"/>
    <w:rsid w:val="0067724C"/>
    <w:rsid w:val="00677391"/>
    <w:rsid w:val="006773D5"/>
    <w:rsid w:val="0067742D"/>
    <w:rsid w:val="006774A6"/>
    <w:rsid w:val="006774E6"/>
    <w:rsid w:val="0067756A"/>
    <w:rsid w:val="00677574"/>
    <w:rsid w:val="006775C8"/>
    <w:rsid w:val="00677828"/>
    <w:rsid w:val="006778B2"/>
    <w:rsid w:val="0067791C"/>
    <w:rsid w:val="006779A7"/>
    <w:rsid w:val="006779BA"/>
    <w:rsid w:val="00677C18"/>
    <w:rsid w:val="00677C1F"/>
    <w:rsid w:val="00677C9B"/>
    <w:rsid w:val="00677CEE"/>
    <w:rsid w:val="00677E00"/>
    <w:rsid w:val="00677F7A"/>
    <w:rsid w:val="00680097"/>
    <w:rsid w:val="006800A4"/>
    <w:rsid w:val="006800C1"/>
    <w:rsid w:val="00680138"/>
    <w:rsid w:val="006801C5"/>
    <w:rsid w:val="00680239"/>
    <w:rsid w:val="0068034E"/>
    <w:rsid w:val="006806E3"/>
    <w:rsid w:val="00680920"/>
    <w:rsid w:val="0068096E"/>
    <w:rsid w:val="00680AF0"/>
    <w:rsid w:val="00680B63"/>
    <w:rsid w:val="00680C4F"/>
    <w:rsid w:val="00680CDB"/>
    <w:rsid w:val="00680D59"/>
    <w:rsid w:val="00680F24"/>
    <w:rsid w:val="00680F30"/>
    <w:rsid w:val="0068105B"/>
    <w:rsid w:val="00681139"/>
    <w:rsid w:val="00681165"/>
    <w:rsid w:val="006811D3"/>
    <w:rsid w:val="0068124B"/>
    <w:rsid w:val="006812AD"/>
    <w:rsid w:val="006812B0"/>
    <w:rsid w:val="006812ED"/>
    <w:rsid w:val="00681537"/>
    <w:rsid w:val="00681597"/>
    <w:rsid w:val="006815BC"/>
    <w:rsid w:val="0068175A"/>
    <w:rsid w:val="0068182C"/>
    <w:rsid w:val="00681841"/>
    <w:rsid w:val="00681A5B"/>
    <w:rsid w:val="00681AD4"/>
    <w:rsid w:val="00681B41"/>
    <w:rsid w:val="00681CDF"/>
    <w:rsid w:val="00681D3C"/>
    <w:rsid w:val="00681D64"/>
    <w:rsid w:val="00681EBF"/>
    <w:rsid w:val="00681ED6"/>
    <w:rsid w:val="0068200C"/>
    <w:rsid w:val="0068222C"/>
    <w:rsid w:val="00682282"/>
    <w:rsid w:val="006822F7"/>
    <w:rsid w:val="0068237D"/>
    <w:rsid w:val="0068238B"/>
    <w:rsid w:val="006824F9"/>
    <w:rsid w:val="0068256A"/>
    <w:rsid w:val="00682598"/>
    <w:rsid w:val="006825F6"/>
    <w:rsid w:val="00682672"/>
    <w:rsid w:val="0068270A"/>
    <w:rsid w:val="00682730"/>
    <w:rsid w:val="0068297C"/>
    <w:rsid w:val="006829DB"/>
    <w:rsid w:val="00682A0E"/>
    <w:rsid w:val="00682BDA"/>
    <w:rsid w:val="00682C15"/>
    <w:rsid w:val="00682CCE"/>
    <w:rsid w:val="00682D06"/>
    <w:rsid w:val="00682DB0"/>
    <w:rsid w:val="00682EB5"/>
    <w:rsid w:val="00682EC7"/>
    <w:rsid w:val="00683102"/>
    <w:rsid w:val="0068319A"/>
    <w:rsid w:val="006832B0"/>
    <w:rsid w:val="006833FA"/>
    <w:rsid w:val="0068341D"/>
    <w:rsid w:val="0068349D"/>
    <w:rsid w:val="006834AE"/>
    <w:rsid w:val="006835F8"/>
    <w:rsid w:val="006835F9"/>
    <w:rsid w:val="00683878"/>
    <w:rsid w:val="00683D19"/>
    <w:rsid w:val="00683F45"/>
    <w:rsid w:val="00684092"/>
    <w:rsid w:val="00684279"/>
    <w:rsid w:val="00684310"/>
    <w:rsid w:val="00684380"/>
    <w:rsid w:val="006843B6"/>
    <w:rsid w:val="006844D7"/>
    <w:rsid w:val="0068454C"/>
    <w:rsid w:val="0068456B"/>
    <w:rsid w:val="006845A0"/>
    <w:rsid w:val="0068461F"/>
    <w:rsid w:val="0068478E"/>
    <w:rsid w:val="006847F7"/>
    <w:rsid w:val="00684947"/>
    <w:rsid w:val="00684B5F"/>
    <w:rsid w:val="00684D3F"/>
    <w:rsid w:val="00684D9D"/>
    <w:rsid w:val="00684DBF"/>
    <w:rsid w:val="00685040"/>
    <w:rsid w:val="006850DA"/>
    <w:rsid w:val="006850F6"/>
    <w:rsid w:val="00685236"/>
    <w:rsid w:val="00685354"/>
    <w:rsid w:val="00685583"/>
    <w:rsid w:val="00685628"/>
    <w:rsid w:val="0068581D"/>
    <w:rsid w:val="00685949"/>
    <w:rsid w:val="00685A10"/>
    <w:rsid w:val="00685B87"/>
    <w:rsid w:val="00685C3A"/>
    <w:rsid w:val="00685D97"/>
    <w:rsid w:val="00685DCE"/>
    <w:rsid w:val="00685DD7"/>
    <w:rsid w:val="00685DDA"/>
    <w:rsid w:val="00685E04"/>
    <w:rsid w:val="00685F28"/>
    <w:rsid w:val="00686014"/>
    <w:rsid w:val="00686025"/>
    <w:rsid w:val="00686056"/>
    <w:rsid w:val="0068605D"/>
    <w:rsid w:val="006860DE"/>
    <w:rsid w:val="0068644D"/>
    <w:rsid w:val="0068664D"/>
    <w:rsid w:val="006867C8"/>
    <w:rsid w:val="00686866"/>
    <w:rsid w:val="00686882"/>
    <w:rsid w:val="00686CDD"/>
    <w:rsid w:val="00686F59"/>
    <w:rsid w:val="00686FE9"/>
    <w:rsid w:val="00687019"/>
    <w:rsid w:val="00687124"/>
    <w:rsid w:val="006871D2"/>
    <w:rsid w:val="0068747A"/>
    <w:rsid w:val="0068752C"/>
    <w:rsid w:val="00687A2F"/>
    <w:rsid w:val="00687A3C"/>
    <w:rsid w:val="00687BB8"/>
    <w:rsid w:val="00687D19"/>
    <w:rsid w:val="00687E2E"/>
    <w:rsid w:val="00687F82"/>
    <w:rsid w:val="00687FD8"/>
    <w:rsid w:val="00687FDC"/>
    <w:rsid w:val="006900CB"/>
    <w:rsid w:val="006901BD"/>
    <w:rsid w:val="006901F1"/>
    <w:rsid w:val="00690210"/>
    <w:rsid w:val="006905E8"/>
    <w:rsid w:val="00690627"/>
    <w:rsid w:val="00690639"/>
    <w:rsid w:val="00690688"/>
    <w:rsid w:val="00690760"/>
    <w:rsid w:val="00690762"/>
    <w:rsid w:val="00690859"/>
    <w:rsid w:val="00690869"/>
    <w:rsid w:val="006908B7"/>
    <w:rsid w:val="00690909"/>
    <w:rsid w:val="00690949"/>
    <w:rsid w:val="00690B25"/>
    <w:rsid w:val="00690B64"/>
    <w:rsid w:val="00690B7A"/>
    <w:rsid w:val="00690C37"/>
    <w:rsid w:val="00690CDD"/>
    <w:rsid w:val="00690D40"/>
    <w:rsid w:val="00690D4E"/>
    <w:rsid w:val="00690ED5"/>
    <w:rsid w:val="00691042"/>
    <w:rsid w:val="0069107D"/>
    <w:rsid w:val="0069120B"/>
    <w:rsid w:val="00691282"/>
    <w:rsid w:val="006912A3"/>
    <w:rsid w:val="0069147D"/>
    <w:rsid w:val="00691502"/>
    <w:rsid w:val="00691711"/>
    <w:rsid w:val="006917A6"/>
    <w:rsid w:val="006917D5"/>
    <w:rsid w:val="006917D8"/>
    <w:rsid w:val="00691877"/>
    <w:rsid w:val="00691B62"/>
    <w:rsid w:val="00691B9E"/>
    <w:rsid w:val="00691D38"/>
    <w:rsid w:val="00691D61"/>
    <w:rsid w:val="00691D76"/>
    <w:rsid w:val="00691D98"/>
    <w:rsid w:val="00691DF0"/>
    <w:rsid w:val="00691E2E"/>
    <w:rsid w:val="006923B8"/>
    <w:rsid w:val="006923E0"/>
    <w:rsid w:val="0069244C"/>
    <w:rsid w:val="0069246F"/>
    <w:rsid w:val="006926FB"/>
    <w:rsid w:val="0069275F"/>
    <w:rsid w:val="0069286F"/>
    <w:rsid w:val="00692A6A"/>
    <w:rsid w:val="00692AF1"/>
    <w:rsid w:val="00692BB0"/>
    <w:rsid w:val="00692BC9"/>
    <w:rsid w:val="00692C68"/>
    <w:rsid w:val="00692D3F"/>
    <w:rsid w:val="00693094"/>
    <w:rsid w:val="00693186"/>
    <w:rsid w:val="0069318A"/>
    <w:rsid w:val="00693322"/>
    <w:rsid w:val="006933A0"/>
    <w:rsid w:val="006933B5"/>
    <w:rsid w:val="0069348B"/>
    <w:rsid w:val="0069348F"/>
    <w:rsid w:val="00693546"/>
    <w:rsid w:val="00693589"/>
    <w:rsid w:val="0069387E"/>
    <w:rsid w:val="006938A0"/>
    <w:rsid w:val="00693922"/>
    <w:rsid w:val="006939F6"/>
    <w:rsid w:val="00693B5D"/>
    <w:rsid w:val="00693BF8"/>
    <w:rsid w:val="00693C7F"/>
    <w:rsid w:val="00693D14"/>
    <w:rsid w:val="00693E93"/>
    <w:rsid w:val="00693FC2"/>
    <w:rsid w:val="00694068"/>
    <w:rsid w:val="00694084"/>
    <w:rsid w:val="0069419B"/>
    <w:rsid w:val="00694271"/>
    <w:rsid w:val="006942BA"/>
    <w:rsid w:val="0069433C"/>
    <w:rsid w:val="0069467D"/>
    <w:rsid w:val="00694687"/>
    <w:rsid w:val="006946D0"/>
    <w:rsid w:val="0069473F"/>
    <w:rsid w:val="006947E0"/>
    <w:rsid w:val="0069480C"/>
    <w:rsid w:val="0069483C"/>
    <w:rsid w:val="0069499C"/>
    <w:rsid w:val="00694A26"/>
    <w:rsid w:val="00694A2E"/>
    <w:rsid w:val="00694AA6"/>
    <w:rsid w:val="00694CFD"/>
    <w:rsid w:val="00694D61"/>
    <w:rsid w:val="00694F3A"/>
    <w:rsid w:val="00694F3C"/>
    <w:rsid w:val="00694FB7"/>
    <w:rsid w:val="0069527E"/>
    <w:rsid w:val="006952B7"/>
    <w:rsid w:val="0069540C"/>
    <w:rsid w:val="00695418"/>
    <w:rsid w:val="0069544D"/>
    <w:rsid w:val="006954B7"/>
    <w:rsid w:val="00695517"/>
    <w:rsid w:val="00695518"/>
    <w:rsid w:val="00695559"/>
    <w:rsid w:val="00695592"/>
    <w:rsid w:val="006955E2"/>
    <w:rsid w:val="0069561C"/>
    <w:rsid w:val="006957A2"/>
    <w:rsid w:val="0069581B"/>
    <w:rsid w:val="00695848"/>
    <w:rsid w:val="00695863"/>
    <w:rsid w:val="00695A69"/>
    <w:rsid w:val="00695CF8"/>
    <w:rsid w:val="00695EBD"/>
    <w:rsid w:val="00695EDF"/>
    <w:rsid w:val="006960F4"/>
    <w:rsid w:val="00696163"/>
    <w:rsid w:val="0069620B"/>
    <w:rsid w:val="0069625E"/>
    <w:rsid w:val="006962C0"/>
    <w:rsid w:val="006962C6"/>
    <w:rsid w:val="006962CB"/>
    <w:rsid w:val="0069641C"/>
    <w:rsid w:val="0069653B"/>
    <w:rsid w:val="0069662F"/>
    <w:rsid w:val="006966CF"/>
    <w:rsid w:val="006967F4"/>
    <w:rsid w:val="006968B0"/>
    <w:rsid w:val="00696B50"/>
    <w:rsid w:val="00696DCB"/>
    <w:rsid w:val="00696EB0"/>
    <w:rsid w:val="00696F27"/>
    <w:rsid w:val="00696FF6"/>
    <w:rsid w:val="00697128"/>
    <w:rsid w:val="006972F3"/>
    <w:rsid w:val="006974AF"/>
    <w:rsid w:val="006974FA"/>
    <w:rsid w:val="0069758C"/>
    <w:rsid w:val="006975C1"/>
    <w:rsid w:val="00697672"/>
    <w:rsid w:val="0069771A"/>
    <w:rsid w:val="0069789E"/>
    <w:rsid w:val="00697917"/>
    <w:rsid w:val="006979EE"/>
    <w:rsid w:val="006979FE"/>
    <w:rsid w:val="00697A29"/>
    <w:rsid w:val="00697A48"/>
    <w:rsid w:val="00697CD5"/>
    <w:rsid w:val="00697D84"/>
    <w:rsid w:val="00697DC4"/>
    <w:rsid w:val="00697EF4"/>
    <w:rsid w:val="00697F39"/>
    <w:rsid w:val="00697FD8"/>
    <w:rsid w:val="006A012E"/>
    <w:rsid w:val="006A063F"/>
    <w:rsid w:val="006A0762"/>
    <w:rsid w:val="006A078A"/>
    <w:rsid w:val="006A0D87"/>
    <w:rsid w:val="006A0D9A"/>
    <w:rsid w:val="006A0E1A"/>
    <w:rsid w:val="006A0E36"/>
    <w:rsid w:val="006A0FFB"/>
    <w:rsid w:val="006A108D"/>
    <w:rsid w:val="006A1161"/>
    <w:rsid w:val="006A1322"/>
    <w:rsid w:val="006A1454"/>
    <w:rsid w:val="006A1692"/>
    <w:rsid w:val="006A16D2"/>
    <w:rsid w:val="006A175A"/>
    <w:rsid w:val="006A176E"/>
    <w:rsid w:val="006A17A5"/>
    <w:rsid w:val="006A18C2"/>
    <w:rsid w:val="006A1968"/>
    <w:rsid w:val="006A197E"/>
    <w:rsid w:val="006A1992"/>
    <w:rsid w:val="006A1A3F"/>
    <w:rsid w:val="006A1B81"/>
    <w:rsid w:val="006A1C17"/>
    <w:rsid w:val="006A1C62"/>
    <w:rsid w:val="006A1C77"/>
    <w:rsid w:val="006A1D75"/>
    <w:rsid w:val="006A1DB5"/>
    <w:rsid w:val="006A1EC2"/>
    <w:rsid w:val="006A1EF1"/>
    <w:rsid w:val="006A1F93"/>
    <w:rsid w:val="006A21B0"/>
    <w:rsid w:val="006A2282"/>
    <w:rsid w:val="006A22BD"/>
    <w:rsid w:val="006A2504"/>
    <w:rsid w:val="006A2521"/>
    <w:rsid w:val="006A290E"/>
    <w:rsid w:val="006A29D0"/>
    <w:rsid w:val="006A2A58"/>
    <w:rsid w:val="006A2AC9"/>
    <w:rsid w:val="006A2B0C"/>
    <w:rsid w:val="006A2E02"/>
    <w:rsid w:val="006A2E07"/>
    <w:rsid w:val="006A2E17"/>
    <w:rsid w:val="006A2F0B"/>
    <w:rsid w:val="006A2F5B"/>
    <w:rsid w:val="006A2F7C"/>
    <w:rsid w:val="006A305D"/>
    <w:rsid w:val="006A314C"/>
    <w:rsid w:val="006A31CF"/>
    <w:rsid w:val="006A3307"/>
    <w:rsid w:val="006A3315"/>
    <w:rsid w:val="006A3383"/>
    <w:rsid w:val="006A3480"/>
    <w:rsid w:val="006A34EF"/>
    <w:rsid w:val="006A3571"/>
    <w:rsid w:val="006A3609"/>
    <w:rsid w:val="006A3780"/>
    <w:rsid w:val="006A3820"/>
    <w:rsid w:val="006A39FE"/>
    <w:rsid w:val="006A3C72"/>
    <w:rsid w:val="006A3D47"/>
    <w:rsid w:val="006A3D83"/>
    <w:rsid w:val="006A410B"/>
    <w:rsid w:val="006A4186"/>
    <w:rsid w:val="006A4297"/>
    <w:rsid w:val="006A4450"/>
    <w:rsid w:val="006A44A0"/>
    <w:rsid w:val="006A453A"/>
    <w:rsid w:val="006A4653"/>
    <w:rsid w:val="006A469E"/>
    <w:rsid w:val="006A48CE"/>
    <w:rsid w:val="006A48E6"/>
    <w:rsid w:val="006A4939"/>
    <w:rsid w:val="006A4A18"/>
    <w:rsid w:val="006A4AD8"/>
    <w:rsid w:val="006A4C80"/>
    <w:rsid w:val="006A4CA2"/>
    <w:rsid w:val="006A4EDE"/>
    <w:rsid w:val="006A4FA9"/>
    <w:rsid w:val="006A4FE6"/>
    <w:rsid w:val="006A5091"/>
    <w:rsid w:val="006A51F9"/>
    <w:rsid w:val="006A5396"/>
    <w:rsid w:val="006A5441"/>
    <w:rsid w:val="006A554D"/>
    <w:rsid w:val="006A5565"/>
    <w:rsid w:val="006A55B4"/>
    <w:rsid w:val="006A55CE"/>
    <w:rsid w:val="006A572E"/>
    <w:rsid w:val="006A57EA"/>
    <w:rsid w:val="006A5926"/>
    <w:rsid w:val="006A5A09"/>
    <w:rsid w:val="006A5B05"/>
    <w:rsid w:val="006A5BBE"/>
    <w:rsid w:val="006A5CEF"/>
    <w:rsid w:val="006A5D0A"/>
    <w:rsid w:val="006A5EC2"/>
    <w:rsid w:val="006A5FE7"/>
    <w:rsid w:val="006A5FF7"/>
    <w:rsid w:val="006A6136"/>
    <w:rsid w:val="006A617B"/>
    <w:rsid w:val="006A6198"/>
    <w:rsid w:val="006A624F"/>
    <w:rsid w:val="006A637F"/>
    <w:rsid w:val="006A6477"/>
    <w:rsid w:val="006A6541"/>
    <w:rsid w:val="006A6690"/>
    <w:rsid w:val="006A679C"/>
    <w:rsid w:val="006A6A90"/>
    <w:rsid w:val="006A6AAD"/>
    <w:rsid w:val="006A6C9A"/>
    <w:rsid w:val="006A6E37"/>
    <w:rsid w:val="006A6F4B"/>
    <w:rsid w:val="006A7069"/>
    <w:rsid w:val="006A707C"/>
    <w:rsid w:val="006A711D"/>
    <w:rsid w:val="006A71C2"/>
    <w:rsid w:val="006A72EA"/>
    <w:rsid w:val="006A7576"/>
    <w:rsid w:val="006A7598"/>
    <w:rsid w:val="006A75EF"/>
    <w:rsid w:val="006A76BA"/>
    <w:rsid w:val="006A774B"/>
    <w:rsid w:val="006A7842"/>
    <w:rsid w:val="006A7871"/>
    <w:rsid w:val="006A78B9"/>
    <w:rsid w:val="006A7A56"/>
    <w:rsid w:val="006A7B59"/>
    <w:rsid w:val="006A7DCE"/>
    <w:rsid w:val="006B0125"/>
    <w:rsid w:val="006B01E1"/>
    <w:rsid w:val="006B02B3"/>
    <w:rsid w:val="006B02D8"/>
    <w:rsid w:val="006B02DC"/>
    <w:rsid w:val="006B02F7"/>
    <w:rsid w:val="006B0358"/>
    <w:rsid w:val="006B0404"/>
    <w:rsid w:val="006B0488"/>
    <w:rsid w:val="006B04EA"/>
    <w:rsid w:val="006B0569"/>
    <w:rsid w:val="006B064E"/>
    <w:rsid w:val="006B06B0"/>
    <w:rsid w:val="006B077C"/>
    <w:rsid w:val="006B0998"/>
    <w:rsid w:val="006B0B8F"/>
    <w:rsid w:val="006B0BAA"/>
    <w:rsid w:val="006B0C81"/>
    <w:rsid w:val="006B0D95"/>
    <w:rsid w:val="006B0E1E"/>
    <w:rsid w:val="006B0E61"/>
    <w:rsid w:val="006B0FBC"/>
    <w:rsid w:val="006B1013"/>
    <w:rsid w:val="006B1042"/>
    <w:rsid w:val="006B12BA"/>
    <w:rsid w:val="006B1309"/>
    <w:rsid w:val="006B1316"/>
    <w:rsid w:val="006B134A"/>
    <w:rsid w:val="006B1509"/>
    <w:rsid w:val="006B1536"/>
    <w:rsid w:val="006B155E"/>
    <w:rsid w:val="006B162E"/>
    <w:rsid w:val="006B1651"/>
    <w:rsid w:val="006B17E5"/>
    <w:rsid w:val="006B1DA2"/>
    <w:rsid w:val="006B1E64"/>
    <w:rsid w:val="006B1E6B"/>
    <w:rsid w:val="006B1FE1"/>
    <w:rsid w:val="006B20FC"/>
    <w:rsid w:val="006B21E0"/>
    <w:rsid w:val="006B2202"/>
    <w:rsid w:val="006B223F"/>
    <w:rsid w:val="006B22B4"/>
    <w:rsid w:val="006B274B"/>
    <w:rsid w:val="006B29E4"/>
    <w:rsid w:val="006B29F1"/>
    <w:rsid w:val="006B29F8"/>
    <w:rsid w:val="006B2A69"/>
    <w:rsid w:val="006B2ABD"/>
    <w:rsid w:val="006B2ADC"/>
    <w:rsid w:val="006B2B3E"/>
    <w:rsid w:val="006B2C4B"/>
    <w:rsid w:val="006B2CAF"/>
    <w:rsid w:val="006B2DE6"/>
    <w:rsid w:val="006B2E45"/>
    <w:rsid w:val="006B308F"/>
    <w:rsid w:val="006B311A"/>
    <w:rsid w:val="006B31CA"/>
    <w:rsid w:val="006B3244"/>
    <w:rsid w:val="006B3252"/>
    <w:rsid w:val="006B33AF"/>
    <w:rsid w:val="006B3412"/>
    <w:rsid w:val="006B351A"/>
    <w:rsid w:val="006B35BD"/>
    <w:rsid w:val="006B3624"/>
    <w:rsid w:val="006B3701"/>
    <w:rsid w:val="006B3815"/>
    <w:rsid w:val="006B386C"/>
    <w:rsid w:val="006B3950"/>
    <w:rsid w:val="006B3982"/>
    <w:rsid w:val="006B39E8"/>
    <w:rsid w:val="006B3A38"/>
    <w:rsid w:val="006B3BC8"/>
    <w:rsid w:val="006B3C70"/>
    <w:rsid w:val="006B3C95"/>
    <w:rsid w:val="006B3CE2"/>
    <w:rsid w:val="006B3CE4"/>
    <w:rsid w:val="006B3D1E"/>
    <w:rsid w:val="006B3DA1"/>
    <w:rsid w:val="006B405D"/>
    <w:rsid w:val="006B425C"/>
    <w:rsid w:val="006B426B"/>
    <w:rsid w:val="006B429D"/>
    <w:rsid w:val="006B43A4"/>
    <w:rsid w:val="006B45BE"/>
    <w:rsid w:val="006B45D9"/>
    <w:rsid w:val="006B4908"/>
    <w:rsid w:val="006B496C"/>
    <w:rsid w:val="006B4AA3"/>
    <w:rsid w:val="006B4B6D"/>
    <w:rsid w:val="006B4BB3"/>
    <w:rsid w:val="006B4C54"/>
    <w:rsid w:val="006B4D5C"/>
    <w:rsid w:val="006B4E88"/>
    <w:rsid w:val="006B4FE4"/>
    <w:rsid w:val="006B51D3"/>
    <w:rsid w:val="006B521F"/>
    <w:rsid w:val="006B52C6"/>
    <w:rsid w:val="006B541F"/>
    <w:rsid w:val="006B5487"/>
    <w:rsid w:val="006B5566"/>
    <w:rsid w:val="006B56FD"/>
    <w:rsid w:val="006B573B"/>
    <w:rsid w:val="006B5787"/>
    <w:rsid w:val="006B5897"/>
    <w:rsid w:val="006B58EB"/>
    <w:rsid w:val="006B59B9"/>
    <w:rsid w:val="006B5AC5"/>
    <w:rsid w:val="006B5AF6"/>
    <w:rsid w:val="006B5B78"/>
    <w:rsid w:val="006B5C00"/>
    <w:rsid w:val="006B5D51"/>
    <w:rsid w:val="006B6156"/>
    <w:rsid w:val="006B6178"/>
    <w:rsid w:val="006B62A4"/>
    <w:rsid w:val="006B63CA"/>
    <w:rsid w:val="006B6436"/>
    <w:rsid w:val="006B6677"/>
    <w:rsid w:val="006B6803"/>
    <w:rsid w:val="006B6A72"/>
    <w:rsid w:val="006B6B8F"/>
    <w:rsid w:val="006B6C31"/>
    <w:rsid w:val="006B6C93"/>
    <w:rsid w:val="006B6CDB"/>
    <w:rsid w:val="006B6D15"/>
    <w:rsid w:val="006B6EAC"/>
    <w:rsid w:val="006B6FB9"/>
    <w:rsid w:val="006B7021"/>
    <w:rsid w:val="006B71AE"/>
    <w:rsid w:val="006B71B4"/>
    <w:rsid w:val="006B73E7"/>
    <w:rsid w:val="006B7429"/>
    <w:rsid w:val="006B7456"/>
    <w:rsid w:val="006B7501"/>
    <w:rsid w:val="006B7564"/>
    <w:rsid w:val="006B75F3"/>
    <w:rsid w:val="006B773C"/>
    <w:rsid w:val="006B7743"/>
    <w:rsid w:val="006B77AC"/>
    <w:rsid w:val="006B7933"/>
    <w:rsid w:val="006B7BF6"/>
    <w:rsid w:val="006B7C8E"/>
    <w:rsid w:val="006B7CBB"/>
    <w:rsid w:val="006B7EE5"/>
    <w:rsid w:val="006B7F66"/>
    <w:rsid w:val="006C0228"/>
    <w:rsid w:val="006C0285"/>
    <w:rsid w:val="006C0302"/>
    <w:rsid w:val="006C0456"/>
    <w:rsid w:val="006C05B5"/>
    <w:rsid w:val="006C0643"/>
    <w:rsid w:val="006C0673"/>
    <w:rsid w:val="006C06DC"/>
    <w:rsid w:val="006C0756"/>
    <w:rsid w:val="006C0804"/>
    <w:rsid w:val="006C0859"/>
    <w:rsid w:val="006C08DC"/>
    <w:rsid w:val="006C08FB"/>
    <w:rsid w:val="006C0908"/>
    <w:rsid w:val="006C0A48"/>
    <w:rsid w:val="006C0B9E"/>
    <w:rsid w:val="006C0BE7"/>
    <w:rsid w:val="006C0BEC"/>
    <w:rsid w:val="006C0E41"/>
    <w:rsid w:val="006C0EB5"/>
    <w:rsid w:val="006C1183"/>
    <w:rsid w:val="006C12D2"/>
    <w:rsid w:val="006C13EE"/>
    <w:rsid w:val="006C1427"/>
    <w:rsid w:val="006C144C"/>
    <w:rsid w:val="006C1618"/>
    <w:rsid w:val="006C1787"/>
    <w:rsid w:val="006C18B0"/>
    <w:rsid w:val="006C1937"/>
    <w:rsid w:val="006C1A07"/>
    <w:rsid w:val="006C1AA7"/>
    <w:rsid w:val="006C1ABF"/>
    <w:rsid w:val="006C1B02"/>
    <w:rsid w:val="006C1B07"/>
    <w:rsid w:val="006C1DD8"/>
    <w:rsid w:val="006C1DE1"/>
    <w:rsid w:val="006C1EB0"/>
    <w:rsid w:val="006C1F09"/>
    <w:rsid w:val="006C1F3D"/>
    <w:rsid w:val="006C1F4E"/>
    <w:rsid w:val="006C207B"/>
    <w:rsid w:val="006C208C"/>
    <w:rsid w:val="006C2231"/>
    <w:rsid w:val="006C227C"/>
    <w:rsid w:val="006C22DA"/>
    <w:rsid w:val="006C2367"/>
    <w:rsid w:val="006C23B4"/>
    <w:rsid w:val="006C23B9"/>
    <w:rsid w:val="006C243F"/>
    <w:rsid w:val="006C2496"/>
    <w:rsid w:val="006C2588"/>
    <w:rsid w:val="006C25C3"/>
    <w:rsid w:val="006C25F1"/>
    <w:rsid w:val="006C261E"/>
    <w:rsid w:val="006C2782"/>
    <w:rsid w:val="006C279F"/>
    <w:rsid w:val="006C29C6"/>
    <w:rsid w:val="006C2B63"/>
    <w:rsid w:val="006C2C2D"/>
    <w:rsid w:val="006C2C63"/>
    <w:rsid w:val="006C2CFE"/>
    <w:rsid w:val="006C2E2E"/>
    <w:rsid w:val="006C2E47"/>
    <w:rsid w:val="006C2E99"/>
    <w:rsid w:val="006C2EB1"/>
    <w:rsid w:val="006C2EEE"/>
    <w:rsid w:val="006C3260"/>
    <w:rsid w:val="006C333B"/>
    <w:rsid w:val="006C3658"/>
    <w:rsid w:val="006C3702"/>
    <w:rsid w:val="006C3A9F"/>
    <w:rsid w:val="006C3D39"/>
    <w:rsid w:val="006C3E75"/>
    <w:rsid w:val="006C3EC3"/>
    <w:rsid w:val="006C4010"/>
    <w:rsid w:val="006C41AA"/>
    <w:rsid w:val="006C41AE"/>
    <w:rsid w:val="006C41B3"/>
    <w:rsid w:val="006C42DA"/>
    <w:rsid w:val="006C434E"/>
    <w:rsid w:val="006C44D0"/>
    <w:rsid w:val="006C454A"/>
    <w:rsid w:val="006C45C9"/>
    <w:rsid w:val="006C467D"/>
    <w:rsid w:val="006C4683"/>
    <w:rsid w:val="006C46FF"/>
    <w:rsid w:val="006C489B"/>
    <w:rsid w:val="006C49BB"/>
    <w:rsid w:val="006C49CC"/>
    <w:rsid w:val="006C4C33"/>
    <w:rsid w:val="006C4CAB"/>
    <w:rsid w:val="006C4E65"/>
    <w:rsid w:val="006C5003"/>
    <w:rsid w:val="006C5224"/>
    <w:rsid w:val="006C52F2"/>
    <w:rsid w:val="006C5346"/>
    <w:rsid w:val="006C5402"/>
    <w:rsid w:val="006C5498"/>
    <w:rsid w:val="006C56F3"/>
    <w:rsid w:val="006C5747"/>
    <w:rsid w:val="006C57BB"/>
    <w:rsid w:val="006C5832"/>
    <w:rsid w:val="006C5AA4"/>
    <w:rsid w:val="006C5CA9"/>
    <w:rsid w:val="006C5D8E"/>
    <w:rsid w:val="006C5DD0"/>
    <w:rsid w:val="006C5FF8"/>
    <w:rsid w:val="006C5FFE"/>
    <w:rsid w:val="006C627F"/>
    <w:rsid w:val="006C64A1"/>
    <w:rsid w:val="006C65AA"/>
    <w:rsid w:val="006C6640"/>
    <w:rsid w:val="006C6677"/>
    <w:rsid w:val="006C6682"/>
    <w:rsid w:val="006C674A"/>
    <w:rsid w:val="006C6822"/>
    <w:rsid w:val="006C6843"/>
    <w:rsid w:val="006C687B"/>
    <w:rsid w:val="006C68E0"/>
    <w:rsid w:val="006C690C"/>
    <w:rsid w:val="006C6C42"/>
    <w:rsid w:val="006C6CDA"/>
    <w:rsid w:val="006C6CE8"/>
    <w:rsid w:val="006C6DBE"/>
    <w:rsid w:val="006C6F4D"/>
    <w:rsid w:val="006C6F58"/>
    <w:rsid w:val="006C6FE7"/>
    <w:rsid w:val="006C725C"/>
    <w:rsid w:val="006C72CC"/>
    <w:rsid w:val="006C737D"/>
    <w:rsid w:val="006C7489"/>
    <w:rsid w:val="006C7494"/>
    <w:rsid w:val="006C74AB"/>
    <w:rsid w:val="006C74D6"/>
    <w:rsid w:val="006C7551"/>
    <w:rsid w:val="006C77D5"/>
    <w:rsid w:val="006C7940"/>
    <w:rsid w:val="006C7993"/>
    <w:rsid w:val="006C79FC"/>
    <w:rsid w:val="006C7A54"/>
    <w:rsid w:val="006C7C6F"/>
    <w:rsid w:val="006C7F26"/>
    <w:rsid w:val="006C7F4D"/>
    <w:rsid w:val="006C7F88"/>
    <w:rsid w:val="006C7FDF"/>
    <w:rsid w:val="006D0076"/>
    <w:rsid w:val="006D00C0"/>
    <w:rsid w:val="006D00E1"/>
    <w:rsid w:val="006D013A"/>
    <w:rsid w:val="006D0199"/>
    <w:rsid w:val="006D0241"/>
    <w:rsid w:val="006D04C2"/>
    <w:rsid w:val="006D0603"/>
    <w:rsid w:val="006D06AD"/>
    <w:rsid w:val="006D074A"/>
    <w:rsid w:val="006D07AC"/>
    <w:rsid w:val="006D088A"/>
    <w:rsid w:val="006D0980"/>
    <w:rsid w:val="006D0A6D"/>
    <w:rsid w:val="006D0BEC"/>
    <w:rsid w:val="006D0C0A"/>
    <w:rsid w:val="006D0D4B"/>
    <w:rsid w:val="006D0D4E"/>
    <w:rsid w:val="006D0D5B"/>
    <w:rsid w:val="006D0E7C"/>
    <w:rsid w:val="006D0E96"/>
    <w:rsid w:val="006D0F16"/>
    <w:rsid w:val="006D0F89"/>
    <w:rsid w:val="006D1058"/>
    <w:rsid w:val="006D1091"/>
    <w:rsid w:val="006D10FD"/>
    <w:rsid w:val="006D1257"/>
    <w:rsid w:val="006D1387"/>
    <w:rsid w:val="006D1418"/>
    <w:rsid w:val="006D1425"/>
    <w:rsid w:val="006D1577"/>
    <w:rsid w:val="006D15DF"/>
    <w:rsid w:val="006D1602"/>
    <w:rsid w:val="006D1672"/>
    <w:rsid w:val="006D16CA"/>
    <w:rsid w:val="006D174E"/>
    <w:rsid w:val="006D190A"/>
    <w:rsid w:val="006D19C9"/>
    <w:rsid w:val="006D1A51"/>
    <w:rsid w:val="006D1CD8"/>
    <w:rsid w:val="006D1CE8"/>
    <w:rsid w:val="006D1D26"/>
    <w:rsid w:val="006D1D73"/>
    <w:rsid w:val="006D1E47"/>
    <w:rsid w:val="006D1E52"/>
    <w:rsid w:val="006D1ED4"/>
    <w:rsid w:val="006D1F21"/>
    <w:rsid w:val="006D1F49"/>
    <w:rsid w:val="006D20DF"/>
    <w:rsid w:val="006D2188"/>
    <w:rsid w:val="006D21F6"/>
    <w:rsid w:val="006D237D"/>
    <w:rsid w:val="006D23B1"/>
    <w:rsid w:val="006D23C4"/>
    <w:rsid w:val="006D2496"/>
    <w:rsid w:val="006D2574"/>
    <w:rsid w:val="006D2614"/>
    <w:rsid w:val="006D27D0"/>
    <w:rsid w:val="006D29D6"/>
    <w:rsid w:val="006D2A3F"/>
    <w:rsid w:val="006D2CAF"/>
    <w:rsid w:val="006D2D7D"/>
    <w:rsid w:val="006D2DA7"/>
    <w:rsid w:val="006D2F46"/>
    <w:rsid w:val="006D2FBC"/>
    <w:rsid w:val="006D3216"/>
    <w:rsid w:val="006D3247"/>
    <w:rsid w:val="006D32E7"/>
    <w:rsid w:val="006D36AF"/>
    <w:rsid w:val="006D3791"/>
    <w:rsid w:val="006D3CBB"/>
    <w:rsid w:val="006D3D2B"/>
    <w:rsid w:val="006D3DED"/>
    <w:rsid w:val="006D3EC7"/>
    <w:rsid w:val="006D3EF9"/>
    <w:rsid w:val="006D4175"/>
    <w:rsid w:val="006D4324"/>
    <w:rsid w:val="006D434A"/>
    <w:rsid w:val="006D4394"/>
    <w:rsid w:val="006D43AB"/>
    <w:rsid w:val="006D43FF"/>
    <w:rsid w:val="006D458A"/>
    <w:rsid w:val="006D45D0"/>
    <w:rsid w:val="006D464D"/>
    <w:rsid w:val="006D48F7"/>
    <w:rsid w:val="006D493F"/>
    <w:rsid w:val="006D49E8"/>
    <w:rsid w:val="006D49FE"/>
    <w:rsid w:val="006D4CFC"/>
    <w:rsid w:val="006D4D37"/>
    <w:rsid w:val="006D4E1D"/>
    <w:rsid w:val="006D50D2"/>
    <w:rsid w:val="006D50EB"/>
    <w:rsid w:val="006D50FC"/>
    <w:rsid w:val="006D534B"/>
    <w:rsid w:val="006D53DE"/>
    <w:rsid w:val="006D54CA"/>
    <w:rsid w:val="006D555A"/>
    <w:rsid w:val="006D573F"/>
    <w:rsid w:val="006D576D"/>
    <w:rsid w:val="006D57CB"/>
    <w:rsid w:val="006D57E8"/>
    <w:rsid w:val="006D58CA"/>
    <w:rsid w:val="006D5C27"/>
    <w:rsid w:val="006D5C73"/>
    <w:rsid w:val="006D5D42"/>
    <w:rsid w:val="006D6052"/>
    <w:rsid w:val="006D618E"/>
    <w:rsid w:val="006D63C5"/>
    <w:rsid w:val="006D645B"/>
    <w:rsid w:val="006D6685"/>
    <w:rsid w:val="006D66D5"/>
    <w:rsid w:val="006D6721"/>
    <w:rsid w:val="006D67CA"/>
    <w:rsid w:val="006D69AE"/>
    <w:rsid w:val="006D6A95"/>
    <w:rsid w:val="006D6B0D"/>
    <w:rsid w:val="006D6BA2"/>
    <w:rsid w:val="006D6C1C"/>
    <w:rsid w:val="006D6C49"/>
    <w:rsid w:val="006D6D58"/>
    <w:rsid w:val="006D6E23"/>
    <w:rsid w:val="006D6E34"/>
    <w:rsid w:val="006D7080"/>
    <w:rsid w:val="006D7091"/>
    <w:rsid w:val="006D7114"/>
    <w:rsid w:val="006D724E"/>
    <w:rsid w:val="006D72CD"/>
    <w:rsid w:val="006D7301"/>
    <w:rsid w:val="006D7381"/>
    <w:rsid w:val="006D73D7"/>
    <w:rsid w:val="006D7503"/>
    <w:rsid w:val="006D790F"/>
    <w:rsid w:val="006D7A96"/>
    <w:rsid w:val="006D7BB5"/>
    <w:rsid w:val="006D7C86"/>
    <w:rsid w:val="006D7E55"/>
    <w:rsid w:val="006D7EB5"/>
    <w:rsid w:val="006D7EC2"/>
    <w:rsid w:val="006E0046"/>
    <w:rsid w:val="006E0266"/>
    <w:rsid w:val="006E041C"/>
    <w:rsid w:val="006E04AA"/>
    <w:rsid w:val="006E04B2"/>
    <w:rsid w:val="006E061B"/>
    <w:rsid w:val="006E0728"/>
    <w:rsid w:val="006E0785"/>
    <w:rsid w:val="006E0799"/>
    <w:rsid w:val="006E07F8"/>
    <w:rsid w:val="006E0864"/>
    <w:rsid w:val="006E0A83"/>
    <w:rsid w:val="006E0D65"/>
    <w:rsid w:val="006E0DEB"/>
    <w:rsid w:val="006E0FCB"/>
    <w:rsid w:val="006E115E"/>
    <w:rsid w:val="006E124A"/>
    <w:rsid w:val="006E1263"/>
    <w:rsid w:val="006E132C"/>
    <w:rsid w:val="006E138B"/>
    <w:rsid w:val="006E14AA"/>
    <w:rsid w:val="006E14B9"/>
    <w:rsid w:val="006E14C8"/>
    <w:rsid w:val="006E16F0"/>
    <w:rsid w:val="006E172F"/>
    <w:rsid w:val="006E1850"/>
    <w:rsid w:val="006E1867"/>
    <w:rsid w:val="006E1A16"/>
    <w:rsid w:val="006E1ADD"/>
    <w:rsid w:val="006E1B06"/>
    <w:rsid w:val="006E1B0A"/>
    <w:rsid w:val="006E1BA6"/>
    <w:rsid w:val="006E1C5E"/>
    <w:rsid w:val="006E1CD6"/>
    <w:rsid w:val="006E1D84"/>
    <w:rsid w:val="006E1E02"/>
    <w:rsid w:val="006E1E6F"/>
    <w:rsid w:val="006E203E"/>
    <w:rsid w:val="006E2082"/>
    <w:rsid w:val="006E20A5"/>
    <w:rsid w:val="006E2219"/>
    <w:rsid w:val="006E24BD"/>
    <w:rsid w:val="006E24F7"/>
    <w:rsid w:val="006E2556"/>
    <w:rsid w:val="006E25FE"/>
    <w:rsid w:val="006E2642"/>
    <w:rsid w:val="006E264B"/>
    <w:rsid w:val="006E2842"/>
    <w:rsid w:val="006E28B4"/>
    <w:rsid w:val="006E291A"/>
    <w:rsid w:val="006E2A94"/>
    <w:rsid w:val="006E2BCA"/>
    <w:rsid w:val="006E2BE1"/>
    <w:rsid w:val="006E2C1F"/>
    <w:rsid w:val="006E2CDC"/>
    <w:rsid w:val="006E2D4A"/>
    <w:rsid w:val="006E2EF9"/>
    <w:rsid w:val="006E2EFE"/>
    <w:rsid w:val="006E2F0A"/>
    <w:rsid w:val="006E2F36"/>
    <w:rsid w:val="006E2FE3"/>
    <w:rsid w:val="006E3178"/>
    <w:rsid w:val="006E33B9"/>
    <w:rsid w:val="006E3514"/>
    <w:rsid w:val="006E35B8"/>
    <w:rsid w:val="006E3819"/>
    <w:rsid w:val="006E391E"/>
    <w:rsid w:val="006E3945"/>
    <w:rsid w:val="006E3975"/>
    <w:rsid w:val="006E3CC8"/>
    <w:rsid w:val="006E3D5A"/>
    <w:rsid w:val="006E4129"/>
    <w:rsid w:val="006E4677"/>
    <w:rsid w:val="006E46DF"/>
    <w:rsid w:val="006E49FD"/>
    <w:rsid w:val="006E4AF5"/>
    <w:rsid w:val="006E4BEE"/>
    <w:rsid w:val="006E4E0C"/>
    <w:rsid w:val="006E4E35"/>
    <w:rsid w:val="006E4EAC"/>
    <w:rsid w:val="006E4F30"/>
    <w:rsid w:val="006E4F4F"/>
    <w:rsid w:val="006E5083"/>
    <w:rsid w:val="006E5103"/>
    <w:rsid w:val="006E5108"/>
    <w:rsid w:val="006E5301"/>
    <w:rsid w:val="006E535E"/>
    <w:rsid w:val="006E53A9"/>
    <w:rsid w:val="006E559B"/>
    <w:rsid w:val="006E588E"/>
    <w:rsid w:val="006E5904"/>
    <w:rsid w:val="006E5920"/>
    <w:rsid w:val="006E5966"/>
    <w:rsid w:val="006E59A8"/>
    <w:rsid w:val="006E59E4"/>
    <w:rsid w:val="006E5A44"/>
    <w:rsid w:val="006E5AC2"/>
    <w:rsid w:val="006E5BCB"/>
    <w:rsid w:val="006E5BF0"/>
    <w:rsid w:val="006E5D66"/>
    <w:rsid w:val="006E5D82"/>
    <w:rsid w:val="006E5DBE"/>
    <w:rsid w:val="006E610E"/>
    <w:rsid w:val="006E61A5"/>
    <w:rsid w:val="006E61F8"/>
    <w:rsid w:val="006E6457"/>
    <w:rsid w:val="006E648E"/>
    <w:rsid w:val="006E6579"/>
    <w:rsid w:val="006E658F"/>
    <w:rsid w:val="006E65A3"/>
    <w:rsid w:val="006E671E"/>
    <w:rsid w:val="006E67F7"/>
    <w:rsid w:val="006E6872"/>
    <w:rsid w:val="006E690E"/>
    <w:rsid w:val="006E6B2C"/>
    <w:rsid w:val="006E6D25"/>
    <w:rsid w:val="006E6EB9"/>
    <w:rsid w:val="006E6F6A"/>
    <w:rsid w:val="006E6F7F"/>
    <w:rsid w:val="006E7109"/>
    <w:rsid w:val="006E7404"/>
    <w:rsid w:val="006E7495"/>
    <w:rsid w:val="006E7534"/>
    <w:rsid w:val="006E755B"/>
    <w:rsid w:val="006E7561"/>
    <w:rsid w:val="006E7759"/>
    <w:rsid w:val="006E776A"/>
    <w:rsid w:val="006E77A0"/>
    <w:rsid w:val="006E77B7"/>
    <w:rsid w:val="006E79C5"/>
    <w:rsid w:val="006E79D8"/>
    <w:rsid w:val="006E79FF"/>
    <w:rsid w:val="006E7A04"/>
    <w:rsid w:val="006E7A40"/>
    <w:rsid w:val="006E7AE5"/>
    <w:rsid w:val="006E7B3C"/>
    <w:rsid w:val="006E7BFF"/>
    <w:rsid w:val="006E7C10"/>
    <w:rsid w:val="006E7C29"/>
    <w:rsid w:val="006E7C6F"/>
    <w:rsid w:val="006E7DAE"/>
    <w:rsid w:val="006E7E44"/>
    <w:rsid w:val="006E7E8F"/>
    <w:rsid w:val="006E7FF2"/>
    <w:rsid w:val="006F0298"/>
    <w:rsid w:val="006F0330"/>
    <w:rsid w:val="006F0378"/>
    <w:rsid w:val="006F03A0"/>
    <w:rsid w:val="006F03FE"/>
    <w:rsid w:val="006F0415"/>
    <w:rsid w:val="006F04B5"/>
    <w:rsid w:val="006F04C8"/>
    <w:rsid w:val="006F05B6"/>
    <w:rsid w:val="006F05EA"/>
    <w:rsid w:val="006F0987"/>
    <w:rsid w:val="006F09F5"/>
    <w:rsid w:val="006F0A03"/>
    <w:rsid w:val="006F0AAA"/>
    <w:rsid w:val="006F0B9D"/>
    <w:rsid w:val="006F0BD9"/>
    <w:rsid w:val="006F0D99"/>
    <w:rsid w:val="006F0DEB"/>
    <w:rsid w:val="006F11C4"/>
    <w:rsid w:val="006F1219"/>
    <w:rsid w:val="006F1246"/>
    <w:rsid w:val="006F1260"/>
    <w:rsid w:val="006F127C"/>
    <w:rsid w:val="006F12FB"/>
    <w:rsid w:val="006F137F"/>
    <w:rsid w:val="006F163E"/>
    <w:rsid w:val="006F1665"/>
    <w:rsid w:val="006F17A5"/>
    <w:rsid w:val="006F17FA"/>
    <w:rsid w:val="006F188E"/>
    <w:rsid w:val="006F19BD"/>
    <w:rsid w:val="006F1ADF"/>
    <w:rsid w:val="006F1C7C"/>
    <w:rsid w:val="006F1E5C"/>
    <w:rsid w:val="006F1E66"/>
    <w:rsid w:val="006F1EAF"/>
    <w:rsid w:val="006F1FC4"/>
    <w:rsid w:val="006F1FDC"/>
    <w:rsid w:val="006F20CB"/>
    <w:rsid w:val="006F213C"/>
    <w:rsid w:val="006F21F3"/>
    <w:rsid w:val="006F24C3"/>
    <w:rsid w:val="006F255B"/>
    <w:rsid w:val="006F260E"/>
    <w:rsid w:val="006F260F"/>
    <w:rsid w:val="006F27E7"/>
    <w:rsid w:val="006F283C"/>
    <w:rsid w:val="006F2ABA"/>
    <w:rsid w:val="006F2B41"/>
    <w:rsid w:val="006F2C5A"/>
    <w:rsid w:val="006F2C6A"/>
    <w:rsid w:val="006F2DA1"/>
    <w:rsid w:val="006F2FB2"/>
    <w:rsid w:val="006F2FB8"/>
    <w:rsid w:val="006F308F"/>
    <w:rsid w:val="006F3185"/>
    <w:rsid w:val="006F3191"/>
    <w:rsid w:val="006F32D4"/>
    <w:rsid w:val="006F3409"/>
    <w:rsid w:val="006F34D8"/>
    <w:rsid w:val="006F350A"/>
    <w:rsid w:val="006F3703"/>
    <w:rsid w:val="006F39C0"/>
    <w:rsid w:val="006F39D7"/>
    <w:rsid w:val="006F39F5"/>
    <w:rsid w:val="006F3B80"/>
    <w:rsid w:val="006F3C07"/>
    <w:rsid w:val="006F3C36"/>
    <w:rsid w:val="006F3CA9"/>
    <w:rsid w:val="006F3DEE"/>
    <w:rsid w:val="006F3F7D"/>
    <w:rsid w:val="006F3F91"/>
    <w:rsid w:val="006F4096"/>
    <w:rsid w:val="006F41E9"/>
    <w:rsid w:val="006F427E"/>
    <w:rsid w:val="006F4301"/>
    <w:rsid w:val="006F434C"/>
    <w:rsid w:val="006F4357"/>
    <w:rsid w:val="006F4391"/>
    <w:rsid w:val="006F44F6"/>
    <w:rsid w:val="006F468C"/>
    <w:rsid w:val="006F4811"/>
    <w:rsid w:val="006F4823"/>
    <w:rsid w:val="006F4847"/>
    <w:rsid w:val="006F4970"/>
    <w:rsid w:val="006F4976"/>
    <w:rsid w:val="006F4B6C"/>
    <w:rsid w:val="006F4C90"/>
    <w:rsid w:val="006F4EEF"/>
    <w:rsid w:val="006F4EFD"/>
    <w:rsid w:val="006F4F5E"/>
    <w:rsid w:val="006F4FE3"/>
    <w:rsid w:val="006F50BF"/>
    <w:rsid w:val="006F50DB"/>
    <w:rsid w:val="006F5106"/>
    <w:rsid w:val="006F51A9"/>
    <w:rsid w:val="006F5437"/>
    <w:rsid w:val="006F545F"/>
    <w:rsid w:val="006F55D6"/>
    <w:rsid w:val="006F55EB"/>
    <w:rsid w:val="006F56E8"/>
    <w:rsid w:val="006F5B09"/>
    <w:rsid w:val="006F5C1F"/>
    <w:rsid w:val="006F5FD2"/>
    <w:rsid w:val="006F5FE7"/>
    <w:rsid w:val="006F60D8"/>
    <w:rsid w:val="006F6214"/>
    <w:rsid w:val="006F6394"/>
    <w:rsid w:val="006F644F"/>
    <w:rsid w:val="006F65C9"/>
    <w:rsid w:val="006F6648"/>
    <w:rsid w:val="006F690F"/>
    <w:rsid w:val="006F6921"/>
    <w:rsid w:val="006F69E4"/>
    <w:rsid w:val="006F6A0F"/>
    <w:rsid w:val="006F6B65"/>
    <w:rsid w:val="006F6B76"/>
    <w:rsid w:val="006F6B8C"/>
    <w:rsid w:val="006F6CE6"/>
    <w:rsid w:val="006F6D9C"/>
    <w:rsid w:val="006F6E7D"/>
    <w:rsid w:val="006F6EB5"/>
    <w:rsid w:val="006F6ED1"/>
    <w:rsid w:val="006F6F89"/>
    <w:rsid w:val="006F6F90"/>
    <w:rsid w:val="006F6FD0"/>
    <w:rsid w:val="006F7136"/>
    <w:rsid w:val="006F71C8"/>
    <w:rsid w:val="006F72BD"/>
    <w:rsid w:val="006F732C"/>
    <w:rsid w:val="006F75F4"/>
    <w:rsid w:val="006F787E"/>
    <w:rsid w:val="006F78F9"/>
    <w:rsid w:val="006F79E2"/>
    <w:rsid w:val="006F7B70"/>
    <w:rsid w:val="006F7DAC"/>
    <w:rsid w:val="006F7F57"/>
    <w:rsid w:val="006F7FF3"/>
    <w:rsid w:val="00700035"/>
    <w:rsid w:val="00700138"/>
    <w:rsid w:val="007001D3"/>
    <w:rsid w:val="0070022D"/>
    <w:rsid w:val="00700299"/>
    <w:rsid w:val="00700319"/>
    <w:rsid w:val="00700367"/>
    <w:rsid w:val="0070039F"/>
    <w:rsid w:val="00700514"/>
    <w:rsid w:val="00700547"/>
    <w:rsid w:val="00700624"/>
    <w:rsid w:val="007008EE"/>
    <w:rsid w:val="007009AD"/>
    <w:rsid w:val="00700A3C"/>
    <w:rsid w:val="00700A3F"/>
    <w:rsid w:val="00700B4E"/>
    <w:rsid w:val="00700BB6"/>
    <w:rsid w:val="00700C33"/>
    <w:rsid w:val="00700E84"/>
    <w:rsid w:val="00701115"/>
    <w:rsid w:val="0070124A"/>
    <w:rsid w:val="007012BB"/>
    <w:rsid w:val="007012ED"/>
    <w:rsid w:val="007013EF"/>
    <w:rsid w:val="00701451"/>
    <w:rsid w:val="00701567"/>
    <w:rsid w:val="0070169F"/>
    <w:rsid w:val="007016E8"/>
    <w:rsid w:val="00701851"/>
    <w:rsid w:val="00701935"/>
    <w:rsid w:val="0070197C"/>
    <w:rsid w:val="00701C21"/>
    <w:rsid w:val="00701CF1"/>
    <w:rsid w:val="00701D78"/>
    <w:rsid w:val="00701E95"/>
    <w:rsid w:val="00701F8D"/>
    <w:rsid w:val="00701FD4"/>
    <w:rsid w:val="00701FF9"/>
    <w:rsid w:val="0070203A"/>
    <w:rsid w:val="007020D2"/>
    <w:rsid w:val="007020F8"/>
    <w:rsid w:val="00702199"/>
    <w:rsid w:val="007021C1"/>
    <w:rsid w:val="007021F5"/>
    <w:rsid w:val="0070268F"/>
    <w:rsid w:val="00702693"/>
    <w:rsid w:val="00702920"/>
    <w:rsid w:val="007029F3"/>
    <w:rsid w:val="00702B30"/>
    <w:rsid w:val="00702B6E"/>
    <w:rsid w:val="00702DC8"/>
    <w:rsid w:val="00702F8B"/>
    <w:rsid w:val="00703026"/>
    <w:rsid w:val="007030AD"/>
    <w:rsid w:val="007030C7"/>
    <w:rsid w:val="00703154"/>
    <w:rsid w:val="00703444"/>
    <w:rsid w:val="00703497"/>
    <w:rsid w:val="007039DE"/>
    <w:rsid w:val="00703D0E"/>
    <w:rsid w:val="00703D57"/>
    <w:rsid w:val="00703F52"/>
    <w:rsid w:val="0070400C"/>
    <w:rsid w:val="00704087"/>
    <w:rsid w:val="007040A0"/>
    <w:rsid w:val="007040F3"/>
    <w:rsid w:val="00704105"/>
    <w:rsid w:val="00704119"/>
    <w:rsid w:val="0070411A"/>
    <w:rsid w:val="00704130"/>
    <w:rsid w:val="0070413F"/>
    <w:rsid w:val="007042D3"/>
    <w:rsid w:val="00704447"/>
    <w:rsid w:val="0070446C"/>
    <w:rsid w:val="0070481A"/>
    <w:rsid w:val="0070484A"/>
    <w:rsid w:val="00704C19"/>
    <w:rsid w:val="00704C9A"/>
    <w:rsid w:val="00704CFE"/>
    <w:rsid w:val="00704DDE"/>
    <w:rsid w:val="00704E50"/>
    <w:rsid w:val="00704F96"/>
    <w:rsid w:val="00705050"/>
    <w:rsid w:val="00705059"/>
    <w:rsid w:val="0070508D"/>
    <w:rsid w:val="00705472"/>
    <w:rsid w:val="0070548F"/>
    <w:rsid w:val="007054D9"/>
    <w:rsid w:val="0070555F"/>
    <w:rsid w:val="007055BD"/>
    <w:rsid w:val="0070573A"/>
    <w:rsid w:val="007057AB"/>
    <w:rsid w:val="0070588D"/>
    <w:rsid w:val="007059A3"/>
    <w:rsid w:val="007059EC"/>
    <w:rsid w:val="00705A75"/>
    <w:rsid w:val="00705B0F"/>
    <w:rsid w:val="00705B2A"/>
    <w:rsid w:val="00705BDA"/>
    <w:rsid w:val="00705C0C"/>
    <w:rsid w:val="00705C44"/>
    <w:rsid w:val="00705C77"/>
    <w:rsid w:val="00705CF6"/>
    <w:rsid w:val="00705CFF"/>
    <w:rsid w:val="00705E8A"/>
    <w:rsid w:val="007060D4"/>
    <w:rsid w:val="00706145"/>
    <w:rsid w:val="007065A2"/>
    <w:rsid w:val="00706700"/>
    <w:rsid w:val="00706799"/>
    <w:rsid w:val="007067C8"/>
    <w:rsid w:val="00706950"/>
    <w:rsid w:val="00706A11"/>
    <w:rsid w:val="00706BA6"/>
    <w:rsid w:val="00706C81"/>
    <w:rsid w:val="00706CAC"/>
    <w:rsid w:val="00706D6E"/>
    <w:rsid w:val="00706E03"/>
    <w:rsid w:val="00706E1F"/>
    <w:rsid w:val="00706E83"/>
    <w:rsid w:val="00706EEF"/>
    <w:rsid w:val="00706EFA"/>
    <w:rsid w:val="00706F32"/>
    <w:rsid w:val="00706F6E"/>
    <w:rsid w:val="00706F83"/>
    <w:rsid w:val="00707131"/>
    <w:rsid w:val="00707147"/>
    <w:rsid w:val="00707188"/>
    <w:rsid w:val="0070732E"/>
    <w:rsid w:val="00707373"/>
    <w:rsid w:val="007073DE"/>
    <w:rsid w:val="00707470"/>
    <w:rsid w:val="00707590"/>
    <w:rsid w:val="0070765F"/>
    <w:rsid w:val="007077FE"/>
    <w:rsid w:val="00707846"/>
    <w:rsid w:val="007078BE"/>
    <w:rsid w:val="0070796A"/>
    <w:rsid w:val="00707B6A"/>
    <w:rsid w:val="00707BF3"/>
    <w:rsid w:val="00707D39"/>
    <w:rsid w:val="00707E4E"/>
    <w:rsid w:val="00707E85"/>
    <w:rsid w:val="00710026"/>
    <w:rsid w:val="0071017B"/>
    <w:rsid w:val="007101D0"/>
    <w:rsid w:val="007102E8"/>
    <w:rsid w:val="0071046D"/>
    <w:rsid w:val="007104B9"/>
    <w:rsid w:val="007106E3"/>
    <w:rsid w:val="007107C5"/>
    <w:rsid w:val="007107DA"/>
    <w:rsid w:val="0071093A"/>
    <w:rsid w:val="00710944"/>
    <w:rsid w:val="00710957"/>
    <w:rsid w:val="00710BC8"/>
    <w:rsid w:val="00710D51"/>
    <w:rsid w:val="00710D58"/>
    <w:rsid w:val="00710F1E"/>
    <w:rsid w:val="00710F98"/>
    <w:rsid w:val="007111CB"/>
    <w:rsid w:val="007111E9"/>
    <w:rsid w:val="00711227"/>
    <w:rsid w:val="00711252"/>
    <w:rsid w:val="00711463"/>
    <w:rsid w:val="00711480"/>
    <w:rsid w:val="00711541"/>
    <w:rsid w:val="007115EE"/>
    <w:rsid w:val="007116DD"/>
    <w:rsid w:val="007117B5"/>
    <w:rsid w:val="00711853"/>
    <w:rsid w:val="0071186D"/>
    <w:rsid w:val="0071194F"/>
    <w:rsid w:val="00711960"/>
    <w:rsid w:val="00711ADE"/>
    <w:rsid w:val="00711BA5"/>
    <w:rsid w:val="00711E22"/>
    <w:rsid w:val="00711F22"/>
    <w:rsid w:val="007122AD"/>
    <w:rsid w:val="0071235B"/>
    <w:rsid w:val="007124B9"/>
    <w:rsid w:val="0071257D"/>
    <w:rsid w:val="007125B5"/>
    <w:rsid w:val="00712627"/>
    <w:rsid w:val="00712641"/>
    <w:rsid w:val="00712670"/>
    <w:rsid w:val="007126B5"/>
    <w:rsid w:val="0071276C"/>
    <w:rsid w:val="007128BD"/>
    <w:rsid w:val="00712927"/>
    <w:rsid w:val="00712A24"/>
    <w:rsid w:val="00712C5A"/>
    <w:rsid w:val="00712D25"/>
    <w:rsid w:val="00712D2F"/>
    <w:rsid w:val="00712F1C"/>
    <w:rsid w:val="0071304B"/>
    <w:rsid w:val="00713076"/>
    <w:rsid w:val="007130AE"/>
    <w:rsid w:val="007131A4"/>
    <w:rsid w:val="007132AB"/>
    <w:rsid w:val="007132DF"/>
    <w:rsid w:val="007133FD"/>
    <w:rsid w:val="0071343B"/>
    <w:rsid w:val="007134C0"/>
    <w:rsid w:val="00713575"/>
    <w:rsid w:val="0071360D"/>
    <w:rsid w:val="00713644"/>
    <w:rsid w:val="0071373C"/>
    <w:rsid w:val="0071397D"/>
    <w:rsid w:val="007139AF"/>
    <w:rsid w:val="00713A82"/>
    <w:rsid w:val="00713ACE"/>
    <w:rsid w:val="00713B8B"/>
    <w:rsid w:val="00713BDC"/>
    <w:rsid w:val="00713D95"/>
    <w:rsid w:val="00713FDC"/>
    <w:rsid w:val="00714085"/>
    <w:rsid w:val="00714130"/>
    <w:rsid w:val="00714243"/>
    <w:rsid w:val="007142BD"/>
    <w:rsid w:val="007143FF"/>
    <w:rsid w:val="00714560"/>
    <w:rsid w:val="0071456B"/>
    <w:rsid w:val="00714660"/>
    <w:rsid w:val="00714867"/>
    <w:rsid w:val="00714874"/>
    <w:rsid w:val="007148CC"/>
    <w:rsid w:val="00714942"/>
    <w:rsid w:val="007149D0"/>
    <w:rsid w:val="00714A73"/>
    <w:rsid w:val="00714CBA"/>
    <w:rsid w:val="00714DC0"/>
    <w:rsid w:val="00714E99"/>
    <w:rsid w:val="0071500F"/>
    <w:rsid w:val="007150FC"/>
    <w:rsid w:val="0071520A"/>
    <w:rsid w:val="00715268"/>
    <w:rsid w:val="00715363"/>
    <w:rsid w:val="00715437"/>
    <w:rsid w:val="007154F8"/>
    <w:rsid w:val="00715509"/>
    <w:rsid w:val="007156BD"/>
    <w:rsid w:val="007159EB"/>
    <w:rsid w:val="00715A5D"/>
    <w:rsid w:val="00715A77"/>
    <w:rsid w:val="00715AE2"/>
    <w:rsid w:val="00715E87"/>
    <w:rsid w:val="00715F1A"/>
    <w:rsid w:val="00715F28"/>
    <w:rsid w:val="007160CC"/>
    <w:rsid w:val="00716325"/>
    <w:rsid w:val="00716345"/>
    <w:rsid w:val="007164C9"/>
    <w:rsid w:val="0071656F"/>
    <w:rsid w:val="00716616"/>
    <w:rsid w:val="00716731"/>
    <w:rsid w:val="007167D6"/>
    <w:rsid w:val="007167E6"/>
    <w:rsid w:val="007168A0"/>
    <w:rsid w:val="00716CE9"/>
    <w:rsid w:val="00716DA4"/>
    <w:rsid w:val="00716F4A"/>
    <w:rsid w:val="0071702F"/>
    <w:rsid w:val="00717137"/>
    <w:rsid w:val="0071715B"/>
    <w:rsid w:val="0071715C"/>
    <w:rsid w:val="00717319"/>
    <w:rsid w:val="007173CA"/>
    <w:rsid w:val="0071754E"/>
    <w:rsid w:val="00717677"/>
    <w:rsid w:val="007176BD"/>
    <w:rsid w:val="00717845"/>
    <w:rsid w:val="00717992"/>
    <w:rsid w:val="00717B0F"/>
    <w:rsid w:val="00717B66"/>
    <w:rsid w:val="00717BC3"/>
    <w:rsid w:val="00717BD7"/>
    <w:rsid w:val="00717C63"/>
    <w:rsid w:val="00717D96"/>
    <w:rsid w:val="00717FAC"/>
    <w:rsid w:val="0072005D"/>
    <w:rsid w:val="007200C1"/>
    <w:rsid w:val="007200C5"/>
    <w:rsid w:val="0072024E"/>
    <w:rsid w:val="00720335"/>
    <w:rsid w:val="007203BB"/>
    <w:rsid w:val="00720428"/>
    <w:rsid w:val="007204E6"/>
    <w:rsid w:val="00720540"/>
    <w:rsid w:val="007205ED"/>
    <w:rsid w:val="007206EB"/>
    <w:rsid w:val="007207A6"/>
    <w:rsid w:val="007209B6"/>
    <w:rsid w:val="00720B2F"/>
    <w:rsid w:val="00720B41"/>
    <w:rsid w:val="00720B8B"/>
    <w:rsid w:val="00720D20"/>
    <w:rsid w:val="00720E21"/>
    <w:rsid w:val="00720E86"/>
    <w:rsid w:val="00720F03"/>
    <w:rsid w:val="00720F20"/>
    <w:rsid w:val="00720F54"/>
    <w:rsid w:val="00720FD2"/>
    <w:rsid w:val="0072104F"/>
    <w:rsid w:val="00721138"/>
    <w:rsid w:val="0072117E"/>
    <w:rsid w:val="007211D3"/>
    <w:rsid w:val="0072142C"/>
    <w:rsid w:val="00721519"/>
    <w:rsid w:val="007216AA"/>
    <w:rsid w:val="007216AD"/>
    <w:rsid w:val="007217DD"/>
    <w:rsid w:val="0072187C"/>
    <w:rsid w:val="007219CB"/>
    <w:rsid w:val="00721AB5"/>
    <w:rsid w:val="00721B36"/>
    <w:rsid w:val="00721BE5"/>
    <w:rsid w:val="00721C2A"/>
    <w:rsid w:val="00721C49"/>
    <w:rsid w:val="00721CA9"/>
    <w:rsid w:val="00721CFB"/>
    <w:rsid w:val="00721DD5"/>
    <w:rsid w:val="00721DEF"/>
    <w:rsid w:val="00721E21"/>
    <w:rsid w:val="00721EF4"/>
    <w:rsid w:val="00721F10"/>
    <w:rsid w:val="00722093"/>
    <w:rsid w:val="007220E7"/>
    <w:rsid w:val="0072217A"/>
    <w:rsid w:val="007221BB"/>
    <w:rsid w:val="007221DA"/>
    <w:rsid w:val="0072221C"/>
    <w:rsid w:val="0072225F"/>
    <w:rsid w:val="00722331"/>
    <w:rsid w:val="0072243E"/>
    <w:rsid w:val="00722449"/>
    <w:rsid w:val="007225AB"/>
    <w:rsid w:val="007225B0"/>
    <w:rsid w:val="007225DB"/>
    <w:rsid w:val="007225EF"/>
    <w:rsid w:val="00722698"/>
    <w:rsid w:val="007226F0"/>
    <w:rsid w:val="00722737"/>
    <w:rsid w:val="00722866"/>
    <w:rsid w:val="007228E0"/>
    <w:rsid w:val="00722919"/>
    <w:rsid w:val="00722968"/>
    <w:rsid w:val="00722A28"/>
    <w:rsid w:val="00722A38"/>
    <w:rsid w:val="00722BDE"/>
    <w:rsid w:val="00722BFD"/>
    <w:rsid w:val="00722CEC"/>
    <w:rsid w:val="00722DA9"/>
    <w:rsid w:val="00722F0F"/>
    <w:rsid w:val="00723022"/>
    <w:rsid w:val="00723141"/>
    <w:rsid w:val="007231E7"/>
    <w:rsid w:val="00723416"/>
    <w:rsid w:val="0072344E"/>
    <w:rsid w:val="00723723"/>
    <w:rsid w:val="007238BC"/>
    <w:rsid w:val="007238F8"/>
    <w:rsid w:val="007239A8"/>
    <w:rsid w:val="00723AB7"/>
    <w:rsid w:val="00723AD5"/>
    <w:rsid w:val="00723B52"/>
    <w:rsid w:val="00723B54"/>
    <w:rsid w:val="00723C39"/>
    <w:rsid w:val="00723D05"/>
    <w:rsid w:val="00723F2B"/>
    <w:rsid w:val="00723F9C"/>
    <w:rsid w:val="00724022"/>
    <w:rsid w:val="0072448D"/>
    <w:rsid w:val="00724636"/>
    <w:rsid w:val="007246F5"/>
    <w:rsid w:val="00724726"/>
    <w:rsid w:val="00724892"/>
    <w:rsid w:val="007248F9"/>
    <w:rsid w:val="00724A35"/>
    <w:rsid w:val="00724A43"/>
    <w:rsid w:val="00724AAF"/>
    <w:rsid w:val="00724B41"/>
    <w:rsid w:val="00724C7A"/>
    <w:rsid w:val="00725063"/>
    <w:rsid w:val="00725077"/>
    <w:rsid w:val="007250F5"/>
    <w:rsid w:val="00725249"/>
    <w:rsid w:val="00725353"/>
    <w:rsid w:val="0072535C"/>
    <w:rsid w:val="007253D0"/>
    <w:rsid w:val="00725450"/>
    <w:rsid w:val="00725464"/>
    <w:rsid w:val="0072555C"/>
    <w:rsid w:val="00725674"/>
    <w:rsid w:val="00725765"/>
    <w:rsid w:val="00725783"/>
    <w:rsid w:val="007257A6"/>
    <w:rsid w:val="0072588E"/>
    <w:rsid w:val="00725916"/>
    <w:rsid w:val="00725989"/>
    <w:rsid w:val="00725AED"/>
    <w:rsid w:val="00725C9A"/>
    <w:rsid w:val="00725E15"/>
    <w:rsid w:val="00725FF3"/>
    <w:rsid w:val="00726196"/>
    <w:rsid w:val="00726212"/>
    <w:rsid w:val="0072621D"/>
    <w:rsid w:val="0072647B"/>
    <w:rsid w:val="00726905"/>
    <w:rsid w:val="00726C77"/>
    <w:rsid w:val="00726C82"/>
    <w:rsid w:val="00726CC8"/>
    <w:rsid w:val="00726D0A"/>
    <w:rsid w:val="00726D2C"/>
    <w:rsid w:val="00726D5C"/>
    <w:rsid w:val="00726E0C"/>
    <w:rsid w:val="00726E20"/>
    <w:rsid w:val="00726EC7"/>
    <w:rsid w:val="00726F53"/>
    <w:rsid w:val="00726FB1"/>
    <w:rsid w:val="00727170"/>
    <w:rsid w:val="007271E0"/>
    <w:rsid w:val="0072722E"/>
    <w:rsid w:val="007272BD"/>
    <w:rsid w:val="007273AC"/>
    <w:rsid w:val="007273FB"/>
    <w:rsid w:val="0072761B"/>
    <w:rsid w:val="00727635"/>
    <w:rsid w:val="00727775"/>
    <w:rsid w:val="0072787D"/>
    <w:rsid w:val="007278B4"/>
    <w:rsid w:val="00727C44"/>
    <w:rsid w:val="00727C6F"/>
    <w:rsid w:val="00727C8C"/>
    <w:rsid w:val="00727CB0"/>
    <w:rsid w:val="00727E51"/>
    <w:rsid w:val="00727E59"/>
    <w:rsid w:val="007300FE"/>
    <w:rsid w:val="007301D3"/>
    <w:rsid w:val="00730348"/>
    <w:rsid w:val="007305F8"/>
    <w:rsid w:val="0073084E"/>
    <w:rsid w:val="00730B09"/>
    <w:rsid w:val="00730B2E"/>
    <w:rsid w:val="00730B62"/>
    <w:rsid w:val="00730D06"/>
    <w:rsid w:val="00730D45"/>
    <w:rsid w:val="00730DCC"/>
    <w:rsid w:val="00730DD3"/>
    <w:rsid w:val="00730DD9"/>
    <w:rsid w:val="00730DDF"/>
    <w:rsid w:val="00730E35"/>
    <w:rsid w:val="00730F93"/>
    <w:rsid w:val="007310FE"/>
    <w:rsid w:val="007311CD"/>
    <w:rsid w:val="007312AB"/>
    <w:rsid w:val="00731486"/>
    <w:rsid w:val="007314B8"/>
    <w:rsid w:val="007314B9"/>
    <w:rsid w:val="0073153E"/>
    <w:rsid w:val="0073157E"/>
    <w:rsid w:val="00731581"/>
    <w:rsid w:val="00731683"/>
    <w:rsid w:val="0073174D"/>
    <w:rsid w:val="007317E0"/>
    <w:rsid w:val="00731892"/>
    <w:rsid w:val="007318F5"/>
    <w:rsid w:val="0073190B"/>
    <w:rsid w:val="00731944"/>
    <w:rsid w:val="00731AD4"/>
    <w:rsid w:val="00731CB2"/>
    <w:rsid w:val="00732031"/>
    <w:rsid w:val="00732033"/>
    <w:rsid w:val="007322AE"/>
    <w:rsid w:val="00732412"/>
    <w:rsid w:val="007324D8"/>
    <w:rsid w:val="007324F1"/>
    <w:rsid w:val="00732506"/>
    <w:rsid w:val="00732558"/>
    <w:rsid w:val="00732573"/>
    <w:rsid w:val="007325B1"/>
    <w:rsid w:val="0073274F"/>
    <w:rsid w:val="00732759"/>
    <w:rsid w:val="007327A3"/>
    <w:rsid w:val="007327D7"/>
    <w:rsid w:val="0073285B"/>
    <w:rsid w:val="00732890"/>
    <w:rsid w:val="0073292A"/>
    <w:rsid w:val="00732A28"/>
    <w:rsid w:val="00732BF5"/>
    <w:rsid w:val="00732DA1"/>
    <w:rsid w:val="00732F06"/>
    <w:rsid w:val="00732F11"/>
    <w:rsid w:val="00732F20"/>
    <w:rsid w:val="00732F93"/>
    <w:rsid w:val="00732FAC"/>
    <w:rsid w:val="00733002"/>
    <w:rsid w:val="00733020"/>
    <w:rsid w:val="00733255"/>
    <w:rsid w:val="00733294"/>
    <w:rsid w:val="007332BA"/>
    <w:rsid w:val="00733341"/>
    <w:rsid w:val="00733498"/>
    <w:rsid w:val="007336A6"/>
    <w:rsid w:val="007337C0"/>
    <w:rsid w:val="007337FF"/>
    <w:rsid w:val="007339E1"/>
    <w:rsid w:val="007339ED"/>
    <w:rsid w:val="00733B97"/>
    <w:rsid w:val="00733BEB"/>
    <w:rsid w:val="00733D51"/>
    <w:rsid w:val="00733EAA"/>
    <w:rsid w:val="00733F05"/>
    <w:rsid w:val="007341BA"/>
    <w:rsid w:val="00734207"/>
    <w:rsid w:val="007342A0"/>
    <w:rsid w:val="00734316"/>
    <w:rsid w:val="00734323"/>
    <w:rsid w:val="0073460C"/>
    <w:rsid w:val="007346E4"/>
    <w:rsid w:val="007347AD"/>
    <w:rsid w:val="00734939"/>
    <w:rsid w:val="00734AB8"/>
    <w:rsid w:val="00734D50"/>
    <w:rsid w:val="00734DDE"/>
    <w:rsid w:val="00734E27"/>
    <w:rsid w:val="00734F0F"/>
    <w:rsid w:val="00734F74"/>
    <w:rsid w:val="007350E1"/>
    <w:rsid w:val="007353D1"/>
    <w:rsid w:val="00735564"/>
    <w:rsid w:val="0073565F"/>
    <w:rsid w:val="007356BC"/>
    <w:rsid w:val="0073571A"/>
    <w:rsid w:val="0073572C"/>
    <w:rsid w:val="0073578D"/>
    <w:rsid w:val="0073592C"/>
    <w:rsid w:val="007359E3"/>
    <w:rsid w:val="007359ED"/>
    <w:rsid w:val="00735A11"/>
    <w:rsid w:val="00735AA8"/>
    <w:rsid w:val="00735ADD"/>
    <w:rsid w:val="00735B2C"/>
    <w:rsid w:val="00735B3C"/>
    <w:rsid w:val="00735B99"/>
    <w:rsid w:val="00735C9F"/>
    <w:rsid w:val="00735CBA"/>
    <w:rsid w:val="00735F4B"/>
    <w:rsid w:val="007360BD"/>
    <w:rsid w:val="00736107"/>
    <w:rsid w:val="00736418"/>
    <w:rsid w:val="007365B8"/>
    <w:rsid w:val="0073664B"/>
    <w:rsid w:val="007366D5"/>
    <w:rsid w:val="007367E5"/>
    <w:rsid w:val="007368BA"/>
    <w:rsid w:val="007369ED"/>
    <w:rsid w:val="00736AD7"/>
    <w:rsid w:val="00736B82"/>
    <w:rsid w:val="00736BE6"/>
    <w:rsid w:val="00736C92"/>
    <w:rsid w:val="00736F62"/>
    <w:rsid w:val="00736FA8"/>
    <w:rsid w:val="007370F6"/>
    <w:rsid w:val="007374F6"/>
    <w:rsid w:val="007376FE"/>
    <w:rsid w:val="0073770F"/>
    <w:rsid w:val="00737726"/>
    <w:rsid w:val="00737743"/>
    <w:rsid w:val="00737752"/>
    <w:rsid w:val="007377EC"/>
    <w:rsid w:val="007377FD"/>
    <w:rsid w:val="00737A33"/>
    <w:rsid w:val="00737A88"/>
    <w:rsid w:val="00737BD0"/>
    <w:rsid w:val="00737D20"/>
    <w:rsid w:val="00737E8B"/>
    <w:rsid w:val="00737EEA"/>
    <w:rsid w:val="00737FA1"/>
    <w:rsid w:val="00737FD2"/>
    <w:rsid w:val="00740093"/>
    <w:rsid w:val="0074015C"/>
    <w:rsid w:val="007403E8"/>
    <w:rsid w:val="00740457"/>
    <w:rsid w:val="00740537"/>
    <w:rsid w:val="007406E4"/>
    <w:rsid w:val="0074072F"/>
    <w:rsid w:val="007407A9"/>
    <w:rsid w:val="00740801"/>
    <w:rsid w:val="0074084F"/>
    <w:rsid w:val="007408AE"/>
    <w:rsid w:val="007409EB"/>
    <w:rsid w:val="00740A70"/>
    <w:rsid w:val="00740B9B"/>
    <w:rsid w:val="00740CBA"/>
    <w:rsid w:val="00740F22"/>
    <w:rsid w:val="00740F70"/>
    <w:rsid w:val="0074121B"/>
    <w:rsid w:val="007412AD"/>
    <w:rsid w:val="007412FB"/>
    <w:rsid w:val="007415B7"/>
    <w:rsid w:val="007415D1"/>
    <w:rsid w:val="00741635"/>
    <w:rsid w:val="0074165B"/>
    <w:rsid w:val="00741704"/>
    <w:rsid w:val="0074178D"/>
    <w:rsid w:val="007417B0"/>
    <w:rsid w:val="0074180E"/>
    <w:rsid w:val="007418EC"/>
    <w:rsid w:val="00741990"/>
    <w:rsid w:val="00741A91"/>
    <w:rsid w:val="00741CF0"/>
    <w:rsid w:val="00741CF4"/>
    <w:rsid w:val="00741D6D"/>
    <w:rsid w:val="00741DC0"/>
    <w:rsid w:val="00741F1A"/>
    <w:rsid w:val="00741F39"/>
    <w:rsid w:val="00742321"/>
    <w:rsid w:val="00742323"/>
    <w:rsid w:val="00742388"/>
    <w:rsid w:val="007424CC"/>
    <w:rsid w:val="0074250A"/>
    <w:rsid w:val="0074254B"/>
    <w:rsid w:val="0074260D"/>
    <w:rsid w:val="0074269C"/>
    <w:rsid w:val="007426B1"/>
    <w:rsid w:val="007426F5"/>
    <w:rsid w:val="00742807"/>
    <w:rsid w:val="00742890"/>
    <w:rsid w:val="0074297B"/>
    <w:rsid w:val="007429E4"/>
    <w:rsid w:val="00742B68"/>
    <w:rsid w:val="00742C3A"/>
    <w:rsid w:val="00742E77"/>
    <w:rsid w:val="00742EE3"/>
    <w:rsid w:val="007431F1"/>
    <w:rsid w:val="007433DE"/>
    <w:rsid w:val="00743421"/>
    <w:rsid w:val="00743514"/>
    <w:rsid w:val="0074356C"/>
    <w:rsid w:val="00743578"/>
    <w:rsid w:val="0074369E"/>
    <w:rsid w:val="007438B0"/>
    <w:rsid w:val="00743B3E"/>
    <w:rsid w:val="00743C1A"/>
    <w:rsid w:val="00743C77"/>
    <w:rsid w:val="00743CA1"/>
    <w:rsid w:val="00743CD8"/>
    <w:rsid w:val="00744070"/>
    <w:rsid w:val="00744084"/>
    <w:rsid w:val="00744141"/>
    <w:rsid w:val="007442DD"/>
    <w:rsid w:val="007443A8"/>
    <w:rsid w:val="00744515"/>
    <w:rsid w:val="007445E3"/>
    <w:rsid w:val="00744758"/>
    <w:rsid w:val="0074477B"/>
    <w:rsid w:val="007447DA"/>
    <w:rsid w:val="007448D2"/>
    <w:rsid w:val="007449CA"/>
    <w:rsid w:val="00744A7F"/>
    <w:rsid w:val="00744AC6"/>
    <w:rsid w:val="00744B84"/>
    <w:rsid w:val="00744B9F"/>
    <w:rsid w:val="00744CAD"/>
    <w:rsid w:val="00744CDC"/>
    <w:rsid w:val="00744E05"/>
    <w:rsid w:val="00744E06"/>
    <w:rsid w:val="007450F8"/>
    <w:rsid w:val="007451EB"/>
    <w:rsid w:val="007452EB"/>
    <w:rsid w:val="00745610"/>
    <w:rsid w:val="007456C1"/>
    <w:rsid w:val="007459B8"/>
    <w:rsid w:val="00745A2D"/>
    <w:rsid w:val="00745A7C"/>
    <w:rsid w:val="00745AC9"/>
    <w:rsid w:val="00745B37"/>
    <w:rsid w:val="00745C8A"/>
    <w:rsid w:val="00745CD7"/>
    <w:rsid w:val="00745D74"/>
    <w:rsid w:val="00745DC0"/>
    <w:rsid w:val="00745E2D"/>
    <w:rsid w:val="00745EDA"/>
    <w:rsid w:val="00746107"/>
    <w:rsid w:val="00746168"/>
    <w:rsid w:val="0074635F"/>
    <w:rsid w:val="0074658A"/>
    <w:rsid w:val="00746590"/>
    <w:rsid w:val="007465AB"/>
    <w:rsid w:val="00746753"/>
    <w:rsid w:val="007468B6"/>
    <w:rsid w:val="0074696E"/>
    <w:rsid w:val="00746ACB"/>
    <w:rsid w:val="00746E3B"/>
    <w:rsid w:val="00746EBD"/>
    <w:rsid w:val="00746ED2"/>
    <w:rsid w:val="00746EE5"/>
    <w:rsid w:val="00746EF3"/>
    <w:rsid w:val="00746FAA"/>
    <w:rsid w:val="007471BB"/>
    <w:rsid w:val="00747357"/>
    <w:rsid w:val="00747394"/>
    <w:rsid w:val="0074776E"/>
    <w:rsid w:val="007477CD"/>
    <w:rsid w:val="0074784C"/>
    <w:rsid w:val="0074785D"/>
    <w:rsid w:val="007479CE"/>
    <w:rsid w:val="00747A93"/>
    <w:rsid w:val="00747B68"/>
    <w:rsid w:val="00747CFF"/>
    <w:rsid w:val="00747D4E"/>
    <w:rsid w:val="00747D50"/>
    <w:rsid w:val="00747D88"/>
    <w:rsid w:val="00747E1E"/>
    <w:rsid w:val="00747E1F"/>
    <w:rsid w:val="00747E24"/>
    <w:rsid w:val="00750135"/>
    <w:rsid w:val="007501BA"/>
    <w:rsid w:val="007503CF"/>
    <w:rsid w:val="007503DA"/>
    <w:rsid w:val="007503FF"/>
    <w:rsid w:val="0075040E"/>
    <w:rsid w:val="00750420"/>
    <w:rsid w:val="00750512"/>
    <w:rsid w:val="007507AE"/>
    <w:rsid w:val="007507E2"/>
    <w:rsid w:val="007508AF"/>
    <w:rsid w:val="007508B4"/>
    <w:rsid w:val="007509AD"/>
    <w:rsid w:val="00750A6E"/>
    <w:rsid w:val="00750AB2"/>
    <w:rsid w:val="00750B62"/>
    <w:rsid w:val="00750CDB"/>
    <w:rsid w:val="00750E88"/>
    <w:rsid w:val="00750EC2"/>
    <w:rsid w:val="00750F3E"/>
    <w:rsid w:val="007510A9"/>
    <w:rsid w:val="007511D1"/>
    <w:rsid w:val="007511F5"/>
    <w:rsid w:val="00751313"/>
    <w:rsid w:val="00751495"/>
    <w:rsid w:val="00751529"/>
    <w:rsid w:val="0075157F"/>
    <w:rsid w:val="007515A4"/>
    <w:rsid w:val="007516BB"/>
    <w:rsid w:val="0075180D"/>
    <w:rsid w:val="0075191D"/>
    <w:rsid w:val="00751984"/>
    <w:rsid w:val="00751A02"/>
    <w:rsid w:val="00751CC1"/>
    <w:rsid w:val="00751DDD"/>
    <w:rsid w:val="00751DF1"/>
    <w:rsid w:val="00751EFB"/>
    <w:rsid w:val="00751FD7"/>
    <w:rsid w:val="0075201E"/>
    <w:rsid w:val="0075204F"/>
    <w:rsid w:val="007520DB"/>
    <w:rsid w:val="0075229F"/>
    <w:rsid w:val="007522EB"/>
    <w:rsid w:val="007522F1"/>
    <w:rsid w:val="007524E1"/>
    <w:rsid w:val="007525F2"/>
    <w:rsid w:val="0075260F"/>
    <w:rsid w:val="00752637"/>
    <w:rsid w:val="00752971"/>
    <w:rsid w:val="00752AE4"/>
    <w:rsid w:val="00752AF0"/>
    <w:rsid w:val="00752B28"/>
    <w:rsid w:val="00752C32"/>
    <w:rsid w:val="00752DF0"/>
    <w:rsid w:val="00752E6A"/>
    <w:rsid w:val="00752ECB"/>
    <w:rsid w:val="00752F18"/>
    <w:rsid w:val="00752F9D"/>
    <w:rsid w:val="00753026"/>
    <w:rsid w:val="00753073"/>
    <w:rsid w:val="007531C4"/>
    <w:rsid w:val="0075328D"/>
    <w:rsid w:val="007532DE"/>
    <w:rsid w:val="0075344B"/>
    <w:rsid w:val="0075348C"/>
    <w:rsid w:val="007536AF"/>
    <w:rsid w:val="007536BC"/>
    <w:rsid w:val="0075373A"/>
    <w:rsid w:val="0075377A"/>
    <w:rsid w:val="007538CB"/>
    <w:rsid w:val="007539A7"/>
    <w:rsid w:val="00753B63"/>
    <w:rsid w:val="00753D80"/>
    <w:rsid w:val="00753DDD"/>
    <w:rsid w:val="00753E12"/>
    <w:rsid w:val="00753E2B"/>
    <w:rsid w:val="00753F28"/>
    <w:rsid w:val="00753F75"/>
    <w:rsid w:val="00753F92"/>
    <w:rsid w:val="00754056"/>
    <w:rsid w:val="0075417C"/>
    <w:rsid w:val="007541A9"/>
    <w:rsid w:val="00754296"/>
    <w:rsid w:val="007542F3"/>
    <w:rsid w:val="007543D0"/>
    <w:rsid w:val="00754474"/>
    <w:rsid w:val="007544D0"/>
    <w:rsid w:val="007546AB"/>
    <w:rsid w:val="007546F1"/>
    <w:rsid w:val="007547BE"/>
    <w:rsid w:val="0075497F"/>
    <w:rsid w:val="00754A24"/>
    <w:rsid w:val="00754AE1"/>
    <w:rsid w:val="00754B3F"/>
    <w:rsid w:val="00754B5A"/>
    <w:rsid w:val="00754B75"/>
    <w:rsid w:val="00754C2E"/>
    <w:rsid w:val="00754C3D"/>
    <w:rsid w:val="00754D99"/>
    <w:rsid w:val="00754E36"/>
    <w:rsid w:val="00754EFE"/>
    <w:rsid w:val="0075506A"/>
    <w:rsid w:val="007550EF"/>
    <w:rsid w:val="00755228"/>
    <w:rsid w:val="00755236"/>
    <w:rsid w:val="0075528E"/>
    <w:rsid w:val="007553D8"/>
    <w:rsid w:val="00755420"/>
    <w:rsid w:val="00755556"/>
    <w:rsid w:val="00755633"/>
    <w:rsid w:val="00755878"/>
    <w:rsid w:val="0075590B"/>
    <w:rsid w:val="00755951"/>
    <w:rsid w:val="00755B08"/>
    <w:rsid w:val="00755B5B"/>
    <w:rsid w:val="00755BDE"/>
    <w:rsid w:val="00755D9C"/>
    <w:rsid w:val="007560A9"/>
    <w:rsid w:val="007562D3"/>
    <w:rsid w:val="00756468"/>
    <w:rsid w:val="007564A7"/>
    <w:rsid w:val="007564BD"/>
    <w:rsid w:val="007566FF"/>
    <w:rsid w:val="007567A4"/>
    <w:rsid w:val="00756917"/>
    <w:rsid w:val="00756A94"/>
    <w:rsid w:val="00756AD9"/>
    <w:rsid w:val="00756B25"/>
    <w:rsid w:val="00756CA7"/>
    <w:rsid w:val="00756DC6"/>
    <w:rsid w:val="00756E12"/>
    <w:rsid w:val="00756E28"/>
    <w:rsid w:val="00756F8E"/>
    <w:rsid w:val="007571AE"/>
    <w:rsid w:val="0075741B"/>
    <w:rsid w:val="007574E2"/>
    <w:rsid w:val="00757790"/>
    <w:rsid w:val="00757920"/>
    <w:rsid w:val="00757A1E"/>
    <w:rsid w:val="00757B01"/>
    <w:rsid w:val="00757B14"/>
    <w:rsid w:val="00757B32"/>
    <w:rsid w:val="00757BA4"/>
    <w:rsid w:val="00757D1F"/>
    <w:rsid w:val="00757DA7"/>
    <w:rsid w:val="00760326"/>
    <w:rsid w:val="0076035F"/>
    <w:rsid w:val="0076047A"/>
    <w:rsid w:val="00760679"/>
    <w:rsid w:val="00760843"/>
    <w:rsid w:val="007609BF"/>
    <w:rsid w:val="00760C5B"/>
    <w:rsid w:val="00760CE5"/>
    <w:rsid w:val="00760DAE"/>
    <w:rsid w:val="00760F6F"/>
    <w:rsid w:val="00760FA9"/>
    <w:rsid w:val="007610BC"/>
    <w:rsid w:val="0076115F"/>
    <w:rsid w:val="007611A2"/>
    <w:rsid w:val="007611BD"/>
    <w:rsid w:val="007611E2"/>
    <w:rsid w:val="0076151D"/>
    <w:rsid w:val="00761613"/>
    <w:rsid w:val="0076178B"/>
    <w:rsid w:val="0076185B"/>
    <w:rsid w:val="007619FB"/>
    <w:rsid w:val="00761ADF"/>
    <w:rsid w:val="00761AEB"/>
    <w:rsid w:val="00761C82"/>
    <w:rsid w:val="00761E00"/>
    <w:rsid w:val="00761FCF"/>
    <w:rsid w:val="00762344"/>
    <w:rsid w:val="007623C5"/>
    <w:rsid w:val="007623F4"/>
    <w:rsid w:val="00762603"/>
    <w:rsid w:val="007627A0"/>
    <w:rsid w:val="007627D1"/>
    <w:rsid w:val="0076281C"/>
    <w:rsid w:val="007628A3"/>
    <w:rsid w:val="007628D6"/>
    <w:rsid w:val="007628E2"/>
    <w:rsid w:val="007629E4"/>
    <w:rsid w:val="00762A03"/>
    <w:rsid w:val="00762B5B"/>
    <w:rsid w:val="00762B83"/>
    <w:rsid w:val="00762B9C"/>
    <w:rsid w:val="00762E5F"/>
    <w:rsid w:val="00762E8D"/>
    <w:rsid w:val="00762FC5"/>
    <w:rsid w:val="007630DD"/>
    <w:rsid w:val="00763124"/>
    <w:rsid w:val="00763139"/>
    <w:rsid w:val="00763161"/>
    <w:rsid w:val="00763292"/>
    <w:rsid w:val="007632B9"/>
    <w:rsid w:val="007632E8"/>
    <w:rsid w:val="007633C9"/>
    <w:rsid w:val="00763475"/>
    <w:rsid w:val="007634C1"/>
    <w:rsid w:val="00763503"/>
    <w:rsid w:val="00763704"/>
    <w:rsid w:val="00763711"/>
    <w:rsid w:val="007638A6"/>
    <w:rsid w:val="00763C43"/>
    <w:rsid w:val="00763FD0"/>
    <w:rsid w:val="00764108"/>
    <w:rsid w:val="00764110"/>
    <w:rsid w:val="007642F0"/>
    <w:rsid w:val="007643BE"/>
    <w:rsid w:val="007644EA"/>
    <w:rsid w:val="0076459D"/>
    <w:rsid w:val="00764643"/>
    <w:rsid w:val="007646FB"/>
    <w:rsid w:val="0076479D"/>
    <w:rsid w:val="00764967"/>
    <w:rsid w:val="00764ACD"/>
    <w:rsid w:val="00764B7F"/>
    <w:rsid w:val="00764BD1"/>
    <w:rsid w:val="00764CF5"/>
    <w:rsid w:val="00764CFB"/>
    <w:rsid w:val="00764D2D"/>
    <w:rsid w:val="00764DA4"/>
    <w:rsid w:val="00764E57"/>
    <w:rsid w:val="00764EDE"/>
    <w:rsid w:val="00764F19"/>
    <w:rsid w:val="00764F7A"/>
    <w:rsid w:val="00764F8C"/>
    <w:rsid w:val="00765000"/>
    <w:rsid w:val="007650A5"/>
    <w:rsid w:val="00765196"/>
    <w:rsid w:val="007651C6"/>
    <w:rsid w:val="007653AA"/>
    <w:rsid w:val="0076548A"/>
    <w:rsid w:val="007654AE"/>
    <w:rsid w:val="0076550B"/>
    <w:rsid w:val="00765631"/>
    <w:rsid w:val="00765808"/>
    <w:rsid w:val="0076584B"/>
    <w:rsid w:val="007659AB"/>
    <w:rsid w:val="00765B72"/>
    <w:rsid w:val="00765BFB"/>
    <w:rsid w:val="00765C46"/>
    <w:rsid w:val="00765D1A"/>
    <w:rsid w:val="00765D8E"/>
    <w:rsid w:val="00765F4E"/>
    <w:rsid w:val="00765FDD"/>
    <w:rsid w:val="0076606E"/>
    <w:rsid w:val="0076613F"/>
    <w:rsid w:val="007662CC"/>
    <w:rsid w:val="0076632B"/>
    <w:rsid w:val="00766500"/>
    <w:rsid w:val="007665C4"/>
    <w:rsid w:val="0076672E"/>
    <w:rsid w:val="0076673E"/>
    <w:rsid w:val="007667AF"/>
    <w:rsid w:val="00766868"/>
    <w:rsid w:val="007668BB"/>
    <w:rsid w:val="00766C48"/>
    <w:rsid w:val="00766DCB"/>
    <w:rsid w:val="00766E49"/>
    <w:rsid w:val="007670F6"/>
    <w:rsid w:val="007671B3"/>
    <w:rsid w:val="007672E2"/>
    <w:rsid w:val="0076732F"/>
    <w:rsid w:val="00767376"/>
    <w:rsid w:val="00767484"/>
    <w:rsid w:val="007675F7"/>
    <w:rsid w:val="007677EF"/>
    <w:rsid w:val="007678A5"/>
    <w:rsid w:val="00767929"/>
    <w:rsid w:val="007679CE"/>
    <w:rsid w:val="00767AC1"/>
    <w:rsid w:val="00767C1C"/>
    <w:rsid w:val="0077002C"/>
    <w:rsid w:val="00770374"/>
    <w:rsid w:val="0077046E"/>
    <w:rsid w:val="00770605"/>
    <w:rsid w:val="00770671"/>
    <w:rsid w:val="0077074D"/>
    <w:rsid w:val="007708A3"/>
    <w:rsid w:val="007709E6"/>
    <w:rsid w:val="00770A37"/>
    <w:rsid w:val="00770A44"/>
    <w:rsid w:val="00770AAC"/>
    <w:rsid w:val="00770ABE"/>
    <w:rsid w:val="00770AC8"/>
    <w:rsid w:val="00770AD0"/>
    <w:rsid w:val="00770EBD"/>
    <w:rsid w:val="00770EEE"/>
    <w:rsid w:val="00770F37"/>
    <w:rsid w:val="007710CC"/>
    <w:rsid w:val="007711A0"/>
    <w:rsid w:val="007711DD"/>
    <w:rsid w:val="00771285"/>
    <w:rsid w:val="007713FB"/>
    <w:rsid w:val="0077150B"/>
    <w:rsid w:val="007715D0"/>
    <w:rsid w:val="007715D3"/>
    <w:rsid w:val="0077172D"/>
    <w:rsid w:val="007717DA"/>
    <w:rsid w:val="00771D30"/>
    <w:rsid w:val="00771DD9"/>
    <w:rsid w:val="00771FDC"/>
    <w:rsid w:val="007721EF"/>
    <w:rsid w:val="00772401"/>
    <w:rsid w:val="007724B3"/>
    <w:rsid w:val="007725E9"/>
    <w:rsid w:val="007725F4"/>
    <w:rsid w:val="007726A1"/>
    <w:rsid w:val="00772A14"/>
    <w:rsid w:val="00772A40"/>
    <w:rsid w:val="00772AC0"/>
    <w:rsid w:val="00772B6E"/>
    <w:rsid w:val="00772C71"/>
    <w:rsid w:val="00772C7B"/>
    <w:rsid w:val="00772CB2"/>
    <w:rsid w:val="00772D5E"/>
    <w:rsid w:val="00772E5F"/>
    <w:rsid w:val="00772E72"/>
    <w:rsid w:val="00772E92"/>
    <w:rsid w:val="00772F93"/>
    <w:rsid w:val="0077305E"/>
    <w:rsid w:val="007730FE"/>
    <w:rsid w:val="00773345"/>
    <w:rsid w:val="007735C6"/>
    <w:rsid w:val="00773781"/>
    <w:rsid w:val="007738A5"/>
    <w:rsid w:val="00773904"/>
    <w:rsid w:val="0077399D"/>
    <w:rsid w:val="007739B7"/>
    <w:rsid w:val="00773A69"/>
    <w:rsid w:val="00773B04"/>
    <w:rsid w:val="00773B4F"/>
    <w:rsid w:val="00773BB5"/>
    <w:rsid w:val="00773C89"/>
    <w:rsid w:val="00773F6A"/>
    <w:rsid w:val="0077403C"/>
    <w:rsid w:val="00774158"/>
    <w:rsid w:val="00774180"/>
    <w:rsid w:val="007743F2"/>
    <w:rsid w:val="00774417"/>
    <w:rsid w:val="007744C5"/>
    <w:rsid w:val="007745E8"/>
    <w:rsid w:val="0077463E"/>
    <w:rsid w:val="0077472E"/>
    <w:rsid w:val="00774A19"/>
    <w:rsid w:val="00774A2F"/>
    <w:rsid w:val="00774A98"/>
    <w:rsid w:val="00774AD3"/>
    <w:rsid w:val="00774BC4"/>
    <w:rsid w:val="00774C53"/>
    <w:rsid w:val="00774D1E"/>
    <w:rsid w:val="00774F03"/>
    <w:rsid w:val="00774F45"/>
    <w:rsid w:val="0077511D"/>
    <w:rsid w:val="0077512D"/>
    <w:rsid w:val="0077533B"/>
    <w:rsid w:val="00775344"/>
    <w:rsid w:val="007753F2"/>
    <w:rsid w:val="00775465"/>
    <w:rsid w:val="007754B4"/>
    <w:rsid w:val="00775653"/>
    <w:rsid w:val="00775841"/>
    <w:rsid w:val="0077596D"/>
    <w:rsid w:val="007759B2"/>
    <w:rsid w:val="00775B11"/>
    <w:rsid w:val="00775E49"/>
    <w:rsid w:val="00775FAC"/>
    <w:rsid w:val="00776096"/>
    <w:rsid w:val="007760A3"/>
    <w:rsid w:val="007760E8"/>
    <w:rsid w:val="00776115"/>
    <w:rsid w:val="00776212"/>
    <w:rsid w:val="00776218"/>
    <w:rsid w:val="007763A9"/>
    <w:rsid w:val="00776442"/>
    <w:rsid w:val="0077662E"/>
    <w:rsid w:val="00776683"/>
    <w:rsid w:val="00776911"/>
    <w:rsid w:val="00776928"/>
    <w:rsid w:val="00776AEA"/>
    <w:rsid w:val="00776D4E"/>
    <w:rsid w:val="00776D56"/>
    <w:rsid w:val="00776E0F"/>
    <w:rsid w:val="00776EE2"/>
    <w:rsid w:val="00777041"/>
    <w:rsid w:val="0077708A"/>
    <w:rsid w:val="007771FB"/>
    <w:rsid w:val="007772B3"/>
    <w:rsid w:val="007774B1"/>
    <w:rsid w:val="0077758A"/>
    <w:rsid w:val="007775AA"/>
    <w:rsid w:val="0077772D"/>
    <w:rsid w:val="00777785"/>
    <w:rsid w:val="0077779F"/>
    <w:rsid w:val="007777E8"/>
    <w:rsid w:val="00777800"/>
    <w:rsid w:val="00777814"/>
    <w:rsid w:val="007779A8"/>
    <w:rsid w:val="00777A71"/>
    <w:rsid w:val="00777BE1"/>
    <w:rsid w:val="00777D72"/>
    <w:rsid w:val="00777F93"/>
    <w:rsid w:val="0078003F"/>
    <w:rsid w:val="007803CB"/>
    <w:rsid w:val="007805BB"/>
    <w:rsid w:val="0078068B"/>
    <w:rsid w:val="007806C5"/>
    <w:rsid w:val="007807B0"/>
    <w:rsid w:val="007808C5"/>
    <w:rsid w:val="0078093A"/>
    <w:rsid w:val="00780B29"/>
    <w:rsid w:val="00780B4C"/>
    <w:rsid w:val="00780CC7"/>
    <w:rsid w:val="00780E71"/>
    <w:rsid w:val="00780F13"/>
    <w:rsid w:val="00780F69"/>
    <w:rsid w:val="0078100E"/>
    <w:rsid w:val="007811C6"/>
    <w:rsid w:val="00781291"/>
    <w:rsid w:val="007812A6"/>
    <w:rsid w:val="007812BA"/>
    <w:rsid w:val="007813A8"/>
    <w:rsid w:val="0078143D"/>
    <w:rsid w:val="00781650"/>
    <w:rsid w:val="007816AE"/>
    <w:rsid w:val="0078174F"/>
    <w:rsid w:val="007817A8"/>
    <w:rsid w:val="0078180D"/>
    <w:rsid w:val="00781936"/>
    <w:rsid w:val="00781AAA"/>
    <w:rsid w:val="00781B73"/>
    <w:rsid w:val="00781CA7"/>
    <w:rsid w:val="00781E0D"/>
    <w:rsid w:val="00781E71"/>
    <w:rsid w:val="00781FA8"/>
    <w:rsid w:val="00782036"/>
    <w:rsid w:val="007821BD"/>
    <w:rsid w:val="00782213"/>
    <w:rsid w:val="00782222"/>
    <w:rsid w:val="0078233C"/>
    <w:rsid w:val="007824BC"/>
    <w:rsid w:val="007825CB"/>
    <w:rsid w:val="00782762"/>
    <w:rsid w:val="00782841"/>
    <w:rsid w:val="00782B9C"/>
    <w:rsid w:val="00782BA7"/>
    <w:rsid w:val="00782C24"/>
    <w:rsid w:val="00782CEF"/>
    <w:rsid w:val="00782D7D"/>
    <w:rsid w:val="00782EF1"/>
    <w:rsid w:val="00783082"/>
    <w:rsid w:val="00783107"/>
    <w:rsid w:val="0078312C"/>
    <w:rsid w:val="007831D4"/>
    <w:rsid w:val="007832A7"/>
    <w:rsid w:val="00783355"/>
    <w:rsid w:val="0078335D"/>
    <w:rsid w:val="007833D8"/>
    <w:rsid w:val="00783563"/>
    <w:rsid w:val="00783677"/>
    <w:rsid w:val="007836C3"/>
    <w:rsid w:val="007838CD"/>
    <w:rsid w:val="007839A9"/>
    <w:rsid w:val="007839CB"/>
    <w:rsid w:val="00783B2E"/>
    <w:rsid w:val="00783BB0"/>
    <w:rsid w:val="00783CB8"/>
    <w:rsid w:val="00783CFF"/>
    <w:rsid w:val="00783F93"/>
    <w:rsid w:val="007841E5"/>
    <w:rsid w:val="00784239"/>
    <w:rsid w:val="007842BF"/>
    <w:rsid w:val="00784354"/>
    <w:rsid w:val="0078440A"/>
    <w:rsid w:val="0078442E"/>
    <w:rsid w:val="00784474"/>
    <w:rsid w:val="0078448D"/>
    <w:rsid w:val="00784499"/>
    <w:rsid w:val="007846AF"/>
    <w:rsid w:val="00784A82"/>
    <w:rsid w:val="00784C6C"/>
    <w:rsid w:val="00784D0C"/>
    <w:rsid w:val="00784D4A"/>
    <w:rsid w:val="00784DE3"/>
    <w:rsid w:val="00784FCA"/>
    <w:rsid w:val="0078513C"/>
    <w:rsid w:val="00785205"/>
    <w:rsid w:val="00785274"/>
    <w:rsid w:val="0078531C"/>
    <w:rsid w:val="00785389"/>
    <w:rsid w:val="007853B2"/>
    <w:rsid w:val="007853C5"/>
    <w:rsid w:val="007853CF"/>
    <w:rsid w:val="007854E0"/>
    <w:rsid w:val="007854E6"/>
    <w:rsid w:val="00785537"/>
    <w:rsid w:val="007855A8"/>
    <w:rsid w:val="007855AA"/>
    <w:rsid w:val="00785677"/>
    <w:rsid w:val="00785739"/>
    <w:rsid w:val="007857D8"/>
    <w:rsid w:val="007858CF"/>
    <w:rsid w:val="00785AFE"/>
    <w:rsid w:val="00785B94"/>
    <w:rsid w:val="00785C04"/>
    <w:rsid w:val="00785D04"/>
    <w:rsid w:val="00785ECA"/>
    <w:rsid w:val="00785ED4"/>
    <w:rsid w:val="00786044"/>
    <w:rsid w:val="0078604A"/>
    <w:rsid w:val="00786107"/>
    <w:rsid w:val="0078644D"/>
    <w:rsid w:val="007864AB"/>
    <w:rsid w:val="0078650B"/>
    <w:rsid w:val="00786608"/>
    <w:rsid w:val="0078669C"/>
    <w:rsid w:val="007866F1"/>
    <w:rsid w:val="00786732"/>
    <w:rsid w:val="007868FD"/>
    <w:rsid w:val="00786AF5"/>
    <w:rsid w:val="00786B32"/>
    <w:rsid w:val="00786B3D"/>
    <w:rsid w:val="00786B60"/>
    <w:rsid w:val="00786B8C"/>
    <w:rsid w:val="00786C99"/>
    <w:rsid w:val="00786CF2"/>
    <w:rsid w:val="00786D10"/>
    <w:rsid w:val="00786F16"/>
    <w:rsid w:val="0078701A"/>
    <w:rsid w:val="007870EB"/>
    <w:rsid w:val="00787270"/>
    <w:rsid w:val="0078778F"/>
    <w:rsid w:val="007878AD"/>
    <w:rsid w:val="007878C1"/>
    <w:rsid w:val="00787956"/>
    <w:rsid w:val="0078795F"/>
    <w:rsid w:val="00787A4B"/>
    <w:rsid w:val="00787BBC"/>
    <w:rsid w:val="00787C4A"/>
    <w:rsid w:val="00787C94"/>
    <w:rsid w:val="00787CA1"/>
    <w:rsid w:val="00787CA7"/>
    <w:rsid w:val="00787D5F"/>
    <w:rsid w:val="00787D95"/>
    <w:rsid w:val="00787DED"/>
    <w:rsid w:val="00787F44"/>
    <w:rsid w:val="00787F61"/>
    <w:rsid w:val="00790337"/>
    <w:rsid w:val="00790349"/>
    <w:rsid w:val="0079034B"/>
    <w:rsid w:val="00790453"/>
    <w:rsid w:val="007905E7"/>
    <w:rsid w:val="007906A7"/>
    <w:rsid w:val="007907F7"/>
    <w:rsid w:val="00790925"/>
    <w:rsid w:val="00790A17"/>
    <w:rsid w:val="00790BE2"/>
    <w:rsid w:val="00790D18"/>
    <w:rsid w:val="00790DD8"/>
    <w:rsid w:val="00790F00"/>
    <w:rsid w:val="007910B9"/>
    <w:rsid w:val="007911F0"/>
    <w:rsid w:val="00791232"/>
    <w:rsid w:val="00791307"/>
    <w:rsid w:val="00791349"/>
    <w:rsid w:val="007913AA"/>
    <w:rsid w:val="00791639"/>
    <w:rsid w:val="00791677"/>
    <w:rsid w:val="007916E0"/>
    <w:rsid w:val="00791729"/>
    <w:rsid w:val="00791877"/>
    <w:rsid w:val="00791897"/>
    <w:rsid w:val="0079195F"/>
    <w:rsid w:val="00791A0C"/>
    <w:rsid w:val="00791A67"/>
    <w:rsid w:val="00791BD1"/>
    <w:rsid w:val="00791BD7"/>
    <w:rsid w:val="00791E4B"/>
    <w:rsid w:val="007920F5"/>
    <w:rsid w:val="00792154"/>
    <w:rsid w:val="00792254"/>
    <w:rsid w:val="007924AE"/>
    <w:rsid w:val="007925AB"/>
    <w:rsid w:val="007927FF"/>
    <w:rsid w:val="00792AA0"/>
    <w:rsid w:val="00792E2E"/>
    <w:rsid w:val="00792E7E"/>
    <w:rsid w:val="00792F21"/>
    <w:rsid w:val="00792FE4"/>
    <w:rsid w:val="007930ED"/>
    <w:rsid w:val="00793364"/>
    <w:rsid w:val="007933E1"/>
    <w:rsid w:val="007933F7"/>
    <w:rsid w:val="00793481"/>
    <w:rsid w:val="007936A3"/>
    <w:rsid w:val="007936AA"/>
    <w:rsid w:val="007936C4"/>
    <w:rsid w:val="007936D1"/>
    <w:rsid w:val="00793854"/>
    <w:rsid w:val="00793A0B"/>
    <w:rsid w:val="00793A1D"/>
    <w:rsid w:val="00793A49"/>
    <w:rsid w:val="00793AFE"/>
    <w:rsid w:val="00793BB7"/>
    <w:rsid w:val="00793DC2"/>
    <w:rsid w:val="00793E1D"/>
    <w:rsid w:val="00794155"/>
    <w:rsid w:val="007941CB"/>
    <w:rsid w:val="007943BB"/>
    <w:rsid w:val="00794565"/>
    <w:rsid w:val="007945B9"/>
    <w:rsid w:val="0079463D"/>
    <w:rsid w:val="007946B8"/>
    <w:rsid w:val="007947BD"/>
    <w:rsid w:val="00794902"/>
    <w:rsid w:val="00794B68"/>
    <w:rsid w:val="00794CFE"/>
    <w:rsid w:val="00794E35"/>
    <w:rsid w:val="00794F70"/>
    <w:rsid w:val="0079506D"/>
    <w:rsid w:val="007950D3"/>
    <w:rsid w:val="007950EB"/>
    <w:rsid w:val="00795326"/>
    <w:rsid w:val="007953F8"/>
    <w:rsid w:val="00795421"/>
    <w:rsid w:val="0079555B"/>
    <w:rsid w:val="007955AA"/>
    <w:rsid w:val="007957CA"/>
    <w:rsid w:val="0079581C"/>
    <w:rsid w:val="0079593C"/>
    <w:rsid w:val="007959EF"/>
    <w:rsid w:val="00795B64"/>
    <w:rsid w:val="00795D29"/>
    <w:rsid w:val="00795D65"/>
    <w:rsid w:val="00795DE4"/>
    <w:rsid w:val="00795E38"/>
    <w:rsid w:val="00795F52"/>
    <w:rsid w:val="0079617C"/>
    <w:rsid w:val="0079620E"/>
    <w:rsid w:val="007962F1"/>
    <w:rsid w:val="00796612"/>
    <w:rsid w:val="00796781"/>
    <w:rsid w:val="00796886"/>
    <w:rsid w:val="00796A2B"/>
    <w:rsid w:val="00796CEB"/>
    <w:rsid w:val="00796D5C"/>
    <w:rsid w:val="00796E20"/>
    <w:rsid w:val="00796F0D"/>
    <w:rsid w:val="00796FAD"/>
    <w:rsid w:val="0079716C"/>
    <w:rsid w:val="00797611"/>
    <w:rsid w:val="0079772F"/>
    <w:rsid w:val="00797770"/>
    <w:rsid w:val="00797788"/>
    <w:rsid w:val="0079778A"/>
    <w:rsid w:val="0079793D"/>
    <w:rsid w:val="0079795D"/>
    <w:rsid w:val="007979FF"/>
    <w:rsid w:val="00797AA6"/>
    <w:rsid w:val="00797B51"/>
    <w:rsid w:val="00797C01"/>
    <w:rsid w:val="00797C32"/>
    <w:rsid w:val="00797D2E"/>
    <w:rsid w:val="00797D4C"/>
    <w:rsid w:val="00797DB1"/>
    <w:rsid w:val="00797EF6"/>
    <w:rsid w:val="007A00DF"/>
    <w:rsid w:val="007A00EA"/>
    <w:rsid w:val="007A0200"/>
    <w:rsid w:val="007A024F"/>
    <w:rsid w:val="007A0263"/>
    <w:rsid w:val="007A02D7"/>
    <w:rsid w:val="007A0443"/>
    <w:rsid w:val="007A05F5"/>
    <w:rsid w:val="007A06F5"/>
    <w:rsid w:val="007A0721"/>
    <w:rsid w:val="007A0774"/>
    <w:rsid w:val="007A0786"/>
    <w:rsid w:val="007A0893"/>
    <w:rsid w:val="007A08A2"/>
    <w:rsid w:val="007A0A81"/>
    <w:rsid w:val="007A0C34"/>
    <w:rsid w:val="007A0C3B"/>
    <w:rsid w:val="007A0C61"/>
    <w:rsid w:val="007A0D1C"/>
    <w:rsid w:val="007A0DD1"/>
    <w:rsid w:val="007A0E67"/>
    <w:rsid w:val="007A0EAB"/>
    <w:rsid w:val="007A0EF9"/>
    <w:rsid w:val="007A0F3A"/>
    <w:rsid w:val="007A1088"/>
    <w:rsid w:val="007A10D6"/>
    <w:rsid w:val="007A113B"/>
    <w:rsid w:val="007A115E"/>
    <w:rsid w:val="007A1167"/>
    <w:rsid w:val="007A118B"/>
    <w:rsid w:val="007A11E8"/>
    <w:rsid w:val="007A120F"/>
    <w:rsid w:val="007A127B"/>
    <w:rsid w:val="007A1377"/>
    <w:rsid w:val="007A145B"/>
    <w:rsid w:val="007A1552"/>
    <w:rsid w:val="007A15C0"/>
    <w:rsid w:val="007A1688"/>
    <w:rsid w:val="007A16C0"/>
    <w:rsid w:val="007A174C"/>
    <w:rsid w:val="007A1960"/>
    <w:rsid w:val="007A1B60"/>
    <w:rsid w:val="007A1C8A"/>
    <w:rsid w:val="007A1CF0"/>
    <w:rsid w:val="007A1D00"/>
    <w:rsid w:val="007A1D41"/>
    <w:rsid w:val="007A1D5A"/>
    <w:rsid w:val="007A1EA0"/>
    <w:rsid w:val="007A1EEA"/>
    <w:rsid w:val="007A1F51"/>
    <w:rsid w:val="007A210B"/>
    <w:rsid w:val="007A222D"/>
    <w:rsid w:val="007A22CD"/>
    <w:rsid w:val="007A2305"/>
    <w:rsid w:val="007A239A"/>
    <w:rsid w:val="007A24AE"/>
    <w:rsid w:val="007A2614"/>
    <w:rsid w:val="007A28E6"/>
    <w:rsid w:val="007A2A70"/>
    <w:rsid w:val="007A2AD2"/>
    <w:rsid w:val="007A2D65"/>
    <w:rsid w:val="007A2DCB"/>
    <w:rsid w:val="007A2F11"/>
    <w:rsid w:val="007A30C2"/>
    <w:rsid w:val="007A3147"/>
    <w:rsid w:val="007A315A"/>
    <w:rsid w:val="007A327A"/>
    <w:rsid w:val="007A32FF"/>
    <w:rsid w:val="007A3363"/>
    <w:rsid w:val="007A33DC"/>
    <w:rsid w:val="007A33FA"/>
    <w:rsid w:val="007A3605"/>
    <w:rsid w:val="007A36F2"/>
    <w:rsid w:val="007A3787"/>
    <w:rsid w:val="007A389F"/>
    <w:rsid w:val="007A3B88"/>
    <w:rsid w:val="007A3BA6"/>
    <w:rsid w:val="007A3D41"/>
    <w:rsid w:val="007A3DE0"/>
    <w:rsid w:val="007A3F79"/>
    <w:rsid w:val="007A3F89"/>
    <w:rsid w:val="007A3FCD"/>
    <w:rsid w:val="007A3FDD"/>
    <w:rsid w:val="007A40B2"/>
    <w:rsid w:val="007A40B5"/>
    <w:rsid w:val="007A431A"/>
    <w:rsid w:val="007A4347"/>
    <w:rsid w:val="007A445F"/>
    <w:rsid w:val="007A46CE"/>
    <w:rsid w:val="007A4701"/>
    <w:rsid w:val="007A48B5"/>
    <w:rsid w:val="007A4A13"/>
    <w:rsid w:val="007A4A69"/>
    <w:rsid w:val="007A4A92"/>
    <w:rsid w:val="007A4AD7"/>
    <w:rsid w:val="007A4B91"/>
    <w:rsid w:val="007A4C40"/>
    <w:rsid w:val="007A4C51"/>
    <w:rsid w:val="007A4EC0"/>
    <w:rsid w:val="007A5195"/>
    <w:rsid w:val="007A522F"/>
    <w:rsid w:val="007A52B8"/>
    <w:rsid w:val="007A52FE"/>
    <w:rsid w:val="007A54ED"/>
    <w:rsid w:val="007A5650"/>
    <w:rsid w:val="007A5687"/>
    <w:rsid w:val="007A56EC"/>
    <w:rsid w:val="007A580C"/>
    <w:rsid w:val="007A58D5"/>
    <w:rsid w:val="007A5AB6"/>
    <w:rsid w:val="007A5AC9"/>
    <w:rsid w:val="007A5B11"/>
    <w:rsid w:val="007A5BC8"/>
    <w:rsid w:val="007A5BCC"/>
    <w:rsid w:val="007A5BFA"/>
    <w:rsid w:val="007A5CDD"/>
    <w:rsid w:val="007A5D0F"/>
    <w:rsid w:val="007A5DDB"/>
    <w:rsid w:val="007A5E33"/>
    <w:rsid w:val="007A5FFF"/>
    <w:rsid w:val="007A6160"/>
    <w:rsid w:val="007A61FB"/>
    <w:rsid w:val="007A6247"/>
    <w:rsid w:val="007A62E8"/>
    <w:rsid w:val="007A6344"/>
    <w:rsid w:val="007A6401"/>
    <w:rsid w:val="007A64B7"/>
    <w:rsid w:val="007A6500"/>
    <w:rsid w:val="007A6591"/>
    <w:rsid w:val="007A6649"/>
    <w:rsid w:val="007A68F8"/>
    <w:rsid w:val="007A69C0"/>
    <w:rsid w:val="007A6A34"/>
    <w:rsid w:val="007A6ABA"/>
    <w:rsid w:val="007A6AF1"/>
    <w:rsid w:val="007A6C48"/>
    <w:rsid w:val="007A6CA5"/>
    <w:rsid w:val="007A6EF4"/>
    <w:rsid w:val="007A6FD7"/>
    <w:rsid w:val="007A7136"/>
    <w:rsid w:val="007A71D1"/>
    <w:rsid w:val="007A73FC"/>
    <w:rsid w:val="007A751A"/>
    <w:rsid w:val="007A7651"/>
    <w:rsid w:val="007A77A3"/>
    <w:rsid w:val="007A78AA"/>
    <w:rsid w:val="007A7916"/>
    <w:rsid w:val="007A7A64"/>
    <w:rsid w:val="007A7A9E"/>
    <w:rsid w:val="007A7C16"/>
    <w:rsid w:val="007A7C1E"/>
    <w:rsid w:val="007A7C83"/>
    <w:rsid w:val="007A7DD0"/>
    <w:rsid w:val="007A7DD2"/>
    <w:rsid w:val="007A7E8D"/>
    <w:rsid w:val="007B01B1"/>
    <w:rsid w:val="007B04AC"/>
    <w:rsid w:val="007B04AF"/>
    <w:rsid w:val="007B0596"/>
    <w:rsid w:val="007B0670"/>
    <w:rsid w:val="007B0730"/>
    <w:rsid w:val="007B0914"/>
    <w:rsid w:val="007B0A7A"/>
    <w:rsid w:val="007B0BA0"/>
    <w:rsid w:val="007B0DA8"/>
    <w:rsid w:val="007B0DBE"/>
    <w:rsid w:val="007B0FCE"/>
    <w:rsid w:val="007B100B"/>
    <w:rsid w:val="007B11AF"/>
    <w:rsid w:val="007B12E6"/>
    <w:rsid w:val="007B12F0"/>
    <w:rsid w:val="007B1374"/>
    <w:rsid w:val="007B1399"/>
    <w:rsid w:val="007B1409"/>
    <w:rsid w:val="007B15B4"/>
    <w:rsid w:val="007B1641"/>
    <w:rsid w:val="007B18EC"/>
    <w:rsid w:val="007B1B23"/>
    <w:rsid w:val="007B1C61"/>
    <w:rsid w:val="007B1D72"/>
    <w:rsid w:val="007B1D99"/>
    <w:rsid w:val="007B1DCF"/>
    <w:rsid w:val="007B213A"/>
    <w:rsid w:val="007B21AB"/>
    <w:rsid w:val="007B2224"/>
    <w:rsid w:val="007B230F"/>
    <w:rsid w:val="007B2469"/>
    <w:rsid w:val="007B2512"/>
    <w:rsid w:val="007B25FD"/>
    <w:rsid w:val="007B27E4"/>
    <w:rsid w:val="007B29D3"/>
    <w:rsid w:val="007B2AD3"/>
    <w:rsid w:val="007B2C17"/>
    <w:rsid w:val="007B2D86"/>
    <w:rsid w:val="007B2EB6"/>
    <w:rsid w:val="007B2FA3"/>
    <w:rsid w:val="007B2FD5"/>
    <w:rsid w:val="007B30BB"/>
    <w:rsid w:val="007B30CB"/>
    <w:rsid w:val="007B3126"/>
    <w:rsid w:val="007B3190"/>
    <w:rsid w:val="007B3284"/>
    <w:rsid w:val="007B32B1"/>
    <w:rsid w:val="007B32E5"/>
    <w:rsid w:val="007B32FC"/>
    <w:rsid w:val="007B345A"/>
    <w:rsid w:val="007B34B1"/>
    <w:rsid w:val="007B3582"/>
    <w:rsid w:val="007B385D"/>
    <w:rsid w:val="007B3880"/>
    <w:rsid w:val="007B39B4"/>
    <w:rsid w:val="007B39D9"/>
    <w:rsid w:val="007B39E4"/>
    <w:rsid w:val="007B3A55"/>
    <w:rsid w:val="007B3A7A"/>
    <w:rsid w:val="007B3B95"/>
    <w:rsid w:val="007B3BD5"/>
    <w:rsid w:val="007B3CB8"/>
    <w:rsid w:val="007B3D58"/>
    <w:rsid w:val="007B3DB9"/>
    <w:rsid w:val="007B3E6B"/>
    <w:rsid w:val="007B3EDF"/>
    <w:rsid w:val="007B4020"/>
    <w:rsid w:val="007B4139"/>
    <w:rsid w:val="007B442D"/>
    <w:rsid w:val="007B4431"/>
    <w:rsid w:val="007B45BA"/>
    <w:rsid w:val="007B46CF"/>
    <w:rsid w:val="007B4894"/>
    <w:rsid w:val="007B4904"/>
    <w:rsid w:val="007B4922"/>
    <w:rsid w:val="007B4BA2"/>
    <w:rsid w:val="007B4BB5"/>
    <w:rsid w:val="007B4BBD"/>
    <w:rsid w:val="007B4CB5"/>
    <w:rsid w:val="007B4CF1"/>
    <w:rsid w:val="007B4D1A"/>
    <w:rsid w:val="007B4D37"/>
    <w:rsid w:val="007B4D74"/>
    <w:rsid w:val="007B4F44"/>
    <w:rsid w:val="007B507F"/>
    <w:rsid w:val="007B5091"/>
    <w:rsid w:val="007B50AC"/>
    <w:rsid w:val="007B528E"/>
    <w:rsid w:val="007B5448"/>
    <w:rsid w:val="007B55CE"/>
    <w:rsid w:val="007B5762"/>
    <w:rsid w:val="007B589F"/>
    <w:rsid w:val="007B598A"/>
    <w:rsid w:val="007B5B60"/>
    <w:rsid w:val="007B5C58"/>
    <w:rsid w:val="007B5D5D"/>
    <w:rsid w:val="007B5EC9"/>
    <w:rsid w:val="007B5F6E"/>
    <w:rsid w:val="007B604C"/>
    <w:rsid w:val="007B6059"/>
    <w:rsid w:val="007B60CC"/>
    <w:rsid w:val="007B6186"/>
    <w:rsid w:val="007B6376"/>
    <w:rsid w:val="007B6413"/>
    <w:rsid w:val="007B648D"/>
    <w:rsid w:val="007B6544"/>
    <w:rsid w:val="007B65BF"/>
    <w:rsid w:val="007B65F2"/>
    <w:rsid w:val="007B668C"/>
    <w:rsid w:val="007B6730"/>
    <w:rsid w:val="007B6780"/>
    <w:rsid w:val="007B679E"/>
    <w:rsid w:val="007B6873"/>
    <w:rsid w:val="007B694C"/>
    <w:rsid w:val="007B69BE"/>
    <w:rsid w:val="007B6BC9"/>
    <w:rsid w:val="007B6CA7"/>
    <w:rsid w:val="007B6D81"/>
    <w:rsid w:val="007B6DAD"/>
    <w:rsid w:val="007B6E3E"/>
    <w:rsid w:val="007B6E73"/>
    <w:rsid w:val="007B6EB0"/>
    <w:rsid w:val="007B6F02"/>
    <w:rsid w:val="007B6F03"/>
    <w:rsid w:val="007B6F13"/>
    <w:rsid w:val="007B6F54"/>
    <w:rsid w:val="007B704D"/>
    <w:rsid w:val="007B70E6"/>
    <w:rsid w:val="007B7377"/>
    <w:rsid w:val="007B73BC"/>
    <w:rsid w:val="007B7468"/>
    <w:rsid w:val="007B74D4"/>
    <w:rsid w:val="007B74F2"/>
    <w:rsid w:val="007B7540"/>
    <w:rsid w:val="007B755E"/>
    <w:rsid w:val="007B75CC"/>
    <w:rsid w:val="007B7664"/>
    <w:rsid w:val="007B7726"/>
    <w:rsid w:val="007B7893"/>
    <w:rsid w:val="007B78B1"/>
    <w:rsid w:val="007B7901"/>
    <w:rsid w:val="007B790D"/>
    <w:rsid w:val="007B79FD"/>
    <w:rsid w:val="007B7B48"/>
    <w:rsid w:val="007B7BA6"/>
    <w:rsid w:val="007B7C62"/>
    <w:rsid w:val="007B7CE0"/>
    <w:rsid w:val="007B7F9C"/>
    <w:rsid w:val="007C0222"/>
    <w:rsid w:val="007C0284"/>
    <w:rsid w:val="007C02A1"/>
    <w:rsid w:val="007C0492"/>
    <w:rsid w:val="007C05D0"/>
    <w:rsid w:val="007C06A4"/>
    <w:rsid w:val="007C074B"/>
    <w:rsid w:val="007C0815"/>
    <w:rsid w:val="007C0863"/>
    <w:rsid w:val="007C0981"/>
    <w:rsid w:val="007C09A9"/>
    <w:rsid w:val="007C0A60"/>
    <w:rsid w:val="007C0A8D"/>
    <w:rsid w:val="007C0ADE"/>
    <w:rsid w:val="007C0B27"/>
    <w:rsid w:val="007C0D43"/>
    <w:rsid w:val="007C0E08"/>
    <w:rsid w:val="007C0EBB"/>
    <w:rsid w:val="007C0EC2"/>
    <w:rsid w:val="007C0F6A"/>
    <w:rsid w:val="007C0F82"/>
    <w:rsid w:val="007C10CD"/>
    <w:rsid w:val="007C1195"/>
    <w:rsid w:val="007C12F1"/>
    <w:rsid w:val="007C1312"/>
    <w:rsid w:val="007C14E8"/>
    <w:rsid w:val="007C1526"/>
    <w:rsid w:val="007C1538"/>
    <w:rsid w:val="007C1781"/>
    <w:rsid w:val="007C1786"/>
    <w:rsid w:val="007C1807"/>
    <w:rsid w:val="007C1838"/>
    <w:rsid w:val="007C1926"/>
    <w:rsid w:val="007C193B"/>
    <w:rsid w:val="007C1944"/>
    <w:rsid w:val="007C1983"/>
    <w:rsid w:val="007C19C1"/>
    <w:rsid w:val="007C1A1C"/>
    <w:rsid w:val="007C1A78"/>
    <w:rsid w:val="007C1BCA"/>
    <w:rsid w:val="007C1C6E"/>
    <w:rsid w:val="007C1DAE"/>
    <w:rsid w:val="007C1F58"/>
    <w:rsid w:val="007C1FD4"/>
    <w:rsid w:val="007C2057"/>
    <w:rsid w:val="007C20B3"/>
    <w:rsid w:val="007C20B9"/>
    <w:rsid w:val="007C216F"/>
    <w:rsid w:val="007C21BA"/>
    <w:rsid w:val="007C2284"/>
    <w:rsid w:val="007C2398"/>
    <w:rsid w:val="007C2544"/>
    <w:rsid w:val="007C2604"/>
    <w:rsid w:val="007C286D"/>
    <w:rsid w:val="007C2892"/>
    <w:rsid w:val="007C2940"/>
    <w:rsid w:val="007C29AC"/>
    <w:rsid w:val="007C2AC1"/>
    <w:rsid w:val="007C2B49"/>
    <w:rsid w:val="007C2B85"/>
    <w:rsid w:val="007C2CC5"/>
    <w:rsid w:val="007C2D7D"/>
    <w:rsid w:val="007C2E59"/>
    <w:rsid w:val="007C2F42"/>
    <w:rsid w:val="007C30BF"/>
    <w:rsid w:val="007C3108"/>
    <w:rsid w:val="007C32CC"/>
    <w:rsid w:val="007C32D7"/>
    <w:rsid w:val="007C339D"/>
    <w:rsid w:val="007C33B5"/>
    <w:rsid w:val="007C38FC"/>
    <w:rsid w:val="007C3930"/>
    <w:rsid w:val="007C3996"/>
    <w:rsid w:val="007C3CB7"/>
    <w:rsid w:val="007C3D5E"/>
    <w:rsid w:val="007C3F37"/>
    <w:rsid w:val="007C4013"/>
    <w:rsid w:val="007C40C4"/>
    <w:rsid w:val="007C4222"/>
    <w:rsid w:val="007C4323"/>
    <w:rsid w:val="007C433A"/>
    <w:rsid w:val="007C43C6"/>
    <w:rsid w:val="007C4408"/>
    <w:rsid w:val="007C4697"/>
    <w:rsid w:val="007C476A"/>
    <w:rsid w:val="007C48C6"/>
    <w:rsid w:val="007C494B"/>
    <w:rsid w:val="007C4981"/>
    <w:rsid w:val="007C49DD"/>
    <w:rsid w:val="007C4B7A"/>
    <w:rsid w:val="007C4BBD"/>
    <w:rsid w:val="007C4BC7"/>
    <w:rsid w:val="007C4C89"/>
    <w:rsid w:val="007C4E15"/>
    <w:rsid w:val="007C4F11"/>
    <w:rsid w:val="007C502A"/>
    <w:rsid w:val="007C50BF"/>
    <w:rsid w:val="007C51BE"/>
    <w:rsid w:val="007C546A"/>
    <w:rsid w:val="007C555C"/>
    <w:rsid w:val="007C55ED"/>
    <w:rsid w:val="007C562B"/>
    <w:rsid w:val="007C57B8"/>
    <w:rsid w:val="007C588A"/>
    <w:rsid w:val="007C5897"/>
    <w:rsid w:val="007C5BC0"/>
    <w:rsid w:val="007C5BEA"/>
    <w:rsid w:val="007C5C8F"/>
    <w:rsid w:val="007C5DB7"/>
    <w:rsid w:val="007C5E19"/>
    <w:rsid w:val="007C5E85"/>
    <w:rsid w:val="007C5E8A"/>
    <w:rsid w:val="007C5F99"/>
    <w:rsid w:val="007C6056"/>
    <w:rsid w:val="007C6352"/>
    <w:rsid w:val="007C63EE"/>
    <w:rsid w:val="007C68C2"/>
    <w:rsid w:val="007C6962"/>
    <w:rsid w:val="007C6C40"/>
    <w:rsid w:val="007C6E6D"/>
    <w:rsid w:val="007C6EAE"/>
    <w:rsid w:val="007C6F4E"/>
    <w:rsid w:val="007C7301"/>
    <w:rsid w:val="007C74EA"/>
    <w:rsid w:val="007C751C"/>
    <w:rsid w:val="007C764B"/>
    <w:rsid w:val="007C76D4"/>
    <w:rsid w:val="007C77ED"/>
    <w:rsid w:val="007C7805"/>
    <w:rsid w:val="007C7809"/>
    <w:rsid w:val="007C7859"/>
    <w:rsid w:val="007C788E"/>
    <w:rsid w:val="007C78B3"/>
    <w:rsid w:val="007C78F5"/>
    <w:rsid w:val="007C79CC"/>
    <w:rsid w:val="007C7B7D"/>
    <w:rsid w:val="007C7E0E"/>
    <w:rsid w:val="007C7E2F"/>
    <w:rsid w:val="007C7F15"/>
    <w:rsid w:val="007C7F28"/>
    <w:rsid w:val="007C7F75"/>
    <w:rsid w:val="007D0174"/>
    <w:rsid w:val="007D01B5"/>
    <w:rsid w:val="007D024F"/>
    <w:rsid w:val="007D0614"/>
    <w:rsid w:val="007D06A2"/>
    <w:rsid w:val="007D0728"/>
    <w:rsid w:val="007D0785"/>
    <w:rsid w:val="007D079D"/>
    <w:rsid w:val="007D07D7"/>
    <w:rsid w:val="007D0854"/>
    <w:rsid w:val="007D0868"/>
    <w:rsid w:val="007D0AA4"/>
    <w:rsid w:val="007D0AD0"/>
    <w:rsid w:val="007D0B99"/>
    <w:rsid w:val="007D0C1A"/>
    <w:rsid w:val="007D0C69"/>
    <w:rsid w:val="007D0DBC"/>
    <w:rsid w:val="007D1121"/>
    <w:rsid w:val="007D11FF"/>
    <w:rsid w:val="007D129C"/>
    <w:rsid w:val="007D1391"/>
    <w:rsid w:val="007D1399"/>
    <w:rsid w:val="007D1466"/>
    <w:rsid w:val="007D157E"/>
    <w:rsid w:val="007D1774"/>
    <w:rsid w:val="007D179B"/>
    <w:rsid w:val="007D19F1"/>
    <w:rsid w:val="007D19F8"/>
    <w:rsid w:val="007D1A68"/>
    <w:rsid w:val="007D1B14"/>
    <w:rsid w:val="007D1B64"/>
    <w:rsid w:val="007D1CA9"/>
    <w:rsid w:val="007D1D07"/>
    <w:rsid w:val="007D1D92"/>
    <w:rsid w:val="007D1E26"/>
    <w:rsid w:val="007D1EF7"/>
    <w:rsid w:val="007D1FFA"/>
    <w:rsid w:val="007D22EF"/>
    <w:rsid w:val="007D22FC"/>
    <w:rsid w:val="007D240B"/>
    <w:rsid w:val="007D244F"/>
    <w:rsid w:val="007D24D8"/>
    <w:rsid w:val="007D2580"/>
    <w:rsid w:val="007D27E7"/>
    <w:rsid w:val="007D28E8"/>
    <w:rsid w:val="007D2A59"/>
    <w:rsid w:val="007D2BCE"/>
    <w:rsid w:val="007D2BDE"/>
    <w:rsid w:val="007D2E6B"/>
    <w:rsid w:val="007D2FB6"/>
    <w:rsid w:val="007D30DD"/>
    <w:rsid w:val="007D3245"/>
    <w:rsid w:val="007D333F"/>
    <w:rsid w:val="007D336D"/>
    <w:rsid w:val="007D3382"/>
    <w:rsid w:val="007D35C2"/>
    <w:rsid w:val="007D3713"/>
    <w:rsid w:val="007D3800"/>
    <w:rsid w:val="007D3A83"/>
    <w:rsid w:val="007D3B97"/>
    <w:rsid w:val="007D3D43"/>
    <w:rsid w:val="007D3DCA"/>
    <w:rsid w:val="007D3E9A"/>
    <w:rsid w:val="007D3ECD"/>
    <w:rsid w:val="007D3F84"/>
    <w:rsid w:val="007D40B7"/>
    <w:rsid w:val="007D41FC"/>
    <w:rsid w:val="007D4264"/>
    <w:rsid w:val="007D4269"/>
    <w:rsid w:val="007D42E8"/>
    <w:rsid w:val="007D4351"/>
    <w:rsid w:val="007D43B2"/>
    <w:rsid w:val="007D43DC"/>
    <w:rsid w:val="007D43E7"/>
    <w:rsid w:val="007D4441"/>
    <w:rsid w:val="007D4486"/>
    <w:rsid w:val="007D45B3"/>
    <w:rsid w:val="007D45C6"/>
    <w:rsid w:val="007D4700"/>
    <w:rsid w:val="007D4941"/>
    <w:rsid w:val="007D49E6"/>
    <w:rsid w:val="007D49EB"/>
    <w:rsid w:val="007D4B2B"/>
    <w:rsid w:val="007D4B65"/>
    <w:rsid w:val="007D4BA1"/>
    <w:rsid w:val="007D4C67"/>
    <w:rsid w:val="007D4CD1"/>
    <w:rsid w:val="007D4E84"/>
    <w:rsid w:val="007D4EFE"/>
    <w:rsid w:val="007D4F94"/>
    <w:rsid w:val="007D5044"/>
    <w:rsid w:val="007D5092"/>
    <w:rsid w:val="007D51F1"/>
    <w:rsid w:val="007D54A2"/>
    <w:rsid w:val="007D572B"/>
    <w:rsid w:val="007D5810"/>
    <w:rsid w:val="007D5910"/>
    <w:rsid w:val="007D5966"/>
    <w:rsid w:val="007D59B7"/>
    <w:rsid w:val="007D5A3D"/>
    <w:rsid w:val="007D5A52"/>
    <w:rsid w:val="007D5A7A"/>
    <w:rsid w:val="007D5CAC"/>
    <w:rsid w:val="007D5D7C"/>
    <w:rsid w:val="007D5E1C"/>
    <w:rsid w:val="007D5F99"/>
    <w:rsid w:val="007D5FB4"/>
    <w:rsid w:val="007D60D6"/>
    <w:rsid w:val="007D62D3"/>
    <w:rsid w:val="007D6481"/>
    <w:rsid w:val="007D65A5"/>
    <w:rsid w:val="007D65BF"/>
    <w:rsid w:val="007D66A9"/>
    <w:rsid w:val="007D67BB"/>
    <w:rsid w:val="007D6862"/>
    <w:rsid w:val="007D6866"/>
    <w:rsid w:val="007D6A11"/>
    <w:rsid w:val="007D6B36"/>
    <w:rsid w:val="007D6D70"/>
    <w:rsid w:val="007D6E95"/>
    <w:rsid w:val="007D6F0A"/>
    <w:rsid w:val="007D6FCF"/>
    <w:rsid w:val="007D703A"/>
    <w:rsid w:val="007D708C"/>
    <w:rsid w:val="007D712D"/>
    <w:rsid w:val="007D7195"/>
    <w:rsid w:val="007D71A6"/>
    <w:rsid w:val="007D71D9"/>
    <w:rsid w:val="007D71E0"/>
    <w:rsid w:val="007D7293"/>
    <w:rsid w:val="007D74AA"/>
    <w:rsid w:val="007D74B7"/>
    <w:rsid w:val="007D7526"/>
    <w:rsid w:val="007D752C"/>
    <w:rsid w:val="007D7532"/>
    <w:rsid w:val="007D76FF"/>
    <w:rsid w:val="007D7978"/>
    <w:rsid w:val="007D7AF8"/>
    <w:rsid w:val="007D7D36"/>
    <w:rsid w:val="007D7DAA"/>
    <w:rsid w:val="007D7F5B"/>
    <w:rsid w:val="007E0116"/>
    <w:rsid w:val="007E0189"/>
    <w:rsid w:val="007E0275"/>
    <w:rsid w:val="007E0397"/>
    <w:rsid w:val="007E047B"/>
    <w:rsid w:val="007E0700"/>
    <w:rsid w:val="007E0755"/>
    <w:rsid w:val="007E0800"/>
    <w:rsid w:val="007E0927"/>
    <w:rsid w:val="007E0930"/>
    <w:rsid w:val="007E0A57"/>
    <w:rsid w:val="007E0CCD"/>
    <w:rsid w:val="007E0DE2"/>
    <w:rsid w:val="007E0E48"/>
    <w:rsid w:val="007E0FEF"/>
    <w:rsid w:val="007E116D"/>
    <w:rsid w:val="007E1200"/>
    <w:rsid w:val="007E130A"/>
    <w:rsid w:val="007E1355"/>
    <w:rsid w:val="007E14CF"/>
    <w:rsid w:val="007E155F"/>
    <w:rsid w:val="007E170F"/>
    <w:rsid w:val="007E1863"/>
    <w:rsid w:val="007E1B0D"/>
    <w:rsid w:val="007E1CFB"/>
    <w:rsid w:val="007E1D91"/>
    <w:rsid w:val="007E201E"/>
    <w:rsid w:val="007E2144"/>
    <w:rsid w:val="007E216B"/>
    <w:rsid w:val="007E217A"/>
    <w:rsid w:val="007E21FE"/>
    <w:rsid w:val="007E23EC"/>
    <w:rsid w:val="007E2607"/>
    <w:rsid w:val="007E26A2"/>
    <w:rsid w:val="007E2712"/>
    <w:rsid w:val="007E2759"/>
    <w:rsid w:val="007E2940"/>
    <w:rsid w:val="007E2953"/>
    <w:rsid w:val="007E2BA6"/>
    <w:rsid w:val="007E2C77"/>
    <w:rsid w:val="007E2CE9"/>
    <w:rsid w:val="007E2DE6"/>
    <w:rsid w:val="007E2E3B"/>
    <w:rsid w:val="007E2EE8"/>
    <w:rsid w:val="007E31BD"/>
    <w:rsid w:val="007E3374"/>
    <w:rsid w:val="007E34D8"/>
    <w:rsid w:val="007E3662"/>
    <w:rsid w:val="007E3667"/>
    <w:rsid w:val="007E36D0"/>
    <w:rsid w:val="007E3723"/>
    <w:rsid w:val="007E3753"/>
    <w:rsid w:val="007E3950"/>
    <w:rsid w:val="007E39D1"/>
    <w:rsid w:val="007E3B6E"/>
    <w:rsid w:val="007E3B8D"/>
    <w:rsid w:val="007E3B98"/>
    <w:rsid w:val="007E3CE9"/>
    <w:rsid w:val="007E3DB7"/>
    <w:rsid w:val="007E3E5A"/>
    <w:rsid w:val="007E417A"/>
    <w:rsid w:val="007E4231"/>
    <w:rsid w:val="007E4289"/>
    <w:rsid w:val="007E42FB"/>
    <w:rsid w:val="007E4577"/>
    <w:rsid w:val="007E466B"/>
    <w:rsid w:val="007E4671"/>
    <w:rsid w:val="007E472D"/>
    <w:rsid w:val="007E473F"/>
    <w:rsid w:val="007E4790"/>
    <w:rsid w:val="007E4822"/>
    <w:rsid w:val="007E4979"/>
    <w:rsid w:val="007E4980"/>
    <w:rsid w:val="007E4984"/>
    <w:rsid w:val="007E49F9"/>
    <w:rsid w:val="007E4B35"/>
    <w:rsid w:val="007E4C26"/>
    <w:rsid w:val="007E4FB5"/>
    <w:rsid w:val="007E5053"/>
    <w:rsid w:val="007E50D1"/>
    <w:rsid w:val="007E519A"/>
    <w:rsid w:val="007E52AE"/>
    <w:rsid w:val="007E52B0"/>
    <w:rsid w:val="007E53CD"/>
    <w:rsid w:val="007E5508"/>
    <w:rsid w:val="007E5552"/>
    <w:rsid w:val="007E5618"/>
    <w:rsid w:val="007E5780"/>
    <w:rsid w:val="007E5897"/>
    <w:rsid w:val="007E58D8"/>
    <w:rsid w:val="007E58DD"/>
    <w:rsid w:val="007E594E"/>
    <w:rsid w:val="007E59AA"/>
    <w:rsid w:val="007E59AF"/>
    <w:rsid w:val="007E5A5E"/>
    <w:rsid w:val="007E5A75"/>
    <w:rsid w:val="007E5D8D"/>
    <w:rsid w:val="007E5DC7"/>
    <w:rsid w:val="007E5DD1"/>
    <w:rsid w:val="007E5E23"/>
    <w:rsid w:val="007E601C"/>
    <w:rsid w:val="007E60D9"/>
    <w:rsid w:val="007E61CC"/>
    <w:rsid w:val="007E634B"/>
    <w:rsid w:val="007E6397"/>
    <w:rsid w:val="007E65F2"/>
    <w:rsid w:val="007E6730"/>
    <w:rsid w:val="007E6852"/>
    <w:rsid w:val="007E68A1"/>
    <w:rsid w:val="007E68F4"/>
    <w:rsid w:val="007E6926"/>
    <w:rsid w:val="007E69EB"/>
    <w:rsid w:val="007E6CB3"/>
    <w:rsid w:val="007E6D45"/>
    <w:rsid w:val="007E6E9F"/>
    <w:rsid w:val="007E7040"/>
    <w:rsid w:val="007E70C4"/>
    <w:rsid w:val="007E71FA"/>
    <w:rsid w:val="007E728C"/>
    <w:rsid w:val="007E7524"/>
    <w:rsid w:val="007E7607"/>
    <w:rsid w:val="007E77C8"/>
    <w:rsid w:val="007E7903"/>
    <w:rsid w:val="007E799A"/>
    <w:rsid w:val="007E79C4"/>
    <w:rsid w:val="007E7A8E"/>
    <w:rsid w:val="007E7ACE"/>
    <w:rsid w:val="007E7B0F"/>
    <w:rsid w:val="007E7B57"/>
    <w:rsid w:val="007E7C19"/>
    <w:rsid w:val="007E7C39"/>
    <w:rsid w:val="007E7CCC"/>
    <w:rsid w:val="007E7D10"/>
    <w:rsid w:val="007E7D96"/>
    <w:rsid w:val="007E7E21"/>
    <w:rsid w:val="007F00B6"/>
    <w:rsid w:val="007F016F"/>
    <w:rsid w:val="007F01B5"/>
    <w:rsid w:val="007F02FF"/>
    <w:rsid w:val="007F03CD"/>
    <w:rsid w:val="007F0975"/>
    <w:rsid w:val="007F0A99"/>
    <w:rsid w:val="007F0AAD"/>
    <w:rsid w:val="007F0B79"/>
    <w:rsid w:val="007F0C6B"/>
    <w:rsid w:val="007F0CD6"/>
    <w:rsid w:val="007F0D40"/>
    <w:rsid w:val="007F0DC9"/>
    <w:rsid w:val="007F0E4C"/>
    <w:rsid w:val="007F0E4F"/>
    <w:rsid w:val="007F100B"/>
    <w:rsid w:val="007F103D"/>
    <w:rsid w:val="007F10C8"/>
    <w:rsid w:val="007F114C"/>
    <w:rsid w:val="007F1263"/>
    <w:rsid w:val="007F16DE"/>
    <w:rsid w:val="007F19DB"/>
    <w:rsid w:val="007F1B72"/>
    <w:rsid w:val="007F1BEC"/>
    <w:rsid w:val="007F1D7B"/>
    <w:rsid w:val="007F20C3"/>
    <w:rsid w:val="007F20FC"/>
    <w:rsid w:val="007F223D"/>
    <w:rsid w:val="007F2497"/>
    <w:rsid w:val="007F24FC"/>
    <w:rsid w:val="007F2695"/>
    <w:rsid w:val="007F26DC"/>
    <w:rsid w:val="007F26F5"/>
    <w:rsid w:val="007F27C8"/>
    <w:rsid w:val="007F2935"/>
    <w:rsid w:val="007F2A4C"/>
    <w:rsid w:val="007F2A8A"/>
    <w:rsid w:val="007F2BD0"/>
    <w:rsid w:val="007F2CA4"/>
    <w:rsid w:val="007F2CE7"/>
    <w:rsid w:val="007F2E08"/>
    <w:rsid w:val="007F2E20"/>
    <w:rsid w:val="007F2E71"/>
    <w:rsid w:val="007F307C"/>
    <w:rsid w:val="007F3172"/>
    <w:rsid w:val="007F31B6"/>
    <w:rsid w:val="007F3298"/>
    <w:rsid w:val="007F32E3"/>
    <w:rsid w:val="007F336E"/>
    <w:rsid w:val="007F33BF"/>
    <w:rsid w:val="007F33D4"/>
    <w:rsid w:val="007F3442"/>
    <w:rsid w:val="007F3592"/>
    <w:rsid w:val="007F36C4"/>
    <w:rsid w:val="007F3801"/>
    <w:rsid w:val="007F3881"/>
    <w:rsid w:val="007F3888"/>
    <w:rsid w:val="007F38F7"/>
    <w:rsid w:val="007F395B"/>
    <w:rsid w:val="007F39AC"/>
    <w:rsid w:val="007F39C2"/>
    <w:rsid w:val="007F3A25"/>
    <w:rsid w:val="007F3AB4"/>
    <w:rsid w:val="007F3DBD"/>
    <w:rsid w:val="007F3DD6"/>
    <w:rsid w:val="007F3E8D"/>
    <w:rsid w:val="007F3F6B"/>
    <w:rsid w:val="007F3FA4"/>
    <w:rsid w:val="007F4071"/>
    <w:rsid w:val="007F418C"/>
    <w:rsid w:val="007F43C9"/>
    <w:rsid w:val="007F43CB"/>
    <w:rsid w:val="007F4429"/>
    <w:rsid w:val="007F459F"/>
    <w:rsid w:val="007F4661"/>
    <w:rsid w:val="007F4693"/>
    <w:rsid w:val="007F4786"/>
    <w:rsid w:val="007F4864"/>
    <w:rsid w:val="007F48C3"/>
    <w:rsid w:val="007F490A"/>
    <w:rsid w:val="007F4B23"/>
    <w:rsid w:val="007F4BD7"/>
    <w:rsid w:val="007F4E58"/>
    <w:rsid w:val="007F52B4"/>
    <w:rsid w:val="007F53A6"/>
    <w:rsid w:val="007F53CD"/>
    <w:rsid w:val="007F546C"/>
    <w:rsid w:val="007F55DF"/>
    <w:rsid w:val="007F5676"/>
    <w:rsid w:val="007F582F"/>
    <w:rsid w:val="007F5B71"/>
    <w:rsid w:val="007F5B9C"/>
    <w:rsid w:val="007F5CA2"/>
    <w:rsid w:val="007F5D8D"/>
    <w:rsid w:val="007F5DB7"/>
    <w:rsid w:val="007F5EC0"/>
    <w:rsid w:val="007F5F6C"/>
    <w:rsid w:val="007F60AF"/>
    <w:rsid w:val="007F610B"/>
    <w:rsid w:val="007F6162"/>
    <w:rsid w:val="007F6195"/>
    <w:rsid w:val="007F625F"/>
    <w:rsid w:val="007F63A0"/>
    <w:rsid w:val="007F640E"/>
    <w:rsid w:val="007F64B2"/>
    <w:rsid w:val="007F654B"/>
    <w:rsid w:val="007F654E"/>
    <w:rsid w:val="007F6633"/>
    <w:rsid w:val="007F665E"/>
    <w:rsid w:val="007F66E8"/>
    <w:rsid w:val="007F6782"/>
    <w:rsid w:val="007F69F9"/>
    <w:rsid w:val="007F6A13"/>
    <w:rsid w:val="007F6A1C"/>
    <w:rsid w:val="007F6A76"/>
    <w:rsid w:val="007F6ADF"/>
    <w:rsid w:val="007F6B9C"/>
    <w:rsid w:val="007F6C64"/>
    <w:rsid w:val="007F6F3B"/>
    <w:rsid w:val="007F6FD8"/>
    <w:rsid w:val="007F7059"/>
    <w:rsid w:val="007F7078"/>
    <w:rsid w:val="007F708E"/>
    <w:rsid w:val="007F7184"/>
    <w:rsid w:val="007F72A6"/>
    <w:rsid w:val="007F72AA"/>
    <w:rsid w:val="007F72E4"/>
    <w:rsid w:val="007F730F"/>
    <w:rsid w:val="007F7325"/>
    <w:rsid w:val="007F741F"/>
    <w:rsid w:val="007F7420"/>
    <w:rsid w:val="007F7516"/>
    <w:rsid w:val="007F7533"/>
    <w:rsid w:val="007F76DD"/>
    <w:rsid w:val="007F76EA"/>
    <w:rsid w:val="007F7721"/>
    <w:rsid w:val="007F774C"/>
    <w:rsid w:val="007F77B1"/>
    <w:rsid w:val="007F7940"/>
    <w:rsid w:val="007F7960"/>
    <w:rsid w:val="007F7A36"/>
    <w:rsid w:val="007F7A67"/>
    <w:rsid w:val="007F7B53"/>
    <w:rsid w:val="007F7C7E"/>
    <w:rsid w:val="007F7CCE"/>
    <w:rsid w:val="007F7D38"/>
    <w:rsid w:val="007F7E41"/>
    <w:rsid w:val="007F7E67"/>
    <w:rsid w:val="007F7F1C"/>
    <w:rsid w:val="007F7F2B"/>
    <w:rsid w:val="007F7F37"/>
    <w:rsid w:val="00800128"/>
    <w:rsid w:val="0080017E"/>
    <w:rsid w:val="00800201"/>
    <w:rsid w:val="008003D0"/>
    <w:rsid w:val="00800412"/>
    <w:rsid w:val="0080041D"/>
    <w:rsid w:val="00800495"/>
    <w:rsid w:val="008004F7"/>
    <w:rsid w:val="008007D6"/>
    <w:rsid w:val="00800878"/>
    <w:rsid w:val="008008FF"/>
    <w:rsid w:val="00800C03"/>
    <w:rsid w:val="00800C18"/>
    <w:rsid w:val="00800CA5"/>
    <w:rsid w:val="00800D5D"/>
    <w:rsid w:val="00800DA1"/>
    <w:rsid w:val="00800DC5"/>
    <w:rsid w:val="00800F1F"/>
    <w:rsid w:val="00800F46"/>
    <w:rsid w:val="00801108"/>
    <w:rsid w:val="008011D8"/>
    <w:rsid w:val="0080123E"/>
    <w:rsid w:val="00801334"/>
    <w:rsid w:val="00801374"/>
    <w:rsid w:val="008013D1"/>
    <w:rsid w:val="00801682"/>
    <w:rsid w:val="00801754"/>
    <w:rsid w:val="00801879"/>
    <w:rsid w:val="008018E4"/>
    <w:rsid w:val="00801909"/>
    <w:rsid w:val="00801942"/>
    <w:rsid w:val="008019ED"/>
    <w:rsid w:val="00801A7B"/>
    <w:rsid w:val="00801C94"/>
    <w:rsid w:val="00801D38"/>
    <w:rsid w:val="00801D51"/>
    <w:rsid w:val="00801D5F"/>
    <w:rsid w:val="00801DB6"/>
    <w:rsid w:val="00801F2C"/>
    <w:rsid w:val="00802031"/>
    <w:rsid w:val="008020E1"/>
    <w:rsid w:val="0080231A"/>
    <w:rsid w:val="0080235A"/>
    <w:rsid w:val="00802396"/>
    <w:rsid w:val="008023C2"/>
    <w:rsid w:val="008023FF"/>
    <w:rsid w:val="00802595"/>
    <w:rsid w:val="008025E3"/>
    <w:rsid w:val="00802695"/>
    <w:rsid w:val="0080272C"/>
    <w:rsid w:val="0080274A"/>
    <w:rsid w:val="0080292F"/>
    <w:rsid w:val="00802B4A"/>
    <w:rsid w:val="00802B8B"/>
    <w:rsid w:val="00802BAE"/>
    <w:rsid w:val="00802D48"/>
    <w:rsid w:val="00802DCA"/>
    <w:rsid w:val="00802E14"/>
    <w:rsid w:val="00802F1D"/>
    <w:rsid w:val="00802FB8"/>
    <w:rsid w:val="008030B4"/>
    <w:rsid w:val="0080313B"/>
    <w:rsid w:val="00803142"/>
    <w:rsid w:val="00803148"/>
    <w:rsid w:val="0080320D"/>
    <w:rsid w:val="00803227"/>
    <w:rsid w:val="00803308"/>
    <w:rsid w:val="00803322"/>
    <w:rsid w:val="0080336B"/>
    <w:rsid w:val="00803403"/>
    <w:rsid w:val="008034C3"/>
    <w:rsid w:val="0080355B"/>
    <w:rsid w:val="008036F0"/>
    <w:rsid w:val="008037FF"/>
    <w:rsid w:val="00803A22"/>
    <w:rsid w:val="00803A8F"/>
    <w:rsid w:val="00803AB3"/>
    <w:rsid w:val="00803B50"/>
    <w:rsid w:val="00803BCE"/>
    <w:rsid w:val="00803E3F"/>
    <w:rsid w:val="00803E75"/>
    <w:rsid w:val="00803E78"/>
    <w:rsid w:val="00803F1C"/>
    <w:rsid w:val="00804025"/>
    <w:rsid w:val="00804097"/>
    <w:rsid w:val="008040E2"/>
    <w:rsid w:val="00804390"/>
    <w:rsid w:val="00804514"/>
    <w:rsid w:val="00804649"/>
    <w:rsid w:val="00804693"/>
    <w:rsid w:val="008048C0"/>
    <w:rsid w:val="00804990"/>
    <w:rsid w:val="008049A4"/>
    <w:rsid w:val="00804A49"/>
    <w:rsid w:val="00804B01"/>
    <w:rsid w:val="00804B39"/>
    <w:rsid w:val="00804C36"/>
    <w:rsid w:val="00804CA8"/>
    <w:rsid w:val="00804E38"/>
    <w:rsid w:val="00804E5B"/>
    <w:rsid w:val="00804EC0"/>
    <w:rsid w:val="00804FC6"/>
    <w:rsid w:val="008052D6"/>
    <w:rsid w:val="0080539D"/>
    <w:rsid w:val="00805531"/>
    <w:rsid w:val="008055F7"/>
    <w:rsid w:val="008056C3"/>
    <w:rsid w:val="008056CC"/>
    <w:rsid w:val="008056FF"/>
    <w:rsid w:val="0080587B"/>
    <w:rsid w:val="008058B0"/>
    <w:rsid w:val="00805912"/>
    <w:rsid w:val="00805A31"/>
    <w:rsid w:val="00805AA3"/>
    <w:rsid w:val="00805C8F"/>
    <w:rsid w:val="00805CB1"/>
    <w:rsid w:val="008060D7"/>
    <w:rsid w:val="008062EC"/>
    <w:rsid w:val="00806389"/>
    <w:rsid w:val="00806402"/>
    <w:rsid w:val="00806430"/>
    <w:rsid w:val="00806458"/>
    <w:rsid w:val="00806468"/>
    <w:rsid w:val="008064B1"/>
    <w:rsid w:val="00806527"/>
    <w:rsid w:val="0080655F"/>
    <w:rsid w:val="008065A3"/>
    <w:rsid w:val="008065C7"/>
    <w:rsid w:val="008067F9"/>
    <w:rsid w:val="00806989"/>
    <w:rsid w:val="00806AAE"/>
    <w:rsid w:val="00806B2C"/>
    <w:rsid w:val="00806B66"/>
    <w:rsid w:val="00806BC3"/>
    <w:rsid w:val="00806DE8"/>
    <w:rsid w:val="00806EE0"/>
    <w:rsid w:val="00806F3C"/>
    <w:rsid w:val="00806F66"/>
    <w:rsid w:val="00806FA4"/>
    <w:rsid w:val="00807420"/>
    <w:rsid w:val="00807550"/>
    <w:rsid w:val="00807651"/>
    <w:rsid w:val="008076A9"/>
    <w:rsid w:val="0080778A"/>
    <w:rsid w:val="008077CC"/>
    <w:rsid w:val="0080780A"/>
    <w:rsid w:val="0080794E"/>
    <w:rsid w:val="00807A2F"/>
    <w:rsid w:val="00807A86"/>
    <w:rsid w:val="00807AD6"/>
    <w:rsid w:val="00807B67"/>
    <w:rsid w:val="00807BB3"/>
    <w:rsid w:val="00807EBB"/>
    <w:rsid w:val="00807ECE"/>
    <w:rsid w:val="00807F31"/>
    <w:rsid w:val="008100B4"/>
    <w:rsid w:val="00810122"/>
    <w:rsid w:val="00810176"/>
    <w:rsid w:val="008101BC"/>
    <w:rsid w:val="00810215"/>
    <w:rsid w:val="008102E3"/>
    <w:rsid w:val="00810403"/>
    <w:rsid w:val="0081046E"/>
    <w:rsid w:val="008105EC"/>
    <w:rsid w:val="00810615"/>
    <w:rsid w:val="0081066F"/>
    <w:rsid w:val="00810AE9"/>
    <w:rsid w:val="00810AF5"/>
    <w:rsid w:val="00810B9E"/>
    <w:rsid w:val="00810BE8"/>
    <w:rsid w:val="00810CD9"/>
    <w:rsid w:val="00810DAD"/>
    <w:rsid w:val="00810DE0"/>
    <w:rsid w:val="00810E26"/>
    <w:rsid w:val="00810E32"/>
    <w:rsid w:val="00810E3E"/>
    <w:rsid w:val="00810FB5"/>
    <w:rsid w:val="008110C3"/>
    <w:rsid w:val="008111F3"/>
    <w:rsid w:val="0081135D"/>
    <w:rsid w:val="008113B1"/>
    <w:rsid w:val="008113E3"/>
    <w:rsid w:val="0081155C"/>
    <w:rsid w:val="008115AA"/>
    <w:rsid w:val="00811608"/>
    <w:rsid w:val="0081167B"/>
    <w:rsid w:val="008116B7"/>
    <w:rsid w:val="008116FA"/>
    <w:rsid w:val="0081187B"/>
    <w:rsid w:val="008119A4"/>
    <w:rsid w:val="008119CA"/>
    <w:rsid w:val="00811A7C"/>
    <w:rsid w:val="00811C26"/>
    <w:rsid w:val="00811C79"/>
    <w:rsid w:val="00811CEC"/>
    <w:rsid w:val="00811D72"/>
    <w:rsid w:val="00811E7E"/>
    <w:rsid w:val="00811F80"/>
    <w:rsid w:val="00811FB1"/>
    <w:rsid w:val="0081204D"/>
    <w:rsid w:val="0081208C"/>
    <w:rsid w:val="00812105"/>
    <w:rsid w:val="008121F1"/>
    <w:rsid w:val="00812250"/>
    <w:rsid w:val="00812374"/>
    <w:rsid w:val="0081242A"/>
    <w:rsid w:val="008125D5"/>
    <w:rsid w:val="0081263D"/>
    <w:rsid w:val="0081264B"/>
    <w:rsid w:val="00812798"/>
    <w:rsid w:val="0081282B"/>
    <w:rsid w:val="008128C5"/>
    <w:rsid w:val="0081296C"/>
    <w:rsid w:val="00812A46"/>
    <w:rsid w:val="00812D63"/>
    <w:rsid w:val="00812F1F"/>
    <w:rsid w:val="00812F25"/>
    <w:rsid w:val="00813067"/>
    <w:rsid w:val="008130C4"/>
    <w:rsid w:val="0081328A"/>
    <w:rsid w:val="0081335D"/>
    <w:rsid w:val="00813372"/>
    <w:rsid w:val="00813378"/>
    <w:rsid w:val="00813656"/>
    <w:rsid w:val="008136C4"/>
    <w:rsid w:val="00813785"/>
    <w:rsid w:val="008138D3"/>
    <w:rsid w:val="00813976"/>
    <w:rsid w:val="00813D90"/>
    <w:rsid w:val="00813D97"/>
    <w:rsid w:val="00813E16"/>
    <w:rsid w:val="008141F2"/>
    <w:rsid w:val="00814217"/>
    <w:rsid w:val="008142B3"/>
    <w:rsid w:val="008144EE"/>
    <w:rsid w:val="008145D6"/>
    <w:rsid w:val="00814774"/>
    <w:rsid w:val="0081479C"/>
    <w:rsid w:val="008147A4"/>
    <w:rsid w:val="00814824"/>
    <w:rsid w:val="0081483A"/>
    <w:rsid w:val="00814B6C"/>
    <w:rsid w:val="00814BCA"/>
    <w:rsid w:val="00814BD6"/>
    <w:rsid w:val="00814E04"/>
    <w:rsid w:val="00814E7B"/>
    <w:rsid w:val="00814F8A"/>
    <w:rsid w:val="00814FF1"/>
    <w:rsid w:val="008153B8"/>
    <w:rsid w:val="0081551F"/>
    <w:rsid w:val="0081559A"/>
    <w:rsid w:val="008155F0"/>
    <w:rsid w:val="00815663"/>
    <w:rsid w:val="0081578C"/>
    <w:rsid w:val="00815818"/>
    <w:rsid w:val="00815CD1"/>
    <w:rsid w:val="00815DA2"/>
    <w:rsid w:val="00815EA9"/>
    <w:rsid w:val="00815EE8"/>
    <w:rsid w:val="00815F8C"/>
    <w:rsid w:val="00815FA9"/>
    <w:rsid w:val="0081609A"/>
    <w:rsid w:val="0081609F"/>
    <w:rsid w:val="00816177"/>
    <w:rsid w:val="008161DB"/>
    <w:rsid w:val="008162D4"/>
    <w:rsid w:val="008164C4"/>
    <w:rsid w:val="00816615"/>
    <w:rsid w:val="00816616"/>
    <w:rsid w:val="0081663E"/>
    <w:rsid w:val="00816735"/>
    <w:rsid w:val="00816760"/>
    <w:rsid w:val="00816778"/>
    <w:rsid w:val="00816794"/>
    <w:rsid w:val="008167E2"/>
    <w:rsid w:val="00816A35"/>
    <w:rsid w:val="00816B52"/>
    <w:rsid w:val="00816D73"/>
    <w:rsid w:val="00816E7B"/>
    <w:rsid w:val="00816FDA"/>
    <w:rsid w:val="00817034"/>
    <w:rsid w:val="00817119"/>
    <w:rsid w:val="008171DA"/>
    <w:rsid w:val="00817245"/>
    <w:rsid w:val="0081724D"/>
    <w:rsid w:val="008172BC"/>
    <w:rsid w:val="008173C8"/>
    <w:rsid w:val="008174CB"/>
    <w:rsid w:val="008174F2"/>
    <w:rsid w:val="0081755E"/>
    <w:rsid w:val="00817560"/>
    <w:rsid w:val="00817694"/>
    <w:rsid w:val="0081795E"/>
    <w:rsid w:val="00817C22"/>
    <w:rsid w:val="00817C3C"/>
    <w:rsid w:val="00817C70"/>
    <w:rsid w:val="00817C8D"/>
    <w:rsid w:val="00817E8A"/>
    <w:rsid w:val="00817EE1"/>
    <w:rsid w:val="00820078"/>
    <w:rsid w:val="00820141"/>
    <w:rsid w:val="008201D4"/>
    <w:rsid w:val="008202B3"/>
    <w:rsid w:val="008203C7"/>
    <w:rsid w:val="0082040F"/>
    <w:rsid w:val="00820456"/>
    <w:rsid w:val="008205B7"/>
    <w:rsid w:val="008206ED"/>
    <w:rsid w:val="008207AD"/>
    <w:rsid w:val="008207B7"/>
    <w:rsid w:val="008207CB"/>
    <w:rsid w:val="00820D13"/>
    <w:rsid w:val="00820D22"/>
    <w:rsid w:val="00820D5B"/>
    <w:rsid w:val="00820E0C"/>
    <w:rsid w:val="008211C7"/>
    <w:rsid w:val="008211EB"/>
    <w:rsid w:val="0082123C"/>
    <w:rsid w:val="0082147C"/>
    <w:rsid w:val="008214D8"/>
    <w:rsid w:val="008215D1"/>
    <w:rsid w:val="00821623"/>
    <w:rsid w:val="008217E4"/>
    <w:rsid w:val="008217E7"/>
    <w:rsid w:val="00821898"/>
    <w:rsid w:val="008218A0"/>
    <w:rsid w:val="008218C0"/>
    <w:rsid w:val="008219B9"/>
    <w:rsid w:val="00821A29"/>
    <w:rsid w:val="00821A60"/>
    <w:rsid w:val="00821B24"/>
    <w:rsid w:val="00821C03"/>
    <w:rsid w:val="00821C4B"/>
    <w:rsid w:val="00821D40"/>
    <w:rsid w:val="00821D73"/>
    <w:rsid w:val="00821E5A"/>
    <w:rsid w:val="00821E84"/>
    <w:rsid w:val="00821E90"/>
    <w:rsid w:val="00821F8F"/>
    <w:rsid w:val="008220E3"/>
    <w:rsid w:val="00822446"/>
    <w:rsid w:val="00822481"/>
    <w:rsid w:val="00822751"/>
    <w:rsid w:val="0082292B"/>
    <w:rsid w:val="00822DBC"/>
    <w:rsid w:val="00822DDD"/>
    <w:rsid w:val="00822EBF"/>
    <w:rsid w:val="00822FA3"/>
    <w:rsid w:val="00822FD6"/>
    <w:rsid w:val="00822FE4"/>
    <w:rsid w:val="00823098"/>
    <w:rsid w:val="00823114"/>
    <w:rsid w:val="00823162"/>
    <w:rsid w:val="0082322C"/>
    <w:rsid w:val="00823275"/>
    <w:rsid w:val="00823276"/>
    <w:rsid w:val="00823414"/>
    <w:rsid w:val="0082346B"/>
    <w:rsid w:val="0082350B"/>
    <w:rsid w:val="0082366F"/>
    <w:rsid w:val="008236F9"/>
    <w:rsid w:val="0082376A"/>
    <w:rsid w:val="008237D0"/>
    <w:rsid w:val="00823858"/>
    <w:rsid w:val="0082386A"/>
    <w:rsid w:val="008238F1"/>
    <w:rsid w:val="008239BE"/>
    <w:rsid w:val="008239F1"/>
    <w:rsid w:val="00823A3F"/>
    <w:rsid w:val="00823A59"/>
    <w:rsid w:val="00823B8F"/>
    <w:rsid w:val="00823C90"/>
    <w:rsid w:val="00823E5D"/>
    <w:rsid w:val="00823E8E"/>
    <w:rsid w:val="00823FDE"/>
    <w:rsid w:val="008240C2"/>
    <w:rsid w:val="0082425C"/>
    <w:rsid w:val="008242AA"/>
    <w:rsid w:val="008243DA"/>
    <w:rsid w:val="008244C2"/>
    <w:rsid w:val="0082458C"/>
    <w:rsid w:val="00824665"/>
    <w:rsid w:val="008246F2"/>
    <w:rsid w:val="008247C7"/>
    <w:rsid w:val="008248EC"/>
    <w:rsid w:val="008249AC"/>
    <w:rsid w:val="008249C6"/>
    <w:rsid w:val="00824A7F"/>
    <w:rsid w:val="00824AFD"/>
    <w:rsid w:val="00824B6C"/>
    <w:rsid w:val="00824C34"/>
    <w:rsid w:val="00824DE3"/>
    <w:rsid w:val="00824E2A"/>
    <w:rsid w:val="00824EAE"/>
    <w:rsid w:val="00825324"/>
    <w:rsid w:val="00825353"/>
    <w:rsid w:val="00825473"/>
    <w:rsid w:val="008255C0"/>
    <w:rsid w:val="0082564E"/>
    <w:rsid w:val="00825696"/>
    <w:rsid w:val="008256F7"/>
    <w:rsid w:val="0082588A"/>
    <w:rsid w:val="00825C3B"/>
    <w:rsid w:val="00825C99"/>
    <w:rsid w:val="00825EC9"/>
    <w:rsid w:val="00825FB6"/>
    <w:rsid w:val="00825FC6"/>
    <w:rsid w:val="008261C1"/>
    <w:rsid w:val="008263D0"/>
    <w:rsid w:val="00826429"/>
    <w:rsid w:val="0082653A"/>
    <w:rsid w:val="008265CC"/>
    <w:rsid w:val="00826784"/>
    <w:rsid w:val="00826953"/>
    <w:rsid w:val="00826962"/>
    <w:rsid w:val="00826999"/>
    <w:rsid w:val="008269E9"/>
    <w:rsid w:val="00826A8E"/>
    <w:rsid w:val="00826C33"/>
    <w:rsid w:val="00826D69"/>
    <w:rsid w:val="00826E0E"/>
    <w:rsid w:val="00826E31"/>
    <w:rsid w:val="00826F09"/>
    <w:rsid w:val="00826F58"/>
    <w:rsid w:val="0082715A"/>
    <w:rsid w:val="00827306"/>
    <w:rsid w:val="00827336"/>
    <w:rsid w:val="00827477"/>
    <w:rsid w:val="0082749E"/>
    <w:rsid w:val="0082751F"/>
    <w:rsid w:val="008275B8"/>
    <w:rsid w:val="00827670"/>
    <w:rsid w:val="008277BE"/>
    <w:rsid w:val="008278CA"/>
    <w:rsid w:val="008279BA"/>
    <w:rsid w:val="00827AB3"/>
    <w:rsid w:val="00827BF9"/>
    <w:rsid w:val="00827C2E"/>
    <w:rsid w:val="00827E54"/>
    <w:rsid w:val="00827E6F"/>
    <w:rsid w:val="00827F61"/>
    <w:rsid w:val="008300A8"/>
    <w:rsid w:val="00830328"/>
    <w:rsid w:val="00830346"/>
    <w:rsid w:val="008303CE"/>
    <w:rsid w:val="00830428"/>
    <w:rsid w:val="00830456"/>
    <w:rsid w:val="0083066E"/>
    <w:rsid w:val="00830A3A"/>
    <w:rsid w:val="00830C16"/>
    <w:rsid w:val="00830C1C"/>
    <w:rsid w:val="00830C40"/>
    <w:rsid w:val="00830E69"/>
    <w:rsid w:val="00831009"/>
    <w:rsid w:val="008310C6"/>
    <w:rsid w:val="008313A6"/>
    <w:rsid w:val="008313BD"/>
    <w:rsid w:val="0083159C"/>
    <w:rsid w:val="00831667"/>
    <w:rsid w:val="0083189B"/>
    <w:rsid w:val="008318FB"/>
    <w:rsid w:val="00831AC4"/>
    <w:rsid w:val="00831B47"/>
    <w:rsid w:val="00831CD3"/>
    <w:rsid w:val="00831D4D"/>
    <w:rsid w:val="00831E0C"/>
    <w:rsid w:val="00831ED4"/>
    <w:rsid w:val="00831ED8"/>
    <w:rsid w:val="008321D5"/>
    <w:rsid w:val="00832206"/>
    <w:rsid w:val="0083226D"/>
    <w:rsid w:val="008323AC"/>
    <w:rsid w:val="00832652"/>
    <w:rsid w:val="00832687"/>
    <w:rsid w:val="00832763"/>
    <w:rsid w:val="00832999"/>
    <w:rsid w:val="008329BB"/>
    <w:rsid w:val="00832A6D"/>
    <w:rsid w:val="00832C32"/>
    <w:rsid w:val="00832CF9"/>
    <w:rsid w:val="00832D11"/>
    <w:rsid w:val="00832E07"/>
    <w:rsid w:val="00833058"/>
    <w:rsid w:val="00833105"/>
    <w:rsid w:val="008331EB"/>
    <w:rsid w:val="00833337"/>
    <w:rsid w:val="0083339C"/>
    <w:rsid w:val="00833542"/>
    <w:rsid w:val="008336B7"/>
    <w:rsid w:val="00833701"/>
    <w:rsid w:val="00833894"/>
    <w:rsid w:val="008338A2"/>
    <w:rsid w:val="00833954"/>
    <w:rsid w:val="00833A0B"/>
    <w:rsid w:val="00833C87"/>
    <w:rsid w:val="00833D4C"/>
    <w:rsid w:val="00833DF3"/>
    <w:rsid w:val="00833E2B"/>
    <w:rsid w:val="00833E4F"/>
    <w:rsid w:val="00833E81"/>
    <w:rsid w:val="00833EB6"/>
    <w:rsid w:val="00833F44"/>
    <w:rsid w:val="00833F94"/>
    <w:rsid w:val="0083404D"/>
    <w:rsid w:val="008340FD"/>
    <w:rsid w:val="00834140"/>
    <w:rsid w:val="00834172"/>
    <w:rsid w:val="00834258"/>
    <w:rsid w:val="00834293"/>
    <w:rsid w:val="0083438F"/>
    <w:rsid w:val="00834456"/>
    <w:rsid w:val="00834724"/>
    <w:rsid w:val="008348EC"/>
    <w:rsid w:val="0083496C"/>
    <w:rsid w:val="00834B0F"/>
    <w:rsid w:val="00834D1E"/>
    <w:rsid w:val="00834D3A"/>
    <w:rsid w:val="00834E68"/>
    <w:rsid w:val="00834F69"/>
    <w:rsid w:val="008350EA"/>
    <w:rsid w:val="0083565B"/>
    <w:rsid w:val="00835880"/>
    <w:rsid w:val="0083597E"/>
    <w:rsid w:val="00835B91"/>
    <w:rsid w:val="00835C5F"/>
    <w:rsid w:val="00835CFC"/>
    <w:rsid w:val="00835D96"/>
    <w:rsid w:val="00835DC5"/>
    <w:rsid w:val="00835E77"/>
    <w:rsid w:val="00835F3E"/>
    <w:rsid w:val="0083603E"/>
    <w:rsid w:val="0083619A"/>
    <w:rsid w:val="00836382"/>
    <w:rsid w:val="00836467"/>
    <w:rsid w:val="00836480"/>
    <w:rsid w:val="008364BB"/>
    <w:rsid w:val="008364F7"/>
    <w:rsid w:val="008366F1"/>
    <w:rsid w:val="00836770"/>
    <w:rsid w:val="00836B52"/>
    <w:rsid w:val="00836BB6"/>
    <w:rsid w:val="00836DB7"/>
    <w:rsid w:val="00836EF6"/>
    <w:rsid w:val="00837051"/>
    <w:rsid w:val="008370C7"/>
    <w:rsid w:val="008372AE"/>
    <w:rsid w:val="0083734B"/>
    <w:rsid w:val="008374E0"/>
    <w:rsid w:val="00837575"/>
    <w:rsid w:val="0083768F"/>
    <w:rsid w:val="00837722"/>
    <w:rsid w:val="008377AD"/>
    <w:rsid w:val="008377C3"/>
    <w:rsid w:val="00837954"/>
    <w:rsid w:val="00837B31"/>
    <w:rsid w:val="00837C88"/>
    <w:rsid w:val="00837CF9"/>
    <w:rsid w:val="00837D20"/>
    <w:rsid w:val="00837D35"/>
    <w:rsid w:val="00837DE2"/>
    <w:rsid w:val="00837E32"/>
    <w:rsid w:val="00837EDF"/>
    <w:rsid w:val="00837F18"/>
    <w:rsid w:val="00837FA1"/>
    <w:rsid w:val="00837FD6"/>
    <w:rsid w:val="00840034"/>
    <w:rsid w:val="008400A1"/>
    <w:rsid w:val="008402FE"/>
    <w:rsid w:val="008403D4"/>
    <w:rsid w:val="00840429"/>
    <w:rsid w:val="00840585"/>
    <w:rsid w:val="00840622"/>
    <w:rsid w:val="00840646"/>
    <w:rsid w:val="00840838"/>
    <w:rsid w:val="00840AB1"/>
    <w:rsid w:val="00840ADD"/>
    <w:rsid w:val="00840B1B"/>
    <w:rsid w:val="00840B5F"/>
    <w:rsid w:val="00840C29"/>
    <w:rsid w:val="00840D54"/>
    <w:rsid w:val="00840D95"/>
    <w:rsid w:val="00840EB3"/>
    <w:rsid w:val="00840FD6"/>
    <w:rsid w:val="00841106"/>
    <w:rsid w:val="00841137"/>
    <w:rsid w:val="0084122E"/>
    <w:rsid w:val="00841361"/>
    <w:rsid w:val="008414F5"/>
    <w:rsid w:val="0084159E"/>
    <w:rsid w:val="008416E1"/>
    <w:rsid w:val="00841785"/>
    <w:rsid w:val="008417AF"/>
    <w:rsid w:val="0084180D"/>
    <w:rsid w:val="00841917"/>
    <w:rsid w:val="008419D6"/>
    <w:rsid w:val="00841AA9"/>
    <w:rsid w:val="00841AC3"/>
    <w:rsid w:val="00841BDE"/>
    <w:rsid w:val="00841CAF"/>
    <w:rsid w:val="00841CC4"/>
    <w:rsid w:val="00841D35"/>
    <w:rsid w:val="0084217B"/>
    <w:rsid w:val="008421FB"/>
    <w:rsid w:val="008423AF"/>
    <w:rsid w:val="008424B9"/>
    <w:rsid w:val="008424D5"/>
    <w:rsid w:val="00842693"/>
    <w:rsid w:val="00842792"/>
    <w:rsid w:val="0084289C"/>
    <w:rsid w:val="008428F8"/>
    <w:rsid w:val="0084293F"/>
    <w:rsid w:val="00842940"/>
    <w:rsid w:val="00842BE5"/>
    <w:rsid w:val="00842C2D"/>
    <w:rsid w:val="00842C7F"/>
    <w:rsid w:val="00842E94"/>
    <w:rsid w:val="00842FD1"/>
    <w:rsid w:val="00843234"/>
    <w:rsid w:val="008432EA"/>
    <w:rsid w:val="00843314"/>
    <w:rsid w:val="0084334C"/>
    <w:rsid w:val="00843375"/>
    <w:rsid w:val="008435ED"/>
    <w:rsid w:val="008436AC"/>
    <w:rsid w:val="00843797"/>
    <w:rsid w:val="00843844"/>
    <w:rsid w:val="0084384E"/>
    <w:rsid w:val="00843882"/>
    <w:rsid w:val="0084393C"/>
    <w:rsid w:val="00843D03"/>
    <w:rsid w:val="00843DE6"/>
    <w:rsid w:val="00843F04"/>
    <w:rsid w:val="008440C2"/>
    <w:rsid w:val="008440F9"/>
    <w:rsid w:val="00844191"/>
    <w:rsid w:val="00844277"/>
    <w:rsid w:val="008442F6"/>
    <w:rsid w:val="008442FC"/>
    <w:rsid w:val="0084438B"/>
    <w:rsid w:val="00844416"/>
    <w:rsid w:val="00844591"/>
    <w:rsid w:val="00844683"/>
    <w:rsid w:val="008447B3"/>
    <w:rsid w:val="00844882"/>
    <w:rsid w:val="008449CC"/>
    <w:rsid w:val="00844A09"/>
    <w:rsid w:val="00844A3A"/>
    <w:rsid w:val="00844B86"/>
    <w:rsid w:val="00844B8B"/>
    <w:rsid w:val="00844BB6"/>
    <w:rsid w:val="00844C4B"/>
    <w:rsid w:val="008452AC"/>
    <w:rsid w:val="008452AF"/>
    <w:rsid w:val="00845433"/>
    <w:rsid w:val="00845840"/>
    <w:rsid w:val="00845845"/>
    <w:rsid w:val="008458AA"/>
    <w:rsid w:val="0084591D"/>
    <w:rsid w:val="008459D3"/>
    <w:rsid w:val="00845AD8"/>
    <w:rsid w:val="00845B28"/>
    <w:rsid w:val="00845CB0"/>
    <w:rsid w:val="00845D10"/>
    <w:rsid w:val="00845DF5"/>
    <w:rsid w:val="00845EA6"/>
    <w:rsid w:val="0084605D"/>
    <w:rsid w:val="0084632E"/>
    <w:rsid w:val="00846514"/>
    <w:rsid w:val="00846547"/>
    <w:rsid w:val="00846574"/>
    <w:rsid w:val="008466A7"/>
    <w:rsid w:val="00846873"/>
    <w:rsid w:val="00846A2B"/>
    <w:rsid w:val="00846AB5"/>
    <w:rsid w:val="00846B5B"/>
    <w:rsid w:val="00846B7B"/>
    <w:rsid w:val="00846BBC"/>
    <w:rsid w:val="00846C67"/>
    <w:rsid w:val="00846CAE"/>
    <w:rsid w:val="00846CC5"/>
    <w:rsid w:val="00846D4D"/>
    <w:rsid w:val="00846D61"/>
    <w:rsid w:val="00846DC0"/>
    <w:rsid w:val="00846E21"/>
    <w:rsid w:val="00846F1B"/>
    <w:rsid w:val="00847002"/>
    <w:rsid w:val="008471BE"/>
    <w:rsid w:val="008472D4"/>
    <w:rsid w:val="0084749E"/>
    <w:rsid w:val="008474B7"/>
    <w:rsid w:val="008474FE"/>
    <w:rsid w:val="008475A0"/>
    <w:rsid w:val="0084777C"/>
    <w:rsid w:val="00847B32"/>
    <w:rsid w:val="00847C05"/>
    <w:rsid w:val="00847CC4"/>
    <w:rsid w:val="00847CC6"/>
    <w:rsid w:val="00847DB5"/>
    <w:rsid w:val="00847DF1"/>
    <w:rsid w:val="00847DF8"/>
    <w:rsid w:val="00847E71"/>
    <w:rsid w:val="00847ECD"/>
    <w:rsid w:val="00850244"/>
    <w:rsid w:val="008502F5"/>
    <w:rsid w:val="008503C0"/>
    <w:rsid w:val="00850540"/>
    <w:rsid w:val="0085059D"/>
    <w:rsid w:val="008505C2"/>
    <w:rsid w:val="008505C7"/>
    <w:rsid w:val="008505CF"/>
    <w:rsid w:val="00850631"/>
    <w:rsid w:val="0085064F"/>
    <w:rsid w:val="008507D8"/>
    <w:rsid w:val="008508AC"/>
    <w:rsid w:val="00850989"/>
    <w:rsid w:val="008509F3"/>
    <w:rsid w:val="00850A50"/>
    <w:rsid w:val="00850A67"/>
    <w:rsid w:val="00850B20"/>
    <w:rsid w:val="00850C6D"/>
    <w:rsid w:val="00850CE4"/>
    <w:rsid w:val="00850CEB"/>
    <w:rsid w:val="00850D28"/>
    <w:rsid w:val="00850E26"/>
    <w:rsid w:val="00850F0B"/>
    <w:rsid w:val="00850FA7"/>
    <w:rsid w:val="008510DC"/>
    <w:rsid w:val="0085130D"/>
    <w:rsid w:val="008515BE"/>
    <w:rsid w:val="00851783"/>
    <w:rsid w:val="0085178D"/>
    <w:rsid w:val="0085179D"/>
    <w:rsid w:val="008519B5"/>
    <w:rsid w:val="00851A67"/>
    <w:rsid w:val="00851CCF"/>
    <w:rsid w:val="00851CE0"/>
    <w:rsid w:val="00851D2A"/>
    <w:rsid w:val="00851D2D"/>
    <w:rsid w:val="00851D6B"/>
    <w:rsid w:val="00851E1E"/>
    <w:rsid w:val="00851E29"/>
    <w:rsid w:val="00851F2C"/>
    <w:rsid w:val="00852008"/>
    <w:rsid w:val="00852091"/>
    <w:rsid w:val="008520DB"/>
    <w:rsid w:val="0085221B"/>
    <w:rsid w:val="008523AA"/>
    <w:rsid w:val="008523BC"/>
    <w:rsid w:val="008524E9"/>
    <w:rsid w:val="008524F9"/>
    <w:rsid w:val="008525A4"/>
    <w:rsid w:val="00852894"/>
    <w:rsid w:val="008528E1"/>
    <w:rsid w:val="00852BDC"/>
    <w:rsid w:val="00852CA3"/>
    <w:rsid w:val="00852E02"/>
    <w:rsid w:val="00852E94"/>
    <w:rsid w:val="00852F8C"/>
    <w:rsid w:val="00853079"/>
    <w:rsid w:val="008532F8"/>
    <w:rsid w:val="00853356"/>
    <w:rsid w:val="00853372"/>
    <w:rsid w:val="008533A1"/>
    <w:rsid w:val="008535B8"/>
    <w:rsid w:val="00853854"/>
    <w:rsid w:val="00853AD6"/>
    <w:rsid w:val="00853B1F"/>
    <w:rsid w:val="00853C02"/>
    <w:rsid w:val="00853C99"/>
    <w:rsid w:val="00853D57"/>
    <w:rsid w:val="00853EE4"/>
    <w:rsid w:val="00853F33"/>
    <w:rsid w:val="00853FB4"/>
    <w:rsid w:val="00853FBA"/>
    <w:rsid w:val="00854011"/>
    <w:rsid w:val="00854125"/>
    <w:rsid w:val="008541CC"/>
    <w:rsid w:val="00854213"/>
    <w:rsid w:val="008542E6"/>
    <w:rsid w:val="0085453C"/>
    <w:rsid w:val="008545A0"/>
    <w:rsid w:val="00854612"/>
    <w:rsid w:val="008546C7"/>
    <w:rsid w:val="00854746"/>
    <w:rsid w:val="008547FA"/>
    <w:rsid w:val="00854C33"/>
    <w:rsid w:val="00854DA0"/>
    <w:rsid w:val="00854E02"/>
    <w:rsid w:val="00854E08"/>
    <w:rsid w:val="00854E9D"/>
    <w:rsid w:val="00854FC0"/>
    <w:rsid w:val="00854FD9"/>
    <w:rsid w:val="00855535"/>
    <w:rsid w:val="00855574"/>
    <w:rsid w:val="00855595"/>
    <w:rsid w:val="00855943"/>
    <w:rsid w:val="00855968"/>
    <w:rsid w:val="00855B01"/>
    <w:rsid w:val="00855D77"/>
    <w:rsid w:val="00855D84"/>
    <w:rsid w:val="00855DFB"/>
    <w:rsid w:val="00855E01"/>
    <w:rsid w:val="00855F9D"/>
    <w:rsid w:val="00856122"/>
    <w:rsid w:val="0085614A"/>
    <w:rsid w:val="0085615A"/>
    <w:rsid w:val="0085619A"/>
    <w:rsid w:val="00856404"/>
    <w:rsid w:val="0085664F"/>
    <w:rsid w:val="00856650"/>
    <w:rsid w:val="00856853"/>
    <w:rsid w:val="008568E3"/>
    <w:rsid w:val="00856974"/>
    <w:rsid w:val="008569A6"/>
    <w:rsid w:val="008569AD"/>
    <w:rsid w:val="00856AC3"/>
    <w:rsid w:val="00856AD4"/>
    <w:rsid w:val="00856E2D"/>
    <w:rsid w:val="00856FDF"/>
    <w:rsid w:val="008570C3"/>
    <w:rsid w:val="008572D4"/>
    <w:rsid w:val="00857454"/>
    <w:rsid w:val="00857497"/>
    <w:rsid w:val="0085757B"/>
    <w:rsid w:val="008575D8"/>
    <w:rsid w:val="0085764E"/>
    <w:rsid w:val="0085779D"/>
    <w:rsid w:val="008578C1"/>
    <w:rsid w:val="00857937"/>
    <w:rsid w:val="00857969"/>
    <w:rsid w:val="008579E9"/>
    <w:rsid w:val="008579F2"/>
    <w:rsid w:val="00857A7A"/>
    <w:rsid w:val="00857C5A"/>
    <w:rsid w:val="00857E40"/>
    <w:rsid w:val="00857E81"/>
    <w:rsid w:val="00857F2E"/>
    <w:rsid w:val="00857F73"/>
    <w:rsid w:val="00857FB3"/>
    <w:rsid w:val="00860206"/>
    <w:rsid w:val="00860217"/>
    <w:rsid w:val="008602CE"/>
    <w:rsid w:val="00860354"/>
    <w:rsid w:val="00860372"/>
    <w:rsid w:val="00860384"/>
    <w:rsid w:val="0086042F"/>
    <w:rsid w:val="0086046B"/>
    <w:rsid w:val="008604B1"/>
    <w:rsid w:val="008604E3"/>
    <w:rsid w:val="0086053F"/>
    <w:rsid w:val="0086056B"/>
    <w:rsid w:val="008606D6"/>
    <w:rsid w:val="00860711"/>
    <w:rsid w:val="00860765"/>
    <w:rsid w:val="008607E1"/>
    <w:rsid w:val="00860A82"/>
    <w:rsid w:val="00860A95"/>
    <w:rsid w:val="00860AA8"/>
    <w:rsid w:val="00860AC7"/>
    <w:rsid w:val="00860C35"/>
    <w:rsid w:val="00860EF1"/>
    <w:rsid w:val="00860F5C"/>
    <w:rsid w:val="008610BB"/>
    <w:rsid w:val="0086123E"/>
    <w:rsid w:val="0086125F"/>
    <w:rsid w:val="008614E3"/>
    <w:rsid w:val="00861517"/>
    <w:rsid w:val="00861545"/>
    <w:rsid w:val="0086159E"/>
    <w:rsid w:val="0086179B"/>
    <w:rsid w:val="00861865"/>
    <w:rsid w:val="008618B2"/>
    <w:rsid w:val="00861B13"/>
    <w:rsid w:val="00861BE9"/>
    <w:rsid w:val="00861CDD"/>
    <w:rsid w:val="00861D3F"/>
    <w:rsid w:val="00861D72"/>
    <w:rsid w:val="00861DF5"/>
    <w:rsid w:val="00861F35"/>
    <w:rsid w:val="00862100"/>
    <w:rsid w:val="00862184"/>
    <w:rsid w:val="008621C1"/>
    <w:rsid w:val="0086221F"/>
    <w:rsid w:val="00862288"/>
    <w:rsid w:val="0086255E"/>
    <w:rsid w:val="00862572"/>
    <w:rsid w:val="00862658"/>
    <w:rsid w:val="00862684"/>
    <w:rsid w:val="008626D0"/>
    <w:rsid w:val="008626F3"/>
    <w:rsid w:val="00862856"/>
    <w:rsid w:val="00862871"/>
    <w:rsid w:val="008628AB"/>
    <w:rsid w:val="008628AF"/>
    <w:rsid w:val="00862952"/>
    <w:rsid w:val="00862A76"/>
    <w:rsid w:val="00862B4D"/>
    <w:rsid w:val="00862B64"/>
    <w:rsid w:val="00862D31"/>
    <w:rsid w:val="00862D40"/>
    <w:rsid w:val="00862D78"/>
    <w:rsid w:val="00862DAB"/>
    <w:rsid w:val="00862ED7"/>
    <w:rsid w:val="00862F61"/>
    <w:rsid w:val="00862FB0"/>
    <w:rsid w:val="00862FE8"/>
    <w:rsid w:val="00863230"/>
    <w:rsid w:val="00863349"/>
    <w:rsid w:val="008633F0"/>
    <w:rsid w:val="0086350F"/>
    <w:rsid w:val="008635DC"/>
    <w:rsid w:val="008636F0"/>
    <w:rsid w:val="00863722"/>
    <w:rsid w:val="00863739"/>
    <w:rsid w:val="0086391C"/>
    <w:rsid w:val="008639F7"/>
    <w:rsid w:val="00863A6D"/>
    <w:rsid w:val="00863B29"/>
    <w:rsid w:val="00863B31"/>
    <w:rsid w:val="00863C51"/>
    <w:rsid w:val="00863C61"/>
    <w:rsid w:val="00863E4A"/>
    <w:rsid w:val="00863ED2"/>
    <w:rsid w:val="00863EEA"/>
    <w:rsid w:val="008640CF"/>
    <w:rsid w:val="008640E7"/>
    <w:rsid w:val="0086410B"/>
    <w:rsid w:val="00864154"/>
    <w:rsid w:val="00864316"/>
    <w:rsid w:val="00864350"/>
    <w:rsid w:val="0086443E"/>
    <w:rsid w:val="00864442"/>
    <w:rsid w:val="008644D0"/>
    <w:rsid w:val="0086464D"/>
    <w:rsid w:val="00864782"/>
    <w:rsid w:val="008648E4"/>
    <w:rsid w:val="0086495E"/>
    <w:rsid w:val="00864B04"/>
    <w:rsid w:val="00864B83"/>
    <w:rsid w:val="00864BA8"/>
    <w:rsid w:val="00864C27"/>
    <w:rsid w:val="00864D03"/>
    <w:rsid w:val="0086513A"/>
    <w:rsid w:val="008651C1"/>
    <w:rsid w:val="008651E1"/>
    <w:rsid w:val="008651E7"/>
    <w:rsid w:val="00865206"/>
    <w:rsid w:val="0086521E"/>
    <w:rsid w:val="008653A5"/>
    <w:rsid w:val="008653FC"/>
    <w:rsid w:val="00865497"/>
    <w:rsid w:val="0086563E"/>
    <w:rsid w:val="00865739"/>
    <w:rsid w:val="00865743"/>
    <w:rsid w:val="008657BA"/>
    <w:rsid w:val="008657CE"/>
    <w:rsid w:val="00865908"/>
    <w:rsid w:val="0086593C"/>
    <w:rsid w:val="00865978"/>
    <w:rsid w:val="0086597A"/>
    <w:rsid w:val="00865993"/>
    <w:rsid w:val="00865A8D"/>
    <w:rsid w:val="00865A95"/>
    <w:rsid w:val="00865AC1"/>
    <w:rsid w:val="00865C88"/>
    <w:rsid w:val="00865CD8"/>
    <w:rsid w:val="00865CF7"/>
    <w:rsid w:val="00865DA5"/>
    <w:rsid w:val="00865E43"/>
    <w:rsid w:val="00865E7A"/>
    <w:rsid w:val="0086619A"/>
    <w:rsid w:val="008661F7"/>
    <w:rsid w:val="008662A5"/>
    <w:rsid w:val="008662DE"/>
    <w:rsid w:val="00866334"/>
    <w:rsid w:val="008663BE"/>
    <w:rsid w:val="008663F2"/>
    <w:rsid w:val="00866420"/>
    <w:rsid w:val="00866433"/>
    <w:rsid w:val="00866662"/>
    <w:rsid w:val="00866A9D"/>
    <w:rsid w:val="00866AC5"/>
    <w:rsid w:val="00866C3B"/>
    <w:rsid w:val="00866CEA"/>
    <w:rsid w:val="00866DC4"/>
    <w:rsid w:val="00866E19"/>
    <w:rsid w:val="00866E9A"/>
    <w:rsid w:val="00866EA0"/>
    <w:rsid w:val="00866EBD"/>
    <w:rsid w:val="00866F3C"/>
    <w:rsid w:val="0086714F"/>
    <w:rsid w:val="008671F4"/>
    <w:rsid w:val="0086724D"/>
    <w:rsid w:val="008673AA"/>
    <w:rsid w:val="008673C2"/>
    <w:rsid w:val="00867446"/>
    <w:rsid w:val="008674B7"/>
    <w:rsid w:val="00867580"/>
    <w:rsid w:val="00867660"/>
    <w:rsid w:val="008676B3"/>
    <w:rsid w:val="00867853"/>
    <w:rsid w:val="008678B6"/>
    <w:rsid w:val="0086790F"/>
    <w:rsid w:val="00867ABD"/>
    <w:rsid w:val="00867B34"/>
    <w:rsid w:val="00867B8E"/>
    <w:rsid w:val="00867BA8"/>
    <w:rsid w:val="00867C18"/>
    <w:rsid w:val="00867D6A"/>
    <w:rsid w:val="00867D9D"/>
    <w:rsid w:val="00867DD6"/>
    <w:rsid w:val="00867E1B"/>
    <w:rsid w:val="00867FEC"/>
    <w:rsid w:val="00870048"/>
    <w:rsid w:val="008700BB"/>
    <w:rsid w:val="008702E3"/>
    <w:rsid w:val="00870410"/>
    <w:rsid w:val="0087046C"/>
    <w:rsid w:val="0087050A"/>
    <w:rsid w:val="00870593"/>
    <w:rsid w:val="008706F5"/>
    <w:rsid w:val="008706FB"/>
    <w:rsid w:val="00870780"/>
    <w:rsid w:val="00870824"/>
    <w:rsid w:val="0087085F"/>
    <w:rsid w:val="00870891"/>
    <w:rsid w:val="008708E9"/>
    <w:rsid w:val="00870B8D"/>
    <w:rsid w:val="00870BBE"/>
    <w:rsid w:val="00870CDE"/>
    <w:rsid w:val="00870DAD"/>
    <w:rsid w:val="00870E53"/>
    <w:rsid w:val="00871024"/>
    <w:rsid w:val="0087107F"/>
    <w:rsid w:val="008711E9"/>
    <w:rsid w:val="0087137A"/>
    <w:rsid w:val="00871451"/>
    <w:rsid w:val="008714A1"/>
    <w:rsid w:val="008714EF"/>
    <w:rsid w:val="0087150A"/>
    <w:rsid w:val="0087150F"/>
    <w:rsid w:val="008715AC"/>
    <w:rsid w:val="0087161E"/>
    <w:rsid w:val="008716AB"/>
    <w:rsid w:val="0087179D"/>
    <w:rsid w:val="00871890"/>
    <w:rsid w:val="008718DD"/>
    <w:rsid w:val="008718F9"/>
    <w:rsid w:val="00871999"/>
    <w:rsid w:val="008719D5"/>
    <w:rsid w:val="00871B1D"/>
    <w:rsid w:val="00871BAB"/>
    <w:rsid w:val="00871C54"/>
    <w:rsid w:val="00871E2E"/>
    <w:rsid w:val="00871E3D"/>
    <w:rsid w:val="00871EF3"/>
    <w:rsid w:val="0087202E"/>
    <w:rsid w:val="008720E9"/>
    <w:rsid w:val="008721D9"/>
    <w:rsid w:val="008721EC"/>
    <w:rsid w:val="0087220F"/>
    <w:rsid w:val="00872357"/>
    <w:rsid w:val="00872358"/>
    <w:rsid w:val="00872399"/>
    <w:rsid w:val="008723BC"/>
    <w:rsid w:val="00872439"/>
    <w:rsid w:val="00872570"/>
    <w:rsid w:val="008725BD"/>
    <w:rsid w:val="008725E7"/>
    <w:rsid w:val="008728D2"/>
    <w:rsid w:val="00872A9C"/>
    <w:rsid w:val="00872AE7"/>
    <w:rsid w:val="00872C96"/>
    <w:rsid w:val="00872CDD"/>
    <w:rsid w:val="00872E0A"/>
    <w:rsid w:val="00872EE4"/>
    <w:rsid w:val="00873000"/>
    <w:rsid w:val="008730AD"/>
    <w:rsid w:val="00873145"/>
    <w:rsid w:val="0087315C"/>
    <w:rsid w:val="0087327A"/>
    <w:rsid w:val="0087343D"/>
    <w:rsid w:val="00873479"/>
    <w:rsid w:val="008734F9"/>
    <w:rsid w:val="0087354B"/>
    <w:rsid w:val="00873585"/>
    <w:rsid w:val="00873594"/>
    <w:rsid w:val="0087362A"/>
    <w:rsid w:val="00873738"/>
    <w:rsid w:val="00873840"/>
    <w:rsid w:val="008738B0"/>
    <w:rsid w:val="00873A2A"/>
    <w:rsid w:val="00873AB5"/>
    <w:rsid w:val="00873ACD"/>
    <w:rsid w:val="00873D16"/>
    <w:rsid w:val="00873D5B"/>
    <w:rsid w:val="00873D70"/>
    <w:rsid w:val="00873DD1"/>
    <w:rsid w:val="00873EEB"/>
    <w:rsid w:val="00873F48"/>
    <w:rsid w:val="00873F76"/>
    <w:rsid w:val="00874085"/>
    <w:rsid w:val="008741AC"/>
    <w:rsid w:val="0087429D"/>
    <w:rsid w:val="00874417"/>
    <w:rsid w:val="00874424"/>
    <w:rsid w:val="008744C3"/>
    <w:rsid w:val="008744D0"/>
    <w:rsid w:val="00874BDF"/>
    <w:rsid w:val="00874CB3"/>
    <w:rsid w:val="00874D17"/>
    <w:rsid w:val="00874EC7"/>
    <w:rsid w:val="00874F9F"/>
    <w:rsid w:val="0087511A"/>
    <w:rsid w:val="00875166"/>
    <w:rsid w:val="00875285"/>
    <w:rsid w:val="0087536C"/>
    <w:rsid w:val="0087539A"/>
    <w:rsid w:val="00875403"/>
    <w:rsid w:val="0087554E"/>
    <w:rsid w:val="008756E6"/>
    <w:rsid w:val="00875A47"/>
    <w:rsid w:val="00875B61"/>
    <w:rsid w:val="00875C70"/>
    <w:rsid w:val="00875CC3"/>
    <w:rsid w:val="00875D6B"/>
    <w:rsid w:val="008761C3"/>
    <w:rsid w:val="008761CD"/>
    <w:rsid w:val="00876225"/>
    <w:rsid w:val="00876356"/>
    <w:rsid w:val="00876385"/>
    <w:rsid w:val="008763F5"/>
    <w:rsid w:val="00876504"/>
    <w:rsid w:val="00876552"/>
    <w:rsid w:val="0087656C"/>
    <w:rsid w:val="0087663E"/>
    <w:rsid w:val="008766EC"/>
    <w:rsid w:val="008767BD"/>
    <w:rsid w:val="00876859"/>
    <w:rsid w:val="00876912"/>
    <w:rsid w:val="00876A05"/>
    <w:rsid w:val="00876A98"/>
    <w:rsid w:val="00876AB5"/>
    <w:rsid w:val="00876B51"/>
    <w:rsid w:val="00876C84"/>
    <w:rsid w:val="00876C93"/>
    <w:rsid w:val="0087708F"/>
    <w:rsid w:val="00877416"/>
    <w:rsid w:val="008774AB"/>
    <w:rsid w:val="008775B2"/>
    <w:rsid w:val="00877647"/>
    <w:rsid w:val="008776AC"/>
    <w:rsid w:val="008776BB"/>
    <w:rsid w:val="00877840"/>
    <w:rsid w:val="0087794B"/>
    <w:rsid w:val="00877993"/>
    <w:rsid w:val="008779AF"/>
    <w:rsid w:val="00877AC5"/>
    <w:rsid w:val="00877BB6"/>
    <w:rsid w:val="00877CD7"/>
    <w:rsid w:val="00877D42"/>
    <w:rsid w:val="00877E9B"/>
    <w:rsid w:val="00877F76"/>
    <w:rsid w:val="00880018"/>
    <w:rsid w:val="0088003C"/>
    <w:rsid w:val="008800B6"/>
    <w:rsid w:val="0088014C"/>
    <w:rsid w:val="008802DF"/>
    <w:rsid w:val="008803FE"/>
    <w:rsid w:val="008804D8"/>
    <w:rsid w:val="00880535"/>
    <w:rsid w:val="00880544"/>
    <w:rsid w:val="00880580"/>
    <w:rsid w:val="00880592"/>
    <w:rsid w:val="00880668"/>
    <w:rsid w:val="00880744"/>
    <w:rsid w:val="008808C0"/>
    <w:rsid w:val="008808CE"/>
    <w:rsid w:val="00880A02"/>
    <w:rsid w:val="00880A91"/>
    <w:rsid w:val="00880B7A"/>
    <w:rsid w:val="00880C1D"/>
    <w:rsid w:val="00880E1A"/>
    <w:rsid w:val="0088104F"/>
    <w:rsid w:val="0088107A"/>
    <w:rsid w:val="008811F8"/>
    <w:rsid w:val="00881340"/>
    <w:rsid w:val="00881356"/>
    <w:rsid w:val="008814D4"/>
    <w:rsid w:val="00881711"/>
    <w:rsid w:val="00881824"/>
    <w:rsid w:val="00881A30"/>
    <w:rsid w:val="00881C0E"/>
    <w:rsid w:val="00881DCA"/>
    <w:rsid w:val="00881DFA"/>
    <w:rsid w:val="00881E6F"/>
    <w:rsid w:val="00881ED0"/>
    <w:rsid w:val="00882024"/>
    <w:rsid w:val="008820AA"/>
    <w:rsid w:val="008820B5"/>
    <w:rsid w:val="00882324"/>
    <w:rsid w:val="008823A4"/>
    <w:rsid w:val="00882641"/>
    <w:rsid w:val="0088267E"/>
    <w:rsid w:val="0088270D"/>
    <w:rsid w:val="0088274A"/>
    <w:rsid w:val="008828EA"/>
    <w:rsid w:val="00882960"/>
    <w:rsid w:val="008829AF"/>
    <w:rsid w:val="008829F2"/>
    <w:rsid w:val="00882A28"/>
    <w:rsid w:val="00882B3C"/>
    <w:rsid w:val="00882B44"/>
    <w:rsid w:val="00882B70"/>
    <w:rsid w:val="00882BEB"/>
    <w:rsid w:val="00882C2B"/>
    <w:rsid w:val="00882D1A"/>
    <w:rsid w:val="00882D3C"/>
    <w:rsid w:val="00882D3E"/>
    <w:rsid w:val="00882E37"/>
    <w:rsid w:val="00882E86"/>
    <w:rsid w:val="00882F21"/>
    <w:rsid w:val="00882FDE"/>
    <w:rsid w:val="00882FEB"/>
    <w:rsid w:val="0088314E"/>
    <w:rsid w:val="00883216"/>
    <w:rsid w:val="008832CC"/>
    <w:rsid w:val="0088335E"/>
    <w:rsid w:val="008835D1"/>
    <w:rsid w:val="008835EA"/>
    <w:rsid w:val="00883616"/>
    <w:rsid w:val="008837CA"/>
    <w:rsid w:val="00883918"/>
    <w:rsid w:val="00883939"/>
    <w:rsid w:val="0088399A"/>
    <w:rsid w:val="00883B77"/>
    <w:rsid w:val="00883C9A"/>
    <w:rsid w:val="008840E8"/>
    <w:rsid w:val="00884167"/>
    <w:rsid w:val="00884267"/>
    <w:rsid w:val="008842F2"/>
    <w:rsid w:val="00884308"/>
    <w:rsid w:val="0088454E"/>
    <w:rsid w:val="00884710"/>
    <w:rsid w:val="0088477A"/>
    <w:rsid w:val="00884B25"/>
    <w:rsid w:val="00884B62"/>
    <w:rsid w:val="00884C1B"/>
    <w:rsid w:val="00884C71"/>
    <w:rsid w:val="00884D31"/>
    <w:rsid w:val="00884EBC"/>
    <w:rsid w:val="00884EE1"/>
    <w:rsid w:val="00884F0C"/>
    <w:rsid w:val="008851A8"/>
    <w:rsid w:val="0088524D"/>
    <w:rsid w:val="0088529C"/>
    <w:rsid w:val="008852B5"/>
    <w:rsid w:val="008852D3"/>
    <w:rsid w:val="0088530F"/>
    <w:rsid w:val="008853E7"/>
    <w:rsid w:val="008854E2"/>
    <w:rsid w:val="008858A7"/>
    <w:rsid w:val="00885ACE"/>
    <w:rsid w:val="00885CD2"/>
    <w:rsid w:val="00885CE5"/>
    <w:rsid w:val="00885D26"/>
    <w:rsid w:val="00885E31"/>
    <w:rsid w:val="00885EB9"/>
    <w:rsid w:val="00885ED2"/>
    <w:rsid w:val="00885FDC"/>
    <w:rsid w:val="00886085"/>
    <w:rsid w:val="0088609B"/>
    <w:rsid w:val="00886101"/>
    <w:rsid w:val="00886172"/>
    <w:rsid w:val="008863D0"/>
    <w:rsid w:val="00886422"/>
    <w:rsid w:val="008865E9"/>
    <w:rsid w:val="0088664C"/>
    <w:rsid w:val="0088667A"/>
    <w:rsid w:val="0088672E"/>
    <w:rsid w:val="008867DF"/>
    <w:rsid w:val="00886836"/>
    <w:rsid w:val="008868CD"/>
    <w:rsid w:val="008869E4"/>
    <w:rsid w:val="00886A44"/>
    <w:rsid w:val="00886B60"/>
    <w:rsid w:val="00886D21"/>
    <w:rsid w:val="00886D99"/>
    <w:rsid w:val="00886F2E"/>
    <w:rsid w:val="00886F98"/>
    <w:rsid w:val="00886F9E"/>
    <w:rsid w:val="008870F6"/>
    <w:rsid w:val="008871FE"/>
    <w:rsid w:val="00887365"/>
    <w:rsid w:val="00887578"/>
    <w:rsid w:val="00887618"/>
    <w:rsid w:val="00887657"/>
    <w:rsid w:val="00887723"/>
    <w:rsid w:val="008877D3"/>
    <w:rsid w:val="0088785D"/>
    <w:rsid w:val="0088789B"/>
    <w:rsid w:val="008878C3"/>
    <w:rsid w:val="00887903"/>
    <w:rsid w:val="00887A03"/>
    <w:rsid w:val="00887AA4"/>
    <w:rsid w:val="00887B21"/>
    <w:rsid w:val="00887CA1"/>
    <w:rsid w:val="00887D0E"/>
    <w:rsid w:val="00887D12"/>
    <w:rsid w:val="00887E12"/>
    <w:rsid w:val="00887E76"/>
    <w:rsid w:val="0089040C"/>
    <w:rsid w:val="0089046E"/>
    <w:rsid w:val="00890499"/>
    <w:rsid w:val="008904AF"/>
    <w:rsid w:val="008904CB"/>
    <w:rsid w:val="00890554"/>
    <w:rsid w:val="008905CE"/>
    <w:rsid w:val="00890768"/>
    <w:rsid w:val="00890927"/>
    <w:rsid w:val="0089098F"/>
    <w:rsid w:val="00890B19"/>
    <w:rsid w:val="00890CB2"/>
    <w:rsid w:val="00890CC8"/>
    <w:rsid w:val="00890CD5"/>
    <w:rsid w:val="00890F10"/>
    <w:rsid w:val="00891080"/>
    <w:rsid w:val="008911B9"/>
    <w:rsid w:val="00891245"/>
    <w:rsid w:val="008912A3"/>
    <w:rsid w:val="0089134B"/>
    <w:rsid w:val="008913B2"/>
    <w:rsid w:val="00891809"/>
    <w:rsid w:val="0089184D"/>
    <w:rsid w:val="008918DF"/>
    <w:rsid w:val="00891A4E"/>
    <w:rsid w:val="00891AFB"/>
    <w:rsid w:val="00891B0E"/>
    <w:rsid w:val="00891CCA"/>
    <w:rsid w:val="00891DB3"/>
    <w:rsid w:val="00891F0F"/>
    <w:rsid w:val="00891F4E"/>
    <w:rsid w:val="00891F82"/>
    <w:rsid w:val="0089218A"/>
    <w:rsid w:val="008922D3"/>
    <w:rsid w:val="00892374"/>
    <w:rsid w:val="00892689"/>
    <w:rsid w:val="008926E8"/>
    <w:rsid w:val="0089270A"/>
    <w:rsid w:val="00892759"/>
    <w:rsid w:val="0089277A"/>
    <w:rsid w:val="008929C3"/>
    <w:rsid w:val="008929D7"/>
    <w:rsid w:val="00892B6F"/>
    <w:rsid w:val="00892D3F"/>
    <w:rsid w:val="00892D8A"/>
    <w:rsid w:val="00892DB1"/>
    <w:rsid w:val="00892E28"/>
    <w:rsid w:val="00892EB7"/>
    <w:rsid w:val="00892FF5"/>
    <w:rsid w:val="00893027"/>
    <w:rsid w:val="00893162"/>
    <w:rsid w:val="00893215"/>
    <w:rsid w:val="0089339F"/>
    <w:rsid w:val="00893690"/>
    <w:rsid w:val="008937AB"/>
    <w:rsid w:val="0089389B"/>
    <w:rsid w:val="008938C2"/>
    <w:rsid w:val="00893918"/>
    <w:rsid w:val="00893AF6"/>
    <w:rsid w:val="00893B68"/>
    <w:rsid w:val="00893B7D"/>
    <w:rsid w:val="00893C13"/>
    <w:rsid w:val="00893D06"/>
    <w:rsid w:val="00893D5A"/>
    <w:rsid w:val="00893D99"/>
    <w:rsid w:val="00893E79"/>
    <w:rsid w:val="0089406A"/>
    <w:rsid w:val="008942E0"/>
    <w:rsid w:val="00894339"/>
    <w:rsid w:val="00894535"/>
    <w:rsid w:val="008945EC"/>
    <w:rsid w:val="008946CD"/>
    <w:rsid w:val="00894731"/>
    <w:rsid w:val="008947A1"/>
    <w:rsid w:val="008947A9"/>
    <w:rsid w:val="008947FF"/>
    <w:rsid w:val="00894860"/>
    <w:rsid w:val="008949B3"/>
    <w:rsid w:val="00894BC4"/>
    <w:rsid w:val="00894C68"/>
    <w:rsid w:val="00894D07"/>
    <w:rsid w:val="00894DF8"/>
    <w:rsid w:val="00894F04"/>
    <w:rsid w:val="00894F0C"/>
    <w:rsid w:val="00894F26"/>
    <w:rsid w:val="00894F71"/>
    <w:rsid w:val="00894FC9"/>
    <w:rsid w:val="00894FCD"/>
    <w:rsid w:val="008950B2"/>
    <w:rsid w:val="00895261"/>
    <w:rsid w:val="008952FC"/>
    <w:rsid w:val="008954BC"/>
    <w:rsid w:val="0089586A"/>
    <w:rsid w:val="008958B6"/>
    <w:rsid w:val="00895957"/>
    <w:rsid w:val="00895965"/>
    <w:rsid w:val="008959F0"/>
    <w:rsid w:val="00895AA5"/>
    <w:rsid w:val="00895B48"/>
    <w:rsid w:val="00895BFA"/>
    <w:rsid w:val="00895C77"/>
    <w:rsid w:val="00895EB4"/>
    <w:rsid w:val="00895F20"/>
    <w:rsid w:val="00895FEB"/>
    <w:rsid w:val="008960AF"/>
    <w:rsid w:val="0089613E"/>
    <w:rsid w:val="00896180"/>
    <w:rsid w:val="008961A5"/>
    <w:rsid w:val="00896275"/>
    <w:rsid w:val="008963AE"/>
    <w:rsid w:val="0089644F"/>
    <w:rsid w:val="0089645F"/>
    <w:rsid w:val="008964A7"/>
    <w:rsid w:val="00896510"/>
    <w:rsid w:val="00896568"/>
    <w:rsid w:val="00896592"/>
    <w:rsid w:val="008965FB"/>
    <w:rsid w:val="008967E3"/>
    <w:rsid w:val="00896831"/>
    <w:rsid w:val="00896890"/>
    <w:rsid w:val="0089697D"/>
    <w:rsid w:val="00896998"/>
    <w:rsid w:val="008969E2"/>
    <w:rsid w:val="00896C35"/>
    <w:rsid w:val="00896D35"/>
    <w:rsid w:val="00896DFD"/>
    <w:rsid w:val="00896E32"/>
    <w:rsid w:val="00896EDA"/>
    <w:rsid w:val="0089703C"/>
    <w:rsid w:val="00897045"/>
    <w:rsid w:val="008970DA"/>
    <w:rsid w:val="008971E1"/>
    <w:rsid w:val="008974DB"/>
    <w:rsid w:val="008974EB"/>
    <w:rsid w:val="0089773D"/>
    <w:rsid w:val="0089778C"/>
    <w:rsid w:val="008977F5"/>
    <w:rsid w:val="00897807"/>
    <w:rsid w:val="008979D8"/>
    <w:rsid w:val="00897AD4"/>
    <w:rsid w:val="00897B6E"/>
    <w:rsid w:val="00897CB5"/>
    <w:rsid w:val="00897D07"/>
    <w:rsid w:val="00897D30"/>
    <w:rsid w:val="00897DC5"/>
    <w:rsid w:val="008A0004"/>
    <w:rsid w:val="008A0088"/>
    <w:rsid w:val="008A010B"/>
    <w:rsid w:val="008A0135"/>
    <w:rsid w:val="008A02A4"/>
    <w:rsid w:val="008A0319"/>
    <w:rsid w:val="008A03EA"/>
    <w:rsid w:val="008A0482"/>
    <w:rsid w:val="008A0566"/>
    <w:rsid w:val="008A0572"/>
    <w:rsid w:val="008A064E"/>
    <w:rsid w:val="008A075D"/>
    <w:rsid w:val="008A083F"/>
    <w:rsid w:val="008A0893"/>
    <w:rsid w:val="008A0895"/>
    <w:rsid w:val="008A0A11"/>
    <w:rsid w:val="008A0A16"/>
    <w:rsid w:val="008A0A7B"/>
    <w:rsid w:val="008A0C13"/>
    <w:rsid w:val="008A0C6F"/>
    <w:rsid w:val="008A0C7A"/>
    <w:rsid w:val="008A0D86"/>
    <w:rsid w:val="008A1306"/>
    <w:rsid w:val="008A14D7"/>
    <w:rsid w:val="008A1500"/>
    <w:rsid w:val="008A163A"/>
    <w:rsid w:val="008A18F3"/>
    <w:rsid w:val="008A1B99"/>
    <w:rsid w:val="008A1BF3"/>
    <w:rsid w:val="008A1DBC"/>
    <w:rsid w:val="008A1E07"/>
    <w:rsid w:val="008A1E08"/>
    <w:rsid w:val="008A1F03"/>
    <w:rsid w:val="008A2148"/>
    <w:rsid w:val="008A21F6"/>
    <w:rsid w:val="008A22C0"/>
    <w:rsid w:val="008A247A"/>
    <w:rsid w:val="008A2610"/>
    <w:rsid w:val="008A268E"/>
    <w:rsid w:val="008A288A"/>
    <w:rsid w:val="008A28A8"/>
    <w:rsid w:val="008A28BE"/>
    <w:rsid w:val="008A2BA4"/>
    <w:rsid w:val="008A2F3E"/>
    <w:rsid w:val="008A2F3F"/>
    <w:rsid w:val="008A301C"/>
    <w:rsid w:val="008A30CD"/>
    <w:rsid w:val="008A31EC"/>
    <w:rsid w:val="008A3257"/>
    <w:rsid w:val="008A3262"/>
    <w:rsid w:val="008A32BE"/>
    <w:rsid w:val="008A3303"/>
    <w:rsid w:val="008A3674"/>
    <w:rsid w:val="008A36AD"/>
    <w:rsid w:val="008A36B6"/>
    <w:rsid w:val="008A37A3"/>
    <w:rsid w:val="008A3904"/>
    <w:rsid w:val="008A3941"/>
    <w:rsid w:val="008A3985"/>
    <w:rsid w:val="008A39DF"/>
    <w:rsid w:val="008A39E4"/>
    <w:rsid w:val="008A39EC"/>
    <w:rsid w:val="008A3A3C"/>
    <w:rsid w:val="008A3A61"/>
    <w:rsid w:val="008A3DD4"/>
    <w:rsid w:val="008A3DFF"/>
    <w:rsid w:val="008A3E0B"/>
    <w:rsid w:val="008A3F86"/>
    <w:rsid w:val="008A40AE"/>
    <w:rsid w:val="008A41C7"/>
    <w:rsid w:val="008A425A"/>
    <w:rsid w:val="008A4434"/>
    <w:rsid w:val="008A449F"/>
    <w:rsid w:val="008A44B1"/>
    <w:rsid w:val="008A44E3"/>
    <w:rsid w:val="008A450A"/>
    <w:rsid w:val="008A4692"/>
    <w:rsid w:val="008A46F1"/>
    <w:rsid w:val="008A47A8"/>
    <w:rsid w:val="008A47E2"/>
    <w:rsid w:val="008A47EA"/>
    <w:rsid w:val="008A48F6"/>
    <w:rsid w:val="008A4B1D"/>
    <w:rsid w:val="008A4C3C"/>
    <w:rsid w:val="008A4C81"/>
    <w:rsid w:val="008A4D46"/>
    <w:rsid w:val="008A4F25"/>
    <w:rsid w:val="008A5262"/>
    <w:rsid w:val="008A53E2"/>
    <w:rsid w:val="008A547D"/>
    <w:rsid w:val="008A54DF"/>
    <w:rsid w:val="008A555A"/>
    <w:rsid w:val="008A572C"/>
    <w:rsid w:val="008A5739"/>
    <w:rsid w:val="008A5996"/>
    <w:rsid w:val="008A5AD4"/>
    <w:rsid w:val="008A5B01"/>
    <w:rsid w:val="008A5B32"/>
    <w:rsid w:val="008A5C56"/>
    <w:rsid w:val="008A5C99"/>
    <w:rsid w:val="008A5CE1"/>
    <w:rsid w:val="008A5D42"/>
    <w:rsid w:val="008A5EC3"/>
    <w:rsid w:val="008A6010"/>
    <w:rsid w:val="008A6053"/>
    <w:rsid w:val="008A60A3"/>
    <w:rsid w:val="008A60A4"/>
    <w:rsid w:val="008A622D"/>
    <w:rsid w:val="008A6247"/>
    <w:rsid w:val="008A62A2"/>
    <w:rsid w:val="008A62D7"/>
    <w:rsid w:val="008A631E"/>
    <w:rsid w:val="008A63A8"/>
    <w:rsid w:val="008A63D7"/>
    <w:rsid w:val="008A644F"/>
    <w:rsid w:val="008A6608"/>
    <w:rsid w:val="008A66F2"/>
    <w:rsid w:val="008A6706"/>
    <w:rsid w:val="008A67F6"/>
    <w:rsid w:val="008A68FE"/>
    <w:rsid w:val="008A6947"/>
    <w:rsid w:val="008A6987"/>
    <w:rsid w:val="008A6C89"/>
    <w:rsid w:val="008A6D68"/>
    <w:rsid w:val="008A6E6D"/>
    <w:rsid w:val="008A6FEE"/>
    <w:rsid w:val="008A70C5"/>
    <w:rsid w:val="008A716C"/>
    <w:rsid w:val="008A7278"/>
    <w:rsid w:val="008A727C"/>
    <w:rsid w:val="008A7396"/>
    <w:rsid w:val="008A73EE"/>
    <w:rsid w:val="008A775A"/>
    <w:rsid w:val="008A783E"/>
    <w:rsid w:val="008A79B0"/>
    <w:rsid w:val="008A7B29"/>
    <w:rsid w:val="008A7BD4"/>
    <w:rsid w:val="008A7C88"/>
    <w:rsid w:val="008A7C9B"/>
    <w:rsid w:val="008A7E6E"/>
    <w:rsid w:val="008A7FEC"/>
    <w:rsid w:val="008B0156"/>
    <w:rsid w:val="008B0169"/>
    <w:rsid w:val="008B023F"/>
    <w:rsid w:val="008B0265"/>
    <w:rsid w:val="008B029A"/>
    <w:rsid w:val="008B0424"/>
    <w:rsid w:val="008B057C"/>
    <w:rsid w:val="008B0606"/>
    <w:rsid w:val="008B0756"/>
    <w:rsid w:val="008B07B1"/>
    <w:rsid w:val="008B0970"/>
    <w:rsid w:val="008B0A0F"/>
    <w:rsid w:val="008B0A1A"/>
    <w:rsid w:val="008B0A49"/>
    <w:rsid w:val="008B0B41"/>
    <w:rsid w:val="008B0BA4"/>
    <w:rsid w:val="008B0CA9"/>
    <w:rsid w:val="008B0D9D"/>
    <w:rsid w:val="008B0DC3"/>
    <w:rsid w:val="008B0E5E"/>
    <w:rsid w:val="008B0F52"/>
    <w:rsid w:val="008B114C"/>
    <w:rsid w:val="008B11F6"/>
    <w:rsid w:val="008B138A"/>
    <w:rsid w:val="008B15CC"/>
    <w:rsid w:val="008B15F7"/>
    <w:rsid w:val="008B16D1"/>
    <w:rsid w:val="008B1915"/>
    <w:rsid w:val="008B19B0"/>
    <w:rsid w:val="008B1C1F"/>
    <w:rsid w:val="008B1CD4"/>
    <w:rsid w:val="008B1DDE"/>
    <w:rsid w:val="008B1DFE"/>
    <w:rsid w:val="008B1FFA"/>
    <w:rsid w:val="008B2029"/>
    <w:rsid w:val="008B2128"/>
    <w:rsid w:val="008B21FF"/>
    <w:rsid w:val="008B2327"/>
    <w:rsid w:val="008B233B"/>
    <w:rsid w:val="008B236E"/>
    <w:rsid w:val="008B23C7"/>
    <w:rsid w:val="008B23FA"/>
    <w:rsid w:val="008B2403"/>
    <w:rsid w:val="008B2541"/>
    <w:rsid w:val="008B2720"/>
    <w:rsid w:val="008B28AE"/>
    <w:rsid w:val="008B2AA0"/>
    <w:rsid w:val="008B2ABB"/>
    <w:rsid w:val="008B2B07"/>
    <w:rsid w:val="008B2D50"/>
    <w:rsid w:val="008B2E06"/>
    <w:rsid w:val="008B2EE4"/>
    <w:rsid w:val="008B2F5A"/>
    <w:rsid w:val="008B2F65"/>
    <w:rsid w:val="008B302F"/>
    <w:rsid w:val="008B316D"/>
    <w:rsid w:val="008B3208"/>
    <w:rsid w:val="008B32F3"/>
    <w:rsid w:val="008B33D4"/>
    <w:rsid w:val="008B345A"/>
    <w:rsid w:val="008B34AF"/>
    <w:rsid w:val="008B3512"/>
    <w:rsid w:val="008B365F"/>
    <w:rsid w:val="008B36BC"/>
    <w:rsid w:val="008B36E3"/>
    <w:rsid w:val="008B3821"/>
    <w:rsid w:val="008B3858"/>
    <w:rsid w:val="008B3996"/>
    <w:rsid w:val="008B3A4F"/>
    <w:rsid w:val="008B3ACA"/>
    <w:rsid w:val="008B3B96"/>
    <w:rsid w:val="008B3BA0"/>
    <w:rsid w:val="008B3D06"/>
    <w:rsid w:val="008B3DEC"/>
    <w:rsid w:val="008B3EBD"/>
    <w:rsid w:val="008B421B"/>
    <w:rsid w:val="008B4226"/>
    <w:rsid w:val="008B45BD"/>
    <w:rsid w:val="008B45CA"/>
    <w:rsid w:val="008B46BE"/>
    <w:rsid w:val="008B4724"/>
    <w:rsid w:val="008B475A"/>
    <w:rsid w:val="008B47C0"/>
    <w:rsid w:val="008B48B1"/>
    <w:rsid w:val="008B4917"/>
    <w:rsid w:val="008B4AC0"/>
    <w:rsid w:val="008B4BC2"/>
    <w:rsid w:val="008B4D3D"/>
    <w:rsid w:val="008B4E3D"/>
    <w:rsid w:val="008B5041"/>
    <w:rsid w:val="008B5111"/>
    <w:rsid w:val="008B51E4"/>
    <w:rsid w:val="008B536E"/>
    <w:rsid w:val="008B53BD"/>
    <w:rsid w:val="008B5406"/>
    <w:rsid w:val="008B5416"/>
    <w:rsid w:val="008B5499"/>
    <w:rsid w:val="008B569C"/>
    <w:rsid w:val="008B56A5"/>
    <w:rsid w:val="008B5725"/>
    <w:rsid w:val="008B5772"/>
    <w:rsid w:val="008B57C7"/>
    <w:rsid w:val="008B58AB"/>
    <w:rsid w:val="008B5904"/>
    <w:rsid w:val="008B5AA5"/>
    <w:rsid w:val="008B5B1C"/>
    <w:rsid w:val="008B5C50"/>
    <w:rsid w:val="008B5D6E"/>
    <w:rsid w:val="008B5EDD"/>
    <w:rsid w:val="008B5F24"/>
    <w:rsid w:val="008B60AC"/>
    <w:rsid w:val="008B612B"/>
    <w:rsid w:val="008B6258"/>
    <w:rsid w:val="008B626B"/>
    <w:rsid w:val="008B6281"/>
    <w:rsid w:val="008B62D9"/>
    <w:rsid w:val="008B635A"/>
    <w:rsid w:val="008B648D"/>
    <w:rsid w:val="008B6491"/>
    <w:rsid w:val="008B64A9"/>
    <w:rsid w:val="008B664F"/>
    <w:rsid w:val="008B6957"/>
    <w:rsid w:val="008B6A1A"/>
    <w:rsid w:val="008B6A2A"/>
    <w:rsid w:val="008B6CD0"/>
    <w:rsid w:val="008B6DE3"/>
    <w:rsid w:val="008B6E08"/>
    <w:rsid w:val="008B6E34"/>
    <w:rsid w:val="008B71C8"/>
    <w:rsid w:val="008B71FC"/>
    <w:rsid w:val="008B7223"/>
    <w:rsid w:val="008B734D"/>
    <w:rsid w:val="008B7383"/>
    <w:rsid w:val="008B7422"/>
    <w:rsid w:val="008B74D5"/>
    <w:rsid w:val="008B7566"/>
    <w:rsid w:val="008B7591"/>
    <w:rsid w:val="008B75B8"/>
    <w:rsid w:val="008B7799"/>
    <w:rsid w:val="008B78F1"/>
    <w:rsid w:val="008B7AB7"/>
    <w:rsid w:val="008B7DE9"/>
    <w:rsid w:val="008B7E99"/>
    <w:rsid w:val="008B7F76"/>
    <w:rsid w:val="008C0095"/>
    <w:rsid w:val="008C01E8"/>
    <w:rsid w:val="008C025B"/>
    <w:rsid w:val="008C02E8"/>
    <w:rsid w:val="008C034F"/>
    <w:rsid w:val="008C040B"/>
    <w:rsid w:val="008C04E7"/>
    <w:rsid w:val="008C08E5"/>
    <w:rsid w:val="008C09E0"/>
    <w:rsid w:val="008C0C87"/>
    <w:rsid w:val="008C0D63"/>
    <w:rsid w:val="008C0F01"/>
    <w:rsid w:val="008C0F15"/>
    <w:rsid w:val="008C0FE8"/>
    <w:rsid w:val="008C103C"/>
    <w:rsid w:val="008C11C1"/>
    <w:rsid w:val="008C11D8"/>
    <w:rsid w:val="008C124D"/>
    <w:rsid w:val="008C127A"/>
    <w:rsid w:val="008C135A"/>
    <w:rsid w:val="008C13BB"/>
    <w:rsid w:val="008C145A"/>
    <w:rsid w:val="008C1644"/>
    <w:rsid w:val="008C1735"/>
    <w:rsid w:val="008C1839"/>
    <w:rsid w:val="008C19BE"/>
    <w:rsid w:val="008C1A67"/>
    <w:rsid w:val="008C1B00"/>
    <w:rsid w:val="008C1B37"/>
    <w:rsid w:val="008C1D7A"/>
    <w:rsid w:val="008C1EDA"/>
    <w:rsid w:val="008C1EF4"/>
    <w:rsid w:val="008C1FD4"/>
    <w:rsid w:val="008C2073"/>
    <w:rsid w:val="008C2107"/>
    <w:rsid w:val="008C2178"/>
    <w:rsid w:val="008C2343"/>
    <w:rsid w:val="008C23C7"/>
    <w:rsid w:val="008C271C"/>
    <w:rsid w:val="008C2772"/>
    <w:rsid w:val="008C28C4"/>
    <w:rsid w:val="008C29F4"/>
    <w:rsid w:val="008C2A72"/>
    <w:rsid w:val="008C2A7D"/>
    <w:rsid w:val="008C2C2A"/>
    <w:rsid w:val="008C2E1A"/>
    <w:rsid w:val="008C2F92"/>
    <w:rsid w:val="008C3134"/>
    <w:rsid w:val="008C3135"/>
    <w:rsid w:val="008C31C0"/>
    <w:rsid w:val="008C3273"/>
    <w:rsid w:val="008C32EB"/>
    <w:rsid w:val="008C3546"/>
    <w:rsid w:val="008C35C8"/>
    <w:rsid w:val="008C3606"/>
    <w:rsid w:val="008C38A1"/>
    <w:rsid w:val="008C3A1F"/>
    <w:rsid w:val="008C3A2D"/>
    <w:rsid w:val="008C3C05"/>
    <w:rsid w:val="008C3F13"/>
    <w:rsid w:val="008C3F20"/>
    <w:rsid w:val="008C3F74"/>
    <w:rsid w:val="008C409C"/>
    <w:rsid w:val="008C40FC"/>
    <w:rsid w:val="008C42DB"/>
    <w:rsid w:val="008C437D"/>
    <w:rsid w:val="008C4965"/>
    <w:rsid w:val="008C4AA2"/>
    <w:rsid w:val="008C4ABB"/>
    <w:rsid w:val="008C4B71"/>
    <w:rsid w:val="008C4CED"/>
    <w:rsid w:val="008C4F48"/>
    <w:rsid w:val="008C507E"/>
    <w:rsid w:val="008C51E3"/>
    <w:rsid w:val="008C525D"/>
    <w:rsid w:val="008C533F"/>
    <w:rsid w:val="008C53A7"/>
    <w:rsid w:val="008C5441"/>
    <w:rsid w:val="008C5553"/>
    <w:rsid w:val="008C5556"/>
    <w:rsid w:val="008C56DD"/>
    <w:rsid w:val="008C5828"/>
    <w:rsid w:val="008C589D"/>
    <w:rsid w:val="008C5AEC"/>
    <w:rsid w:val="008C5B10"/>
    <w:rsid w:val="008C5B4C"/>
    <w:rsid w:val="008C5C78"/>
    <w:rsid w:val="008C5D04"/>
    <w:rsid w:val="008C5DC3"/>
    <w:rsid w:val="008C6132"/>
    <w:rsid w:val="008C61F5"/>
    <w:rsid w:val="008C63F4"/>
    <w:rsid w:val="008C6424"/>
    <w:rsid w:val="008C64A4"/>
    <w:rsid w:val="008C6534"/>
    <w:rsid w:val="008C6541"/>
    <w:rsid w:val="008C6609"/>
    <w:rsid w:val="008C66F3"/>
    <w:rsid w:val="008C6890"/>
    <w:rsid w:val="008C6896"/>
    <w:rsid w:val="008C689D"/>
    <w:rsid w:val="008C6923"/>
    <w:rsid w:val="008C69A9"/>
    <w:rsid w:val="008C6A1E"/>
    <w:rsid w:val="008C6A97"/>
    <w:rsid w:val="008C6C7C"/>
    <w:rsid w:val="008C6CA6"/>
    <w:rsid w:val="008C6D11"/>
    <w:rsid w:val="008C6D51"/>
    <w:rsid w:val="008C6DBC"/>
    <w:rsid w:val="008C6DEE"/>
    <w:rsid w:val="008C71BD"/>
    <w:rsid w:val="008C71F1"/>
    <w:rsid w:val="008C7214"/>
    <w:rsid w:val="008C734E"/>
    <w:rsid w:val="008C74E9"/>
    <w:rsid w:val="008C75AF"/>
    <w:rsid w:val="008C7634"/>
    <w:rsid w:val="008C794C"/>
    <w:rsid w:val="008C7B96"/>
    <w:rsid w:val="008C7BB8"/>
    <w:rsid w:val="008C7C99"/>
    <w:rsid w:val="008C7CB3"/>
    <w:rsid w:val="008C7D38"/>
    <w:rsid w:val="008C7D74"/>
    <w:rsid w:val="008C7D9A"/>
    <w:rsid w:val="008C7E2B"/>
    <w:rsid w:val="008D0286"/>
    <w:rsid w:val="008D0316"/>
    <w:rsid w:val="008D0318"/>
    <w:rsid w:val="008D0327"/>
    <w:rsid w:val="008D041C"/>
    <w:rsid w:val="008D04B5"/>
    <w:rsid w:val="008D05C5"/>
    <w:rsid w:val="008D06F1"/>
    <w:rsid w:val="008D07D8"/>
    <w:rsid w:val="008D0897"/>
    <w:rsid w:val="008D0954"/>
    <w:rsid w:val="008D0CC4"/>
    <w:rsid w:val="008D0D8B"/>
    <w:rsid w:val="008D0DEC"/>
    <w:rsid w:val="008D0F6A"/>
    <w:rsid w:val="008D0FC8"/>
    <w:rsid w:val="008D1052"/>
    <w:rsid w:val="008D107F"/>
    <w:rsid w:val="008D1103"/>
    <w:rsid w:val="008D114E"/>
    <w:rsid w:val="008D12C8"/>
    <w:rsid w:val="008D13A1"/>
    <w:rsid w:val="008D149D"/>
    <w:rsid w:val="008D14FE"/>
    <w:rsid w:val="008D15D1"/>
    <w:rsid w:val="008D173B"/>
    <w:rsid w:val="008D1BCA"/>
    <w:rsid w:val="008D1DFD"/>
    <w:rsid w:val="008D1E37"/>
    <w:rsid w:val="008D1F2F"/>
    <w:rsid w:val="008D22D0"/>
    <w:rsid w:val="008D22F3"/>
    <w:rsid w:val="008D2310"/>
    <w:rsid w:val="008D244F"/>
    <w:rsid w:val="008D24A1"/>
    <w:rsid w:val="008D269B"/>
    <w:rsid w:val="008D26EE"/>
    <w:rsid w:val="008D279A"/>
    <w:rsid w:val="008D27AB"/>
    <w:rsid w:val="008D27C5"/>
    <w:rsid w:val="008D2846"/>
    <w:rsid w:val="008D28B0"/>
    <w:rsid w:val="008D2D40"/>
    <w:rsid w:val="008D2D63"/>
    <w:rsid w:val="008D2DA5"/>
    <w:rsid w:val="008D2DBE"/>
    <w:rsid w:val="008D2EB2"/>
    <w:rsid w:val="008D3130"/>
    <w:rsid w:val="008D3195"/>
    <w:rsid w:val="008D331F"/>
    <w:rsid w:val="008D3358"/>
    <w:rsid w:val="008D338D"/>
    <w:rsid w:val="008D34C2"/>
    <w:rsid w:val="008D34E2"/>
    <w:rsid w:val="008D3531"/>
    <w:rsid w:val="008D354F"/>
    <w:rsid w:val="008D3655"/>
    <w:rsid w:val="008D3699"/>
    <w:rsid w:val="008D374C"/>
    <w:rsid w:val="008D378F"/>
    <w:rsid w:val="008D3960"/>
    <w:rsid w:val="008D396E"/>
    <w:rsid w:val="008D3A2F"/>
    <w:rsid w:val="008D3B58"/>
    <w:rsid w:val="008D3BCF"/>
    <w:rsid w:val="008D3C7B"/>
    <w:rsid w:val="008D3CF4"/>
    <w:rsid w:val="008D3E0F"/>
    <w:rsid w:val="008D3F4C"/>
    <w:rsid w:val="008D3FDB"/>
    <w:rsid w:val="008D40FA"/>
    <w:rsid w:val="008D4158"/>
    <w:rsid w:val="008D4200"/>
    <w:rsid w:val="008D4236"/>
    <w:rsid w:val="008D423B"/>
    <w:rsid w:val="008D44C4"/>
    <w:rsid w:val="008D44E1"/>
    <w:rsid w:val="008D4510"/>
    <w:rsid w:val="008D4512"/>
    <w:rsid w:val="008D45AD"/>
    <w:rsid w:val="008D45F8"/>
    <w:rsid w:val="008D462F"/>
    <w:rsid w:val="008D47CE"/>
    <w:rsid w:val="008D481A"/>
    <w:rsid w:val="008D490C"/>
    <w:rsid w:val="008D493C"/>
    <w:rsid w:val="008D49A9"/>
    <w:rsid w:val="008D4B1E"/>
    <w:rsid w:val="008D4B1F"/>
    <w:rsid w:val="008D4B2A"/>
    <w:rsid w:val="008D4B55"/>
    <w:rsid w:val="008D4D3F"/>
    <w:rsid w:val="008D4F7B"/>
    <w:rsid w:val="008D4FB7"/>
    <w:rsid w:val="008D504D"/>
    <w:rsid w:val="008D5054"/>
    <w:rsid w:val="008D5084"/>
    <w:rsid w:val="008D508D"/>
    <w:rsid w:val="008D50D2"/>
    <w:rsid w:val="008D52D8"/>
    <w:rsid w:val="008D53C1"/>
    <w:rsid w:val="008D544C"/>
    <w:rsid w:val="008D54ED"/>
    <w:rsid w:val="008D5586"/>
    <w:rsid w:val="008D55F5"/>
    <w:rsid w:val="008D562D"/>
    <w:rsid w:val="008D565C"/>
    <w:rsid w:val="008D5660"/>
    <w:rsid w:val="008D5674"/>
    <w:rsid w:val="008D5701"/>
    <w:rsid w:val="008D5726"/>
    <w:rsid w:val="008D57BB"/>
    <w:rsid w:val="008D57EA"/>
    <w:rsid w:val="008D5939"/>
    <w:rsid w:val="008D5C3F"/>
    <w:rsid w:val="008D5C53"/>
    <w:rsid w:val="008D5C75"/>
    <w:rsid w:val="008D5C82"/>
    <w:rsid w:val="008D5EF7"/>
    <w:rsid w:val="008D5F54"/>
    <w:rsid w:val="008D6176"/>
    <w:rsid w:val="008D6269"/>
    <w:rsid w:val="008D6271"/>
    <w:rsid w:val="008D62CC"/>
    <w:rsid w:val="008D6422"/>
    <w:rsid w:val="008D676A"/>
    <w:rsid w:val="008D67F4"/>
    <w:rsid w:val="008D6920"/>
    <w:rsid w:val="008D6969"/>
    <w:rsid w:val="008D69E6"/>
    <w:rsid w:val="008D6B04"/>
    <w:rsid w:val="008D6BFE"/>
    <w:rsid w:val="008D6C26"/>
    <w:rsid w:val="008D6CB0"/>
    <w:rsid w:val="008D6DCF"/>
    <w:rsid w:val="008D6E6A"/>
    <w:rsid w:val="008D6F15"/>
    <w:rsid w:val="008D6F98"/>
    <w:rsid w:val="008D6FD8"/>
    <w:rsid w:val="008D7195"/>
    <w:rsid w:val="008D72D2"/>
    <w:rsid w:val="008D736A"/>
    <w:rsid w:val="008D7553"/>
    <w:rsid w:val="008D75E8"/>
    <w:rsid w:val="008D7609"/>
    <w:rsid w:val="008D761A"/>
    <w:rsid w:val="008D7A8C"/>
    <w:rsid w:val="008D7D92"/>
    <w:rsid w:val="008D7DB0"/>
    <w:rsid w:val="008D7E32"/>
    <w:rsid w:val="008D7E54"/>
    <w:rsid w:val="008D7EF9"/>
    <w:rsid w:val="008D7F63"/>
    <w:rsid w:val="008D7F77"/>
    <w:rsid w:val="008E01B9"/>
    <w:rsid w:val="008E0320"/>
    <w:rsid w:val="008E0494"/>
    <w:rsid w:val="008E04EB"/>
    <w:rsid w:val="008E04FD"/>
    <w:rsid w:val="008E0643"/>
    <w:rsid w:val="008E070F"/>
    <w:rsid w:val="008E0714"/>
    <w:rsid w:val="008E0745"/>
    <w:rsid w:val="008E07A6"/>
    <w:rsid w:val="008E07F1"/>
    <w:rsid w:val="008E0B64"/>
    <w:rsid w:val="008E0C6D"/>
    <w:rsid w:val="008E0E31"/>
    <w:rsid w:val="008E1014"/>
    <w:rsid w:val="008E10CD"/>
    <w:rsid w:val="008E12F8"/>
    <w:rsid w:val="008E130A"/>
    <w:rsid w:val="008E1358"/>
    <w:rsid w:val="008E13AE"/>
    <w:rsid w:val="008E1508"/>
    <w:rsid w:val="008E15BA"/>
    <w:rsid w:val="008E161A"/>
    <w:rsid w:val="008E1655"/>
    <w:rsid w:val="008E1728"/>
    <w:rsid w:val="008E17E3"/>
    <w:rsid w:val="008E182E"/>
    <w:rsid w:val="008E19EC"/>
    <w:rsid w:val="008E1A67"/>
    <w:rsid w:val="008E1BEA"/>
    <w:rsid w:val="008E1C43"/>
    <w:rsid w:val="008E1CF9"/>
    <w:rsid w:val="008E1D83"/>
    <w:rsid w:val="008E1E0C"/>
    <w:rsid w:val="008E1F41"/>
    <w:rsid w:val="008E1F61"/>
    <w:rsid w:val="008E1F9F"/>
    <w:rsid w:val="008E1FBE"/>
    <w:rsid w:val="008E21C1"/>
    <w:rsid w:val="008E229E"/>
    <w:rsid w:val="008E23FB"/>
    <w:rsid w:val="008E242A"/>
    <w:rsid w:val="008E25C1"/>
    <w:rsid w:val="008E2849"/>
    <w:rsid w:val="008E28AB"/>
    <w:rsid w:val="008E28C5"/>
    <w:rsid w:val="008E2986"/>
    <w:rsid w:val="008E29A0"/>
    <w:rsid w:val="008E29B0"/>
    <w:rsid w:val="008E29BF"/>
    <w:rsid w:val="008E2C4C"/>
    <w:rsid w:val="008E2D35"/>
    <w:rsid w:val="008E2F29"/>
    <w:rsid w:val="008E3008"/>
    <w:rsid w:val="008E3058"/>
    <w:rsid w:val="008E306D"/>
    <w:rsid w:val="008E3156"/>
    <w:rsid w:val="008E329B"/>
    <w:rsid w:val="008E338D"/>
    <w:rsid w:val="008E33E3"/>
    <w:rsid w:val="008E35AE"/>
    <w:rsid w:val="008E35EA"/>
    <w:rsid w:val="008E384A"/>
    <w:rsid w:val="008E38C4"/>
    <w:rsid w:val="008E3AAF"/>
    <w:rsid w:val="008E3B71"/>
    <w:rsid w:val="008E3B7C"/>
    <w:rsid w:val="008E3C0C"/>
    <w:rsid w:val="008E3C97"/>
    <w:rsid w:val="008E3CC0"/>
    <w:rsid w:val="008E3D2A"/>
    <w:rsid w:val="008E3D9F"/>
    <w:rsid w:val="008E3DCB"/>
    <w:rsid w:val="008E3EBC"/>
    <w:rsid w:val="008E3ED8"/>
    <w:rsid w:val="008E40F5"/>
    <w:rsid w:val="008E40F7"/>
    <w:rsid w:val="008E417B"/>
    <w:rsid w:val="008E418B"/>
    <w:rsid w:val="008E42AC"/>
    <w:rsid w:val="008E42CB"/>
    <w:rsid w:val="008E4376"/>
    <w:rsid w:val="008E43A8"/>
    <w:rsid w:val="008E4483"/>
    <w:rsid w:val="008E4548"/>
    <w:rsid w:val="008E45B5"/>
    <w:rsid w:val="008E4825"/>
    <w:rsid w:val="008E490C"/>
    <w:rsid w:val="008E4981"/>
    <w:rsid w:val="008E4A69"/>
    <w:rsid w:val="008E4A97"/>
    <w:rsid w:val="008E4ACC"/>
    <w:rsid w:val="008E4D21"/>
    <w:rsid w:val="008E4D3F"/>
    <w:rsid w:val="008E4EDA"/>
    <w:rsid w:val="008E50B2"/>
    <w:rsid w:val="008E538E"/>
    <w:rsid w:val="008E5416"/>
    <w:rsid w:val="008E543D"/>
    <w:rsid w:val="008E54F6"/>
    <w:rsid w:val="008E56A5"/>
    <w:rsid w:val="008E573E"/>
    <w:rsid w:val="008E5767"/>
    <w:rsid w:val="008E5975"/>
    <w:rsid w:val="008E59F0"/>
    <w:rsid w:val="008E5AC9"/>
    <w:rsid w:val="008E5AF1"/>
    <w:rsid w:val="008E5D44"/>
    <w:rsid w:val="008E5D4C"/>
    <w:rsid w:val="008E6104"/>
    <w:rsid w:val="008E6400"/>
    <w:rsid w:val="008E64A7"/>
    <w:rsid w:val="008E64DE"/>
    <w:rsid w:val="008E65D2"/>
    <w:rsid w:val="008E65DB"/>
    <w:rsid w:val="008E65FB"/>
    <w:rsid w:val="008E67D0"/>
    <w:rsid w:val="008E693F"/>
    <w:rsid w:val="008E69C7"/>
    <w:rsid w:val="008E6A02"/>
    <w:rsid w:val="008E6A0A"/>
    <w:rsid w:val="008E6A85"/>
    <w:rsid w:val="008E6B25"/>
    <w:rsid w:val="008E6DFC"/>
    <w:rsid w:val="008E6E93"/>
    <w:rsid w:val="008E6F9A"/>
    <w:rsid w:val="008E6FB3"/>
    <w:rsid w:val="008E70D4"/>
    <w:rsid w:val="008E7371"/>
    <w:rsid w:val="008E7507"/>
    <w:rsid w:val="008E753C"/>
    <w:rsid w:val="008E76F7"/>
    <w:rsid w:val="008E783D"/>
    <w:rsid w:val="008E7875"/>
    <w:rsid w:val="008E7940"/>
    <w:rsid w:val="008E7A0A"/>
    <w:rsid w:val="008E7B49"/>
    <w:rsid w:val="008E7CA1"/>
    <w:rsid w:val="008E7D63"/>
    <w:rsid w:val="008E7DFB"/>
    <w:rsid w:val="008E7F7C"/>
    <w:rsid w:val="008F028B"/>
    <w:rsid w:val="008F0362"/>
    <w:rsid w:val="008F047E"/>
    <w:rsid w:val="008F049E"/>
    <w:rsid w:val="008F04AC"/>
    <w:rsid w:val="008F0583"/>
    <w:rsid w:val="008F0674"/>
    <w:rsid w:val="008F0750"/>
    <w:rsid w:val="008F07F7"/>
    <w:rsid w:val="008F08B9"/>
    <w:rsid w:val="008F08FF"/>
    <w:rsid w:val="008F092B"/>
    <w:rsid w:val="008F098F"/>
    <w:rsid w:val="008F0C2B"/>
    <w:rsid w:val="008F0C6B"/>
    <w:rsid w:val="008F0D61"/>
    <w:rsid w:val="008F0DD3"/>
    <w:rsid w:val="008F0DE4"/>
    <w:rsid w:val="008F0F84"/>
    <w:rsid w:val="008F0FDB"/>
    <w:rsid w:val="008F141D"/>
    <w:rsid w:val="008F143D"/>
    <w:rsid w:val="008F15B9"/>
    <w:rsid w:val="008F15D1"/>
    <w:rsid w:val="008F1866"/>
    <w:rsid w:val="008F18BC"/>
    <w:rsid w:val="008F18FD"/>
    <w:rsid w:val="008F1961"/>
    <w:rsid w:val="008F1976"/>
    <w:rsid w:val="008F19A9"/>
    <w:rsid w:val="008F1A3E"/>
    <w:rsid w:val="008F1AA0"/>
    <w:rsid w:val="008F1B10"/>
    <w:rsid w:val="008F1CCE"/>
    <w:rsid w:val="008F1D2C"/>
    <w:rsid w:val="008F1EE9"/>
    <w:rsid w:val="008F1F17"/>
    <w:rsid w:val="008F204E"/>
    <w:rsid w:val="008F20E5"/>
    <w:rsid w:val="008F214D"/>
    <w:rsid w:val="008F2158"/>
    <w:rsid w:val="008F221B"/>
    <w:rsid w:val="008F2260"/>
    <w:rsid w:val="008F2348"/>
    <w:rsid w:val="008F2351"/>
    <w:rsid w:val="008F24D5"/>
    <w:rsid w:val="008F2661"/>
    <w:rsid w:val="008F29D1"/>
    <w:rsid w:val="008F2B91"/>
    <w:rsid w:val="008F2CB3"/>
    <w:rsid w:val="008F2D02"/>
    <w:rsid w:val="008F2D37"/>
    <w:rsid w:val="008F2D76"/>
    <w:rsid w:val="008F2E6D"/>
    <w:rsid w:val="008F2F45"/>
    <w:rsid w:val="008F2FCE"/>
    <w:rsid w:val="008F2FE2"/>
    <w:rsid w:val="008F3162"/>
    <w:rsid w:val="008F340D"/>
    <w:rsid w:val="008F341B"/>
    <w:rsid w:val="008F347A"/>
    <w:rsid w:val="008F35CE"/>
    <w:rsid w:val="008F3647"/>
    <w:rsid w:val="008F36E2"/>
    <w:rsid w:val="008F375E"/>
    <w:rsid w:val="008F37B8"/>
    <w:rsid w:val="008F3869"/>
    <w:rsid w:val="008F3973"/>
    <w:rsid w:val="008F3A3C"/>
    <w:rsid w:val="008F3B11"/>
    <w:rsid w:val="008F3BE2"/>
    <w:rsid w:val="008F3C5C"/>
    <w:rsid w:val="008F3CA1"/>
    <w:rsid w:val="008F4132"/>
    <w:rsid w:val="008F43DC"/>
    <w:rsid w:val="008F44D1"/>
    <w:rsid w:val="008F465C"/>
    <w:rsid w:val="008F4668"/>
    <w:rsid w:val="008F467B"/>
    <w:rsid w:val="008F46F7"/>
    <w:rsid w:val="008F4837"/>
    <w:rsid w:val="008F4A63"/>
    <w:rsid w:val="008F4B07"/>
    <w:rsid w:val="008F4B1A"/>
    <w:rsid w:val="008F4DD2"/>
    <w:rsid w:val="008F4E5E"/>
    <w:rsid w:val="008F4EB2"/>
    <w:rsid w:val="008F4FE2"/>
    <w:rsid w:val="008F5147"/>
    <w:rsid w:val="008F5266"/>
    <w:rsid w:val="008F53B2"/>
    <w:rsid w:val="008F557C"/>
    <w:rsid w:val="008F567F"/>
    <w:rsid w:val="008F56EA"/>
    <w:rsid w:val="008F573B"/>
    <w:rsid w:val="008F57E1"/>
    <w:rsid w:val="008F5959"/>
    <w:rsid w:val="008F59F6"/>
    <w:rsid w:val="008F5B24"/>
    <w:rsid w:val="008F5B6C"/>
    <w:rsid w:val="008F5B79"/>
    <w:rsid w:val="008F5B7B"/>
    <w:rsid w:val="008F5CB2"/>
    <w:rsid w:val="008F5D29"/>
    <w:rsid w:val="008F5D82"/>
    <w:rsid w:val="008F5E15"/>
    <w:rsid w:val="008F5F6C"/>
    <w:rsid w:val="008F5FD9"/>
    <w:rsid w:val="008F6304"/>
    <w:rsid w:val="008F630E"/>
    <w:rsid w:val="008F633A"/>
    <w:rsid w:val="008F6416"/>
    <w:rsid w:val="008F6563"/>
    <w:rsid w:val="008F65AA"/>
    <w:rsid w:val="008F65D3"/>
    <w:rsid w:val="008F6866"/>
    <w:rsid w:val="008F6888"/>
    <w:rsid w:val="008F6943"/>
    <w:rsid w:val="008F6985"/>
    <w:rsid w:val="008F6AEF"/>
    <w:rsid w:val="008F6C4B"/>
    <w:rsid w:val="008F6C76"/>
    <w:rsid w:val="008F6E79"/>
    <w:rsid w:val="008F6ED5"/>
    <w:rsid w:val="008F6EF0"/>
    <w:rsid w:val="008F6F74"/>
    <w:rsid w:val="008F6F9D"/>
    <w:rsid w:val="008F6FBA"/>
    <w:rsid w:val="008F7002"/>
    <w:rsid w:val="008F7021"/>
    <w:rsid w:val="008F7083"/>
    <w:rsid w:val="008F7192"/>
    <w:rsid w:val="008F7295"/>
    <w:rsid w:val="008F73F5"/>
    <w:rsid w:val="008F7486"/>
    <w:rsid w:val="008F750B"/>
    <w:rsid w:val="008F75A0"/>
    <w:rsid w:val="008F760F"/>
    <w:rsid w:val="008F78A6"/>
    <w:rsid w:val="008F796A"/>
    <w:rsid w:val="008F7A1B"/>
    <w:rsid w:val="008F7AC5"/>
    <w:rsid w:val="008F7BEE"/>
    <w:rsid w:val="008F7C79"/>
    <w:rsid w:val="00900189"/>
    <w:rsid w:val="0090020F"/>
    <w:rsid w:val="009002AD"/>
    <w:rsid w:val="00900305"/>
    <w:rsid w:val="009003BC"/>
    <w:rsid w:val="00900452"/>
    <w:rsid w:val="00900719"/>
    <w:rsid w:val="009007BD"/>
    <w:rsid w:val="009007C4"/>
    <w:rsid w:val="00900954"/>
    <w:rsid w:val="00900A4B"/>
    <w:rsid w:val="00900A79"/>
    <w:rsid w:val="00900AA1"/>
    <w:rsid w:val="00900B60"/>
    <w:rsid w:val="00900C23"/>
    <w:rsid w:val="00900D5E"/>
    <w:rsid w:val="00900DB1"/>
    <w:rsid w:val="00900E8E"/>
    <w:rsid w:val="00900FF1"/>
    <w:rsid w:val="00900FF8"/>
    <w:rsid w:val="00901038"/>
    <w:rsid w:val="0090109E"/>
    <w:rsid w:val="009010CE"/>
    <w:rsid w:val="00901115"/>
    <w:rsid w:val="009011F1"/>
    <w:rsid w:val="00901292"/>
    <w:rsid w:val="0090129E"/>
    <w:rsid w:val="00901308"/>
    <w:rsid w:val="00901364"/>
    <w:rsid w:val="009013E0"/>
    <w:rsid w:val="00901451"/>
    <w:rsid w:val="00901479"/>
    <w:rsid w:val="009015F9"/>
    <w:rsid w:val="00901677"/>
    <w:rsid w:val="00901690"/>
    <w:rsid w:val="0090171C"/>
    <w:rsid w:val="009017AC"/>
    <w:rsid w:val="00901832"/>
    <w:rsid w:val="00901843"/>
    <w:rsid w:val="009018D3"/>
    <w:rsid w:val="009018E0"/>
    <w:rsid w:val="009018FF"/>
    <w:rsid w:val="00901A71"/>
    <w:rsid w:val="00901B04"/>
    <w:rsid w:val="00901D56"/>
    <w:rsid w:val="00901EEC"/>
    <w:rsid w:val="00902020"/>
    <w:rsid w:val="00902043"/>
    <w:rsid w:val="009021DC"/>
    <w:rsid w:val="00902352"/>
    <w:rsid w:val="009023AC"/>
    <w:rsid w:val="009024B4"/>
    <w:rsid w:val="009024C7"/>
    <w:rsid w:val="00902597"/>
    <w:rsid w:val="0090259E"/>
    <w:rsid w:val="0090274E"/>
    <w:rsid w:val="0090278A"/>
    <w:rsid w:val="0090279F"/>
    <w:rsid w:val="009027D4"/>
    <w:rsid w:val="0090281B"/>
    <w:rsid w:val="00902930"/>
    <w:rsid w:val="0090293B"/>
    <w:rsid w:val="00902A59"/>
    <w:rsid w:val="00902A5F"/>
    <w:rsid w:val="00902A9A"/>
    <w:rsid w:val="00902E70"/>
    <w:rsid w:val="0090312F"/>
    <w:rsid w:val="009031AA"/>
    <w:rsid w:val="00903358"/>
    <w:rsid w:val="00903383"/>
    <w:rsid w:val="00903544"/>
    <w:rsid w:val="0090357F"/>
    <w:rsid w:val="0090370F"/>
    <w:rsid w:val="009037E5"/>
    <w:rsid w:val="00903954"/>
    <w:rsid w:val="00903A1B"/>
    <w:rsid w:val="00903B5E"/>
    <w:rsid w:val="00903C4C"/>
    <w:rsid w:val="00903D75"/>
    <w:rsid w:val="00903DA5"/>
    <w:rsid w:val="00903DAF"/>
    <w:rsid w:val="00903F68"/>
    <w:rsid w:val="00903FF6"/>
    <w:rsid w:val="00904171"/>
    <w:rsid w:val="00904188"/>
    <w:rsid w:val="00904239"/>
    <w:rsid w:val="009044B9"/>
    <w:rsid w:val="009044C8"/>
    <w:rsid w:val="00904561"/>
    <w:rsid w:val="00904692"/>
    <w:rsid w:val="0090489F"/>
    <w:rsid w:val="009048AF"/>
    <w:rsid w:val="009049A3"/>
    <w:rsid w:val="009049D3"/>
    <w:rsid w:val="00904A1C"/>
    <w:rsid w:val="00904B41"/>
    <w:rsid w:val="00904BBD"/>
    <w:rsid w:val="00904C26"/>
    <w:rsid w:val="00904C89"/>
    <w:rsid w:val="00904CCB"/>
    <w:rsid w:val="00904D03"/>
    <w:rsid w:val="00904F2A"/>
    <w:rsid w:val="00904FB4"/>
    <w:rsid w:val="00905030"/>
    <w:rsid w:val="009052C1"/>
    <w:rsid w:val="009053DE"/>
    <w:rsid w:val="009054A6"/>
    <w:rsid w:val="009057D8"/>
    <w:rsid w:val="0090587D"/>
    <w:rsid w:val="00905ACB"/>
    <w:rsid w:val="00905AE0"/>
    <w:rsid w:val="00905AFD"/>
    <w:rsid w:val="00905B99"/>
    <w:rsid w:val="00905C98"/>
    <w:rsid w:val="00905D9F"/>
    <w:rsid w:val="00905F11"/>
    <w:rsid w:val="00905F18"/>
    <w:rsid w:val="00905F22"/>
    <w:rsid w:val="00906196"/>
    <w:rsid w:val="00906253"/>
    <w:rsid w:val="00906490"/>
    <w:rsid w:val="00906570"/>
    <w:rsid w:val="0090681D"/>
    <w:rsid w:val="00906969"/>
    <w:rsid w:val="00906A0A"/>
    <w:rsid w:val="00906BC4"/>
    <w:rsid w:val="00906BCA"/>
    <w:rsid w:val="00906DB2"/>
    <w:rsid w:val="00906E07"/>
    <w:rsid w:val="00906ED0"/>
    <w:rsid w:val="00906ED6"/>
    <w:rsid w:val="00907132"/>
    <w:rsid w:val="00907256"/>
    <w:rsid w:val="00907516"/>
    <w:rsid w:val="00907532"/>
    <w:rsid w:val="00907808"/>
    <w:rsid w:val="0090789D"/>
    <w:rsid w:val="0090791D"/>
    <w:rsid w:val="009079DF"/>
    <w:rsid w:val="009079F8"/>
    <w:rsid w:val="00907AC4"/>
    <w:rsid w:val="00907ACC"/>
    <w:rsid w:val="00907BDF"/>
    <w:rsid w:val="00907C60"/>
    <w:rsid w:val="00907C89"/>
    <w:rsid w:val="00907E5B"/>
    <w:rsid w:val="00907FF5"/>
    <w:rsid w:val="0091039D"/>
    <w:rsid w:val="009107DB"/>
    <w:rsid w:val="00910AEC"/>
    <w:rsid w:val="00910C08"/>
    <w:rsid w:val="00910DE7"/>
    <w:rsid w:val="00910EC1"/>
    <w:rsid w:val="00910EE0"/>
    <w:rsid w:val="00910F26"/>
    <w:rsid w:val="00911000"/>
    <w:rsid w:val="00911097"/>
    <w:rsid w:val="009111B2"/>
    <w:rsid w:val="009112AD"/>
    <w:rsid w:val="009113CA"/>
    <w:rsid w:val="009114B0"/>
    <w:rsid w:val="009116F3"/>
    <w:rsid w:val="009119AB"/>
    <w:rsid w:val="009119DD"/>
    <w:rsid w:val="00911A41"/>
    <w:rsid w:val="00911A55"/>
    <w:rsid w:val="00911A63"/>
    <w:rsid w:val="00911B35"/>
    <w:rsid w:val="00911BD0"/>
    <w:rsid w:val="00911C4A"/>
    <w:rsid w:val="00911C65"/>
    <w:rsid w:val="00911C88"/>
    <w:rsid w:val="00911ED2"/>
    <w:rsid w:val="00911FAE"/>
    <w:rsid w:val="00912025"/>
    <w:rsid w:val="0091214A"/>
    <w:rsid w:val="00912235"/>
    <w:rsid w:val="0091230D"/>
    <w:rsid w:val="00912386"/>
    <w:rsid w:val="00912829"/>
    <w:rsid w:val="0091286F"/>
    <w:rsid w:val="009128D8"/>
    <w:rsid w:val="00912CCC"/>
    <w:rsid w:val="00912E7D"/>
    <w:rsid w:val="00912F20"/>
    <w:rsid w:val="00912F3F"/>
    <w:rsid w:val="0091304D"/>
    <w:rsid w:val="0091309A"/>
    <w:rsid w:val="009130D4"/>
    <w:rsid w:val="009130F0"/>
    <w:rsid w:val="00913293"/>
    <w:rsid w:val="00913295"/>
    <w:rsid w:val="0091329A"/>
    <w:rsid w:val="009135DC"/>
    <w:rsid w:val="009135E9"/>
    <w:rsid w:val="00913625"/>
    <w:rsid w:val="00913697"/>
    <w:rsid w:val="009136E5"/>
    <w:rsid w:val="00913780"/>
    <w:rsid w:val="009138E2"/>
    <w:rsid w:val="009138FF"/>
    <w:rsid w:val="00913AE0"/>
    <w:rsid w:val="00913B51"/>
    <w:rsid w:val="00913EE6"/>
    <w:rsid w:val="00914025"/>
    <w:rsid w:val="00914091"/>
    <w:rsid w:val="009140C7"/>
    <w:rsid w:val="009141AD"/>
    <w:rsid w:val="00914269"/>
    <w:rsid w:val="009143AE"/>
    <w:rsid w:val="0091444F"/>
    <w:rsid w:val="0091457B"/>
    <w:rsid w:val="009145A3"/>
    <w:rsid w:val="0091482E"/>
    <w:rsid w:val="009148E0"/>
    <w:rsid w:val="00914905"/>
    <w:rsid w:val="00914930"/>
    <w:rsid w:val="00914A38"/>
    <w:rsid w:val="00914ADD"/>
    <w:rsid w:val="00914AE7"/>
    <w:rsid w:val="00914AEE"/>
    <w:rsid w:val="00914B0E"/>
    <w:rsid w:val="00914C25"/>
    <w:rsid w:val="00914C3D"/>
    <w:rsid w:val="00914D1D"/>
    <w:rsid w:val="00914D23"/>
    <w:rsid w:val="00914E1C"/>
    <w:rsid w:val="00914F3A"/>
    <w:rsid w:val="0091504C"/>
    <w:rsid w:val="0091512C"/>
    <w:rsid w:val="00915158"/>
    <w:rsid w:val="009151E0"/>
    <w:rsid w:val="009151F5"/>
    <w:rsid w:val="009152CD"/>
    <w:rsid w:val="00915430"/>
    <w:rsid w:val="0091546A"/>
    <w:rsid w:val="00915476"/>
    <w:rsid w:val="009155E4"/>
    <w:rsid w:val="0091569E"/>
    <w:rsid w:val="00915771"/>
    <w:rsid w:val="0091586F"/>
    <w:rsid w:val="009159EA"/>
    <w:rsid w:val="00915BEE"/>
    <w:rsid w:val="00915CE8"/>
    <w:rsid w:val="00915D18"/>
    <w:rsid w:val="00915DA3"/>
    <w:rsid w:val="009160AB"/>
    <w:rsid w:val="0091618D"/>
    <w:rsid w:val="00916290"/>
    <w:rsid w:val="009164B8"/>
    <w:rsid w:val="0091653E"/>
    <w:rsid w:val="00916620"/>
    <w:rsid w:val="00916645"/>
    <w:rsid w:val="009166FC"/>
    <w:rsid w:val="00916779"/>
    <w:rsid w:val="0091680C"/>
    <w:rsid w:val="009169F6"/>
    <w:rsid w:val="00916AFA"/>
    <w:rsid w:val="00916B44"/>
    <w:rsid w:val="00916BF9"/>
    <w:rsid w:val="00916CAB"/>
    <w:rsid w:val="00916DE3"/>
    <w:rsid w:val="00916E4C"/>
    <w:rsid w:val="00916E51"/>
    <w:rsid w:val="00916E59"/>
    <w:rsid w:val="00916EA8"/>
    <w:rsid w:val="00916F52"/>
    <w:rsid w:val="00916F60"/>
    <w:rsid w:val="009170FB"/>
    <w:rsid w:val="00917179"/>
    <w:rsid w:val="00917485"/>
    <w:rsid w:val="009174CB"/>
    <w:rsid w:val="009174DD"/>
    <w:rsid w:val="0091752A"/>
    <w:rsid w:val="00917751"/>
    <w:rsid w:val="009177B4"/>
    <w:rsid w:val="009178F9"/>
    <w:rsid w:val="00917A56"/>
    <w:rsid w:val="00917B11"/>
    <w:rsid w:val="00917BA4"/>
    <w:rsid w:val="00917CBE"/>
    <w:rsid w:val="00917D9B"/>
    <w:rsid w:val="00917ECB"/>
    <w:rsid w:val="00917EF6"/>
    <w:rsid w:val="009201B4"/>
    <w:rsid w:val="00920350"/>
    <w:rsid w:val="00920370"/>
    <w:rsid w:val="0092038F"/>
    <w:rsid w:val="00920427"/>
    <w:rsid w:val="00920535"/>
    <w:rsid w:val="00920628"/>
    <w:rsid w:val="00920665"/>
    <w:rsid w:val="0092067A"/>
    <w:rsid w:val="009206E3"/>
    <w:rsid w:val="00920739"/>
    <w:rsid w:val="00920753"/>
    <w:rsid w:val="009207DA"/>
    <w:rsid w:val="009207DE"/>
    <w:rsid w:val="00920898"/>
    <w:rsid w:val="00920917"/>
    <w:rsid w:val="00920961"/>
    <w:rsid w:val="00920987"/>
    <w:rsid w:val="00920AA0"/>
    <w:rsid w:val="00920AC3"/>
    <w:rsid w:val="00920C5D"/>
    <w:rsid w:val="00920DBB"/>
    <w:rsid w:val="00920E1C"/>
    <w:rsid w:val="00920FAC"/>
    <w:rsid w:val="00921026"/>
    <w:rsid w:val="0092111A"/>
    <w:rsid w:val="00921221"/>
    <w:rsid w:val="009213AB"/>
    <w:rsid w:val="0092150D"/>
    <w:rsid w:val="00921599"/>
    <w:rsid w:val="0092167E"/>
    <w:rsid w:val="00921708"/>
    <w:rsid w:val="00921737"/>
    <w:rsid w:val="0092181A"/>
    <w:rsid w:val="00921919"/>
    <w:rsid w:val="00921942"/>
    <w:rsid w:val="00921A1F"/>
    <w:rsid w:val="00921ABD"/>
    <w:rsid w:val="00921D1E"/>
    <w:rsid w:val="00921DDC"/>
    <w:rsid w:val="00921E35"/>
    <w:rsid w:val="00921E93"/>
    <w:rsid w:val="00921ECA"/>
    <w:rsid w:val="00921EDA"/>
    <w:rsid w:val="00921EDE"/>
    <w:rsid w:val="00921F0A"/>
    <w:rsid w:val="00921F4F"/>
    <w:rsid w:val="0092208B"/>
    <w:rsid w:val="00922093"/>
    <w:rsid w:val="0092228B"/>
    <w:rsid w:val="009222DE"/>
    <w:rsid w:val="009223BB"/>
    <w:rsid w:val="0092243C"/>
    <w:rsid w:val="009224F5"/>
    <w:rsid w:val="0092284B"/>
    <w:rsid w:val="00922889"/>
    <w:rsid w:val="009228E6"/>
    <w:rsid w:val="00922C48"/>
    <w:rsid w:val="00922D6C"/>
    <w:rsid w:val="00922D79"/>
    <w:rsid w:val="00922E0A"/>
    <w:rsid w:val="00922E3B"/>
    <w:rsid w:val="009230BE"/>
    <w:rsid w:val="009230C1"/>
    <w:rsid w:val="00923286"/>
    <w:rsid w:val="009235AD"/>
    <w:rsid w:val="009235DF"/>
    <w:rsid w:val="009237A2"/>
    <w:rsid w:val="009237E8"/>
    <w:rsid w:val="00923899"/>
    <w:rsid w:val="0092393F"/>
    <w:rsid w:val="00923A9B"/>
    <w:rsid w:val="00923B7A"/>
    <w:rsid w:val="00923B8A"/>
    <w:rsid w:val="00923BE5"/>
    <w:rsid w:val="00923C82"/>
    <w:rsid w:val="00923CAB"/>
    <w:rsid w:val="00923D01"/>
    <w:rsid w:val="00923D68"/>
    <w:rsid w:val="00923D7A"/>
    <w:rsid w:val="00923E06"/>
    <w:rsid w:val="00923E2E"/>
    <w:rsid w:val="00923E77"/>
    <w:rsid w:val="00923FDC"/>
    <w:rsid w:val="00924079"/>
    <w:rsid w:val="009240ED"/>
    <w:rsid w:val="009242A1"/>
    <w:rsid w:val="0092430E"/>
    <w:rsid w:val="00924339"/>
    <w:rsid w:val="00924362"/>
    <w:rsid w:val="009243F2"/>
    <w:rsid w:val="00924462"/>
    <w:rsid w:val="0092447A"/>
    <w:rsid w:val="00924545"/>
    <w:rsid w:val="00924592"/>
    <w:rsid w:val="009247CB"/>
    <w:rsid w:val="009247F1"/>
    <w:rsid w:val="00924822"/>
    <w:rsid w:val="00924824"/>
    <w:rsid w:val="00924A6C"/>
    <w:rsid w:val="00924AE1"/>
    <w:rsid w:val="00924AFC"/>
    <w:rsid w:val="00924AFD"/>
    <w:rsid w:val="00924B13"/>
    <w:rsid w:val="00924B57"/>
    <w:rsid w:val="00924D86"/>
    <w:rsid w:val="00924DDF"/>
    <w:rsid w:val="00924E1E"/>
    <w:rsid w:val="00924ED9"/>
    <w:rsid w:val="00925036"/>
    <w:rsid w:val="0092516F"/>
    <w:rsid w:val="009251B5"/>
    <w:rsid w:val="00925379"/>
    <w:rsid w:val="00925439"/>
    <w:rsid w:val="0092546B"/>
    <w:rsid w:val="00925491"/>
    <w:rsid w:val="00925630"/>
    <w:rsid w:val="00925671"/>
    <w:rsid w:val="009256A5"/>
    <w:rsid w:val="009256F0"/>
    <w:rsid w:val="0092579A"/>
    <w:rsid w:val="009257C9"/>
    <w:rsid w:val="00925880"/>
    <w:rsid w:val="009258EA"/>
    <w:rsid w:val="00925A09"/>
    <w:rsid w:val="00925B36"/>
    <w:rsid w:val="00925B60"/>
    <w:rsid w:val="00925C7D"/>
    <w:rsid w:val="00925D73"/>
    <w:rsid w:val="00925D8F"/>
    <w:rsid w:val="00926138"/>
    <w:rsid w:val="00926176"/>
    <w:rsid w:val="009261DF"/>
    <w:rsid w:val="0092632A"/>
    <w:rsid w:val="009263EB"/>
    <w:rsid w:val="009264D2"/>
    <w:rsid w:val="009264DC"/>
    <w:rsid w:val="00926560"/>
    <w:rsid w:val="00926635"/>
    <w:rsid w:val="00926685"/>
    <w:rsid w:val="00926892"/>
    <w:rsid w:val="009268BF"/>
    <w:rsid w:val="009269B1"/>
    <w:rsid w:val="009269DA"/>
    <w:rsid w:val="00926ADC"/>
    <w:rsid w:val="00926C33"/>
    <w:rsid w:val="00926D65"/>
    <w:rsid w:val="00926DA8"/>
    <w:rsid w:val="00926E2A"/>
    <w:rsid w:val="00926E9E"/>
    <w:rsid w:val="00926FE8"/>
    <w:rsid w:val="0092700B"/>
    <w:rsid w:val="0092711C"/>
    <w:rsid w:val="0092714D"/>
    <w:rsid w:val="00927204"/>
    <w:rsid w:val="0092724D"/>
    <w:rsid w:val="009272B3"/>
    <w:rsid w:val="0092758E"/>
    <w:rsid w:val="009275E4"/>
    <w:rsid w:val="009275F0"/>
    <w:rsid w:val="00927653"/>
    <w:rsid w:val="00927841"/>
    <w:rsid w:val="009278E0"/>
    <w:rsid w:val="00927932"/>
    <w:rsid w:val="00927AFE"/>
    <w:rsid w:val="00927B35"/>
    <w:rsid w:val="00927C5A"/>
    <w:rsid w:val="00927DB2"/>
    <w:rsid w:val="00927E60"/>
    <w:rsid w:val="00927F24"/>
    <w:rsid w:val="00930068"/>
    <w:rsid w:val="009300B1"/>
    <w:rsid w:val="009302B5"/>
    <w:rsid w:val="009304CC"/>
    <w:rsid w:val="009307AE"/>
    <w:rsid w:val="009309C6"/>
    <w:rsid w:val="009309CF"/>
    <w:rsid w:val="00930A69"/>
    <w:rsid w:val="00930AD6"/>
    <w:rsid w:val="00930AFD"/>
    <w:rsid w:val="00930C84"/>
    <w:rsid w:val="00930D33"/>
    <w:rsid w:val="00930DE1"/>
    <w:rsid w:val="00930EDB"/>
    <w:rsid w:val="00931031"/>
    <w:rsid w:val="009310AA"/>
    <w:rsid w:val="00931242"/>
    <w:rsid w:val="0093126B"/>
    <w:rsid w:val="0093127C"/>
    <w:rsid w:val="0093141A"/>
    <w:rsid w:val="0093144D"/>
    <w:rsid w:val="0093146E"/>
    <w:rsid w:val="009314AA"/>
    <w:rsid w:val="00931585"/>
    <w:rsid w:val="009315BE"/>
    <w:rsid w:val="009318B9"/>
    <w:rsid w:val="009318DA"/>
    <w:rsid w:val="0093196F"/>
    <w:rsid w:val="00931A4E"/>
    <w:rsid w:val="00931B9A"/>
    <w:rsid w:val="00931BE0"/>
    <w:rsid w:val="00931C68"/>
    <w:rsid w:val="009320DA"/>
    <w:rsid w:val="0093215E"/>
    <w:rsid w:val="009321F3"/>
    <w:rsid w:val="00932394"/>
    <w:rsid w:val="009326DD"/>
    <w:rsid w:val="009327A8"/>
    <w:rsid w:val="00932A80"/>
    <w:rsid w:val="00932A83"/>
    <w:rsid w:val="00932A86"/>
    <w:rsid w:val="00932ABD"/>
    <w:rsid w:val="00932B8C"/>
    <w:rsid w:val="00932D03"/>
    <w:rsid w:val="00932D52"/>
    <w:rsid w:val="00932DB3"/>
    <w:rsid w:val="00932E5E"/>
    <w:rsid w:val="00932E7E"/>
    <w:rsid w:val="00933105"/>
    <w:rsid w:val="00933130"/>
    <w:rsid w:val="009332DB"/>
    <w:rsid w:val="0093332A"/>
    <w:rsid w:val="0093338F"/>
    <w:rsid w:val="009333BF"/>
    <w:rsid w:val="0093346A"/>
    <w:rsid w:val="009336B3"/>
    <w:rsid w:val="009336EE"/>
    <w:rsid w:val="00933713"/>
    <w:rsid w:val="009337AD"/>
    <w:rsid w:val="00933930"/>
    <w:rsid w:val="00933998"/>
    <w:rsid w:val="00933B21"/>
    <w:rsid w:val="00933B3A"/>
    <w:rsid w:val="00933B3B"/>
    <w:rsid w:val="00933BAE"/>
    <w:rsid w:val="00933C07"/>
    <w:rsid w:val="00933C09"/>
    <w:rsid w:val="00933CE3"/>
    <w:rsid w:val="00933D35"/>
    <w:rsid w:val="00933D97"/>
    <w:rsid w:val="0093405B"/>
    <w:rsid w:val="009341A9"/>
    <w:rsid w:val="0093429A"/>
    <w:rsid w:val="00934316"/>
    <w:rsid w:val="009343B6"/>
    <w:rsid w:val="009347F3"/>
    <w:rsid w:val="0093486E"/>
    <w:rsid w:val="0093489F"/>
    <w:rsid w:val="009348C2"/>
    <w:rsid w:val="009349A4"/>
    <w:rsid w:val="00934A97"/>
    <w:rsid w:val="00934D5F"/>
    <w:rsid w:val="00934F8A"/>
    <w:rsid w:val="00935136"/>
    <w:rsid w:val="009351E2"/>
    <w:rsid w:val="00935291"/>
    <w:rsid w:val="0093533F"/>
    <w:rsid w:val="009354C8"/>
    <w:rsid w:val="00935596"/>
    <w:rsid w:val="00935605"/>
    <w:rsid w:val="00935784"/>
    <w:rsid w:val="009358A5"/>
    <w:rsid w:val="0093599D"/>
    <w:rsid w:val="00935A0B"/>
    <w:rsid w:val="00935C66"/>
    <w:rsid w:val="00935CCA"/>
    <w:rsid w:val="00935D4D"/>
    <w:rsid w:val="00935F16"/>
    <w:rsid w:val="00935F91"/>
    <w:rsid w:val="00935FD3"/>
    <w:rsid w:val="00935FDD"/>
    <w:rsid w:val="0093600E"/>
    <w:rsid w:val="00936027"/>
    <w:rsid w:val="00936089"/>
    <w:rsid w:val="009360EB"/>
    <w:rsid w:val="00936275"/>
    <w:rsid w:val="009362D0"/>
    <w:rsid w:val="009363FF"/>
    <w:rsid w:val="009367B8"/>
    <w:rsid w:val="00936822"/>
    <w:rsid w:val="009368B8"/>
    <w:rsid w:val="009368C2"/>
    <w:rsid w:val="00936947"/>
    <w:rsid w:val="0093695D"/>
    <w:rsid w:val="00936A40"/>
    <w:rsid w:val="00936A65"/>
    <w:rsid w:val="00936B1E"/>
    <w:rsid w:val="00936B7C"/>
    <w:rsid w:val="00936C5B"/>
    <w:rsid w:val="00936D08"/>
    <w:rsid w:val="00936D62"/>
    <w:rsid w:val="00936D99"/>
    <w:rsid w:val="00936E1A"/>
    <w:rsid w:val="00936F61"/>
    <w:rsid w:val="00936F8F"/>
    <w:rsid w:val="00936FA0"/>
    <w:rsid w:val="0093738C"/>
    <w:rsid w:val="0093739E"/>
    <w:rsid w:val="009373D0"/>
    <w:rsid w:val="009374F6"/>
    <w:rsid w:val="00937593"/>
    <w:rsid w:val="009376B9"/>
    <w:rsid w:val="0093770D"/>
    <w:rsid w:val="009377DF"/>
    <w:rsid w:val="0093789F"/>
    <w:rsid w:val="00937996"/>
    <w:rsid w:val="009379AD"/>
    <w:rsid w:val="00937ABC"/>
    <w:rsid w:val="00937AE3"/>
    <w:rsid w:val="00937B1A"/>
    <w:rsid w:val="00937BD9"/>
    <w:rsid w:val="00937BE8"/>
    <w:rsid w:val="00937DB4"/>
    <w:rsid w:val="00937DEA"/>
    <w:rsid w:val="00937E0A"/>
    <w:rsid w:val="00937E6F"/>
    <w:rsid w:val="00940077"/>
    <w:rsid w:val="009400DC"/>
    <w:rsid w:val="009400E0"/>
    <w:rsid w:val="009401F2"/>
    <w:rsid w:val="0094038B"/>
    <w:rsid w:val="00940391"/>
    <w:rsid w:val="00940517"/>
    <w:rsid w:val="00940590"/>
    <w:rsid w:val="009405C1"/>
    <w:rsid w:val="009406E6"/>
    <w:rsid w:val="0094073A"/>
    <w:rsid w:val="0094081C"/>
    <w:rsid w:val="00940873"/>
    <w:rsid w:val="009409C5"/>
    <w:rsid w:val="00940A39"/>
    <w:rsid w:val="00940BAE"/>
    <w:rsid w:val="00940C67"/>
    <w:rsid w:val="00940D37"/>
    <w:rsid w:val="00940DC1"/>
    <w:rsid w:val="00940E1B"/>
    <w:rsid w:val="00940EA0"/>
    <w:rsid w:val="00940FC4"/>
    <w:rsid w:val="0094107D"/>
    <w:rsid w:val="00941130"/>
    <w:rsid w:val="0094115F"/>
    <w:rsid w:val="00941173"/>
    <w:rsid w:val="009412C3"/>
    <w:rsid w:val="009413C8"/>
    <w:rsid w:val="0094147A"/>
    <w:rsid w:val="0094158F"/>
    <w:rsid w:val="00941642"/>
    <w:rsid w:val="00941701"/>
    <w:rsid w:val="00941784"/>
    <w:rsid w:val="009418DF"/>
    <w:rsid w:val="009418F2"/>
    <w:rsid w:val="0094195C"/>
    <w:rsid w:val="009419C8"/>
    <w:rsid w:val="009419FC"/>
    <w:rsid w:val="00941A15"/>
    <w:rsid w:val="00941B10"/>
    <w:rsid w:val="00941B77"/>
    <w:rsid w:val="00941D83"/>
    <w:rsid w:val="00941F0E"/>
    <w:rsid w:val="00942029"/>
    <w:rsid w:val="00942170"/>
    <w:rsid w:val="009421AB"/>
    <w:rsid w:val="0094253A"/>
    <w:rsid w:val="00942542"/>
    <w:rsid w:val="009425FB"/>
    <w:rsid w:val="0094283A"/>
    <w:rsid w:val="00942B5D"/>
    <w:rsid w:val="00942E05"/>
    <w:rsid w:val="00942EB9"/>
    <w:rsid w:val="009430B1"/>
    <w:rsid w:val="0094328E"/>
    <w:rsid w:val="0094333B"/>
    <w:rsid w:val="00943361"/>
    <w:rsid w:val="00943423"/>
    <w:rsid w:val="00943701"/>
    <w:rsid w:val="00943857"/>
    <w:rsid w:val="0094387E"/>
    <w:rsid w:val="009439C3"/>
    <w:rsid w:val="00943A39"/>
    <w:rsid w:val="00943AEF"/>
    <w:rsid w:val="00943B93"/>
    <w:rsid w:val="00943C30"/>
    <w:rsid w:val="00943E69"/>
    <w:rsid w:val="00943F46"/>
    <w:rsid w:val="00944150"/>
    <w:rsid w:val="0094430A"/>
    <w:rsid w:val="00944329"/>
    <w:rsid w:val="009443F0"/>
    <w:rsid w:val="00944557"/>
    <w:rsid w:val="0094467C"/>
    <w:rsid w:val="00944722"/>
    <w:rsid w:val="0094477E"/>
    <w:rsid w:val="009447C0"/>
    <w:rsid w:val="009448AB"/>
    <w:rsid w:val="0094493C"/>
    <w:rsid w:val="00944960"/>
    <w:rsid w:val="00944B70"/>
    <w:rsid w:val="00944E0A"/>
    <w:rsid w:val="009450D7"/>
    <w:rsid w:val="0094513B"/>
    <w:rsid w:val="00945142"/>
    <w:rsid w:val="00945165"/>
    <w:rsid w:val="00945179"/>
    <w:rsid w:val="0094539D"/>
    <w:rsid w:val="0094544C"/>
    <w:rsid w:val="00945520"/>
    <w:rsid w:val="0094565A"/>
    <w:rsid w:val="009456A8"/>
    <w:rsid w:val="009457A0"/>
    <w:rsid w:val="0094590A"/>
    <w:rsid w:val="00945A68"/>
    <w:rsid w:val="00945ABE"/>
    <w:rsid w:val="00945C0A"/>
    <w:rsid w:val="00945D99"/>
    <w:rsid w:val="00945EBD"/>
    <w:rsid w:val="00945F4E"/>
    <w:rsid w:val="00945FCF"/>
    <w:rsid w:val="00946044"/>
    <w:rsid w:val="0094612C"/>
    <w:rsid w:val="009462BF"/>
    <w:rsid w:val="00946353"/>
    <w:rsid w:val="0094651A"/>
    <w:rsid w:val="0094654B"/>
    <w:rsid w:val="00946584"/>
    <w:rsid w:val="009465CC"/>
    <w:rsid w:val="0094676C"/>
    <w:rsid w:val="00946852"/>
    <w:rsid w:val="00946863"/>
    <w:rsid w:val="009469A3"/>
    <w:rsid w:val="00946A16"/>
    <w:rsid w:val="00946A24"/>
    <w:rsid w:val="00946BCD"/>
    <w:rsid w:val="00946C8A"/>
    <w:rsid w:val="00946D08"/>
    <w:rsid w:val="00946D14"/>
    <w:rsid w:val="00946F00"/>
    <w:rsid w:val="00947100"/>
    <w:rsid w:val="0094713A"/>
    <w:rsid w:val="0094715B"/>
    <w:rsid w:val="0094717F"/>
    <w:rsid w:val="0094729B"/>
    <w:rsid w:val="0094746E"/>
    <w:rsid w:val="009478D3"/>
    <w:rsid w:val="00947998"/>
    <w:rsid w:val="009479F9"/>
    <w:rsid w:val="00947A77"/>
    <w:rsid w:val="00947A92"/>
    <w:rsid w:val="00947B32"/>
    <w:rsid w:val="00947CBE"/>
    <w:rsid w:val="00947D29"/>
    <w:rsid w:val="00947D6D"/>
    <w:rsid w:val="00947F0A"/>
    <w:rsid w:val="00947FE7"/>
    <w:rsid w:val="009500F4"/>
    <w:rsid w:val="0095028A"/>
    <w:rsid w:val="0095035E"/>
    <w:rsid w:val="009503F1"/>
    <w:rsid w:val="00950489"/>
    <w:rsid w:val="009506E2"/>
    <w:rsid w:val="0095075D"/>
    <w:rsid w:val="009507A3"/>
    <w:rsid w:val="0095080F"/>
    <w:rsid w:val="00950A5C"/>
    <w:rsid w:val="00950B19"/>
    <w:rsid w:val="00950BAB"/>
    <w:rsid w:val="00950BC9"/>
    <w:rsid w:val="00950BE5"/>
    <w:rsid w:val="00950C02"/>
    <w:rsid w:val="00950CA4"/>
    <w:rsid w:val="00950D0D"/>
    <w:rsid w:val="00950D93"/>
    <w:rsid w:val="00950E26"/>
    <w:rsid w:val="00950E2C"/>
    <w:rsid w:val="00950E55"/>
    <w:rsid w:val="00950F35"/>
    <w:rsid w:val="009510C8"/>
    <w:rsid w:val="0095110D"/>
    <w:rsid w:val="00951250"/>
    <w:rsid w:val="0095126E"/>
    <w:rsid w:val="009514E1"/>
    <w:rsid w:val="009514E4"/>
    <w:rsid w:val="009515C1"/>
    <w:rsid w:val="009516A1"/>
    <w:rsid w:val="009517B1"/>
    <w:rsid w:val="009517C3"/>
    <w:rsid w:val="00951A1F"/>
    <w:rsid w:val="00951A22"/>
    <w:rsid w:val="00951A2E"/>
    <w:rsid w:val="00951A31"/>
    <w:rsid w:val="00951A63"/>
    <w:rsid w:val="00951B39"/>
    <w:rsid w:val="00951BFD"/>
    <w:rsid w:val="00951D41"/>
    <w:rsid w:val="00951D4A"/>
    <w:rsid w:val="00951D50"/>
    <w:rsid w:val="00951DDE"/>
    <w:rsid w:val="00951E38"/>
    <w:rsid w:val="00951E86"/>
    <w:rsid w:val="00951EA2"/>
    <w:rsid w:val="00951EA3"/>
    <w:rsid w:val="00951FAF"/>
    <w:rsid w:val="00952311"/>
    <w:rsid w:val="00952322"/>
    <w:rsid w:val="00952451"/>
    <w:rsid w:val="0095247E"/>
    <w:rsid w:val="0095257D"/>
    <w:rsid w:val="009525EB"/>
    <w:rsid w:val="00952727"/>
    <w:rsid w:val="0095274A"/>
    <w:rsid w:val="0095286D"/>
    <w:rsid w:val="0095296F"/>
    <w:rsid w:val="009529D4"/>
    <w:rsid w:val="00952A50"/>
    <w:rsid w:val="00952A6F"/>
    <w:rsid w:val="00952ABA"/>
    <w:rsid w:val="00952B30"/>
    <w:rsid w:val="00952B86"/>
    <w:rsid w:val="00952BD9"/>
    <w:rsid w:val="00952C8C"/>
    <w:rsid w:val="00952D2E"/>
    <w:rsid w:val="00952DC5"/>
    <w:rsid w:val="00952F51"/>
    <w:rsid w:val="00953104"/>
    <w:rsid w:val="009531A3"/>
    <w:rsid w:val="009531CE"/>
    <w:rsid w:val="009532C5"/>
    <w:rsid w:val="00953455"/>
    <w:rsid w:val="0095349B"/>
    <w:rsid w:val="0095364D"/>
    <w:rsid w:val="009536AB"/>
    <w:rsid w:val="00953748"/>
    <w:rsid w:val="0095375A"/>
    <w:rsid w:val="009537AD"/>
    <w:rsid w:val="009538C6"/>
    <w:rsid w:val="009539D5"/>
    <w:rsid w:val="009539DF"/>
    <w:rsid w:val="00953B0A"/>
    <w:rsid w:val="00953B17"/>
    <w:rsid w:val="00953C43"/>
    <w:rsid w:val="00953CE0"/>
    <w:rsid w:val="00953CEF"/>
    <w:rsid w:val="00953F66"/>
    <w:rsid w:val="009540B9"/>
    <w:rsid w:val="009540BB"/>
    <w:rsid w:val="009541A7"/>
    <w:rsid w:val="009542BF"/>
    <w:rsid w:val="0095435E"/>
    <w:rsid w:val="009545DE"/>
    <w:rsid w:val="00954646"/>
    <w:rsid w:val="0095470B"/>
    <w:rsid w:val="0095479E"/>
    <w:rsid w:val="00954874"/>
    <w:rsid w:val="00954900"/>
    <w:rsid w:val="00954976"/>
    <w:rsid w:val="00954992"/>
    <w:rsid w:val="00954B9A"/>
    <w:rsid w:val="00954BB9"/>
    <w:rsid w:val="00954DEB"/>
    <w:rsid w:val="00954F16"/>
    <w:rsid w:val="00955084"/>
    <w:rsid w:val="009550BA"/>
    <w:rsid w:val="00955101"/>
    <w:rsid w:val="00955381"/>
    <w:rsid w:val="009553D3"/>
    <w:rsid w:val="00955442"/>
    <w:rsid w:val="00955609"/>
    <w:rsid w:val="009556F3"/>
    <w:rsid w:val="00955965"/>
    <w:rsid w:val="00955A61"/>
    <w:rsid w:val="00955ABC"/>
    <w:rsid w:val="00955BCB"/>
    <w:rsid w:val="00955BEE"/>
    <w:rsid w:val="00955C4A"/>
    <w:rsid w:val="00955CC2"/>
    <w:rsid w:val="00955DDB"/>
    <w:rsid w:val="00955E3F"/>
    <w:rsid w:val="00955E4C"/>
    <w:rsid w:val="00955EA6"/>
    <w:rsid w:val="00955F6B"/>
    <w:rsid w:val="00956044"/>
    <w:rsid w:val="009560C2"/>
    <w:rsid w:val="00956111"/>
    <w:rsid w:val="00956143"/>
    <w:rsid w:val="0095615A"/>
    <w:rsid w:val="00956182"/>
    <w:rsid w:val="009563C2"/>
    <w:rsid w:val="0095644F"/>
    <w:rsid w:val="00956529"/>
    <w:rsid w:val="009565C3"/>
    <w:rsid w:val="0095661D"/>
    <w:rsid w:val="00956678"/>
    <w:rsid w:val="009567C7"/>
    <w:rsid w:val="0095699E"/>
    <w:rsid w:val="00956B61"/>
    <w:rsid w:val="00956C08"/>
    <w:rsid w:val="00956C0F"/>
    <w:rsid w:val="00956C6F"/>
    <w:rsid w:val="00956CC1"/>
    <w:rsid w:val="00956CD2"/>
    <w:rsid w:val="00956D59"/>
    <w:rsid w:val="00956DEC"/>
    <w:rsid w:val="00956EC0"/>
    <w:rsid w:val="00956EF9"/>
    <w:rsid w:val="00956F0A"/>
    <w:rsid w:val="009570CE"/>
    <w:rsid w:val="009570DA"/>
    <w:rsid w:val="0095745F"/>
    <w:rsid w:val="0095749A"/>
    <w:rsid w:val="0095751A"/>
    <w:rsid w:val="0095756D"/>
    <w:rsid w:val="00957570"/>
    <w:rsid w:val="0095778E"/>
    <w:rsid w:val="0095793E"/>
    <w:rsid w:val="00957B08"/>
    <w:rsid w:val="00957B4B"/>
    <w:rsid w:val="00957B7F"/>
    <w:rsid w:val="00957CFA"/>
    <w:rsid w:val="00957D2D"/>
    <w:rsid w:val="00957D46"/>
    <w:rsid w:val="00957FA0"/>
    <w:rsid w:val="00957FA2"/>
    <w:rsid w:val="00960031"/>
    <w:rsid w:val="00960046"/>
    <w:rsid w:val="0096029E"/>
    <w:rsid w:val="009602E8"/>
    <w:rsid w:val="00960454"/>
    <w:rsid w:val="009604A2"/>
    <w:rsid w:val="00960583"/>
    <w:rsid w:val="009606BD"/>
    <w:rsid w:val="009606D0"/>
    <w:rsid w:val="0096081B"/>
    <w:rsid w:val="0096082D"/>
    <w:rsid w:val="00960955"/>
    <w:rsid w:val="00960B12"/>
    <w:rsid w:val="00960B85"/>
    <w:rsid w:val="00960D73"/>
    <w:rsid w:val="00960EFC"/>
    <w:rsid w:val="009610B2"/>
    <w:rsid w:val="0096127C"/>
    <w:rsid w:val="009612CE"/>
    <w:rsid w:val="00961400"/>
    <w:rsid w:val="00961425"/>
    <w:rsid w:val="00961442"/>
    <w:rsid w:val="00961994"/>
    <w:rsid w:val="00961A54"/>
    <w:rsid w:val="00961C22"/>
    <w:rsid w:val="00961C2E"/>
    <w:rsid w:val="00961C35"/>
    <w:rsid w:val="00961F1B"/>
    <w:rsid w:val="00961F53"/>
    <w:rsid w:val="00961F86"/>
    <w:rsid w:val="00961FE3"/>
    <w:rsid w:val="0096212C"/>
    <w:rsid w:val="00962165"/>
    <w:rsid w:val="00962204"/>
    <w:rsid w:val="0096221B"/>
    <w:rsid w:val="009622FD"/>
    <w:rsid w:val="00962316"/>
    <w:rsid w:val="0096232D"/>
    <w:rsid w:val="00962377"/>
    <w:rsid w:val="00962653"/>
    <w:rsid w:val="00962901"/>
    <w:rsid w:val="00962A22"/>
    <w:rsid w:val="00962AA8"/>
    <w:rsid w:val="00962C66"/>
    <w:rsid w:val="00962EA0"/>
    <w:rsid w:val="00962EE0"/>
    <w:rsid w:val="00963089"/>
    <w:rsid w:val="009631A7"/>
    <w:rsid w:val="009633C9"/>
    <w:rsid w:val="0096359C"/>
    <w:rsid w:val="009635DB"/>
    <w:rsid w:val="00963646"/>
    <w:rsid w:val="00963825"/>
    <w:rsid w:val="00963A2B"/>
    <w:rsid w:val="00963BC0"/>
    <w:rsid w:val="00963CA8"/>
    <w:rsid w:val="00963CD2"/>
    <w:rsid w:val="00963DF8"/>
    <w:rsid w:val="00963E2D"/>
    <w:rsid w:val="00963E54"/>
    <w:rsid w:val="00963E58"/>
    <w:rsid w:val="00963EFB"/>
    <w:rsid w:val="00963F66"/>
    <w:rsid w:val="00964056"/>
    <w:rsid w:val="00964083"/>
    <w:rsid w:val="009640B4"/>
    <w:rsid w:val="009640D9"/>
    <w:rsid w:val="00964151"/>
    <w:rsid w:val="00964380"/>
    <w:rsid w:val="009645EB"/>
    <w:rsid w:val="009647E4"/>
    <w:rsid w:val="009649BC"/>
    <w:rsid w:val="00964B0C"/>
    <w:rsid w:val="00964CAD"/>
    <w:rsid w:val="00964E1A"/>
    <w:rsid w:val="0096506F"/>
    <w:rsid w:val="009650F1"/>
    <w:rsid w:val="009651A2"/>
    <w:rsid w:val="00965214"/>
    <w:rsid w:val="00965313"/>
    <w:rsid w:val="00965333"/>
    <w:rsid w:val="00965408"/>
    <w:rsid w:val="0096541C"/>
    <w:rsid w:val="009654FE"/>
    <w:rsid w:val="0096550B"/>
    <w:rsid w:val="00965514"/>
    <w:rsid w:val="009656A7"/>
    <w:rsid w:val="00965700"/>
    <w:rsid w:val="00965866"/>
    <w:rsid w:val="00965997"/>
    <w:rsid w:val="009659D1"/>
    <w:rsid w:val="00965A9C"/>
    <w:rsid w:val="00965AB4"/>
    <w:rsid w:val="00965B38"/>
    <w:rsid w:val="00965BC4"/>
    <w:rsid w:val="00965C38"/>
    <w:rsid w:val="00965D87"/>
    <w:rsid w:val="00965E01"/>
    <w:rsid w:val="00965F12"/>
    <w:rsid w:val="00965FE1"/>
    <w:rsid w:val="00966246"/>
    <w:rsid w:val="00966328"/>
    <w:rsid w:val="0096632D"/>
    <w:rsid w:val="00966391"/>
    <w:rsid w:val="009665D8"/>
    <w:rsid w:val="00966854"/>
    <w:rsid w:val="009668E0"/>
    <w:rsid w:val="00966A89"/>
    <w:rsid w:val="00966D17"/>
    <w:rsid w:val="00966DEA"/>
    <w:rsid w:val="00966E83"/>
    <w:rsid w:val="00966E9A"/>
    <w:rsid w:val="00966EEC"/>
    <w:rsid w:val="00967124"/>
    <w:rsid w:val="009672FB"/>
    <w:rsid w:val="009673A7"/>
    <w:rsid w:val="00967469"/>
    <w:rsid w:val="009674D0"/>
    <w:rsid w:val="009679AC"/>
    <w:rsid w:val="00967A4A"/>
    <w:rsid w:val="00967B29"/>
    <w:rsid w:val="00967B7D"/>
    <w:rsid w:val="00967BC2"/>
    <w:rsid w:val="00967CF7"/>
    <w:rsid w:val="00967D9F"/>
    <w:rsid w:val="00967DFB"/>
    <w:rsid w:val="00967F70"/>
    <w:rsid w:val="0097021A"/>
    <w:rsid w:val="0097021D"/>
    <w:rsid w:val="00970343"/>
    <w:rsid w:val="00970511"/>
    <w:rsid w:val="009705B1"/>
    <w:rsid w:val="00970710"/>
    <w:rsid w:val="00970748"/>
    <w:rsid w:val="00970A3D"/>
    <w:rsid w:val="00970A80"/>
    <w:rsid w:val="00970AA5"/>
    <w:rsid w:val="00970BAD"/>
    <w:rsid w:val="00970E50"/>
    <w:rsid w:val="00970EEE"/>
    <w:rsid w:val="00970F13"/>
    <w:rsid w:val="009710A6"/>
    <w:rsid w:val="00971198"/>
    <w:rsid w:val="009711A0"/>
    <w:rsid w:val="00971255"/>
    <w:rsid w:val="009713F1"/>
    <w:rsid w:val="00971407"/>
    <w:rsid w:val="0097141B"/>
    <w:rsid w:val="0097166C"/>
    <w:rsid w:val="00971720"/>
    <w:rsid w:val="00971743"/>
    <w:rsid w:val="009717DA"/>
    <w:rsid w:val="009717F3"/>
    <w:rsid w:val="00971833"/>
    <w:rsid w:val="00971857"/>
    <w:rsid w:val="009718C7"/>
    <w:rsid w:val="0097196B"/>
    <w:rsid w:val="00971C88"/>
    <w:rsid w:val="00971E23"/>
    <w:rsid w:val="00971EC4"/>
    <w:rsid w:val="00972095"/>
    <w:rsid w:val="009720FD"/>
    <w:rsid w:val="009721B9"/>
    <w:rsid w:val="0097222B"/>
    <w:rsid w:val="0097226D"/>
    <w:rsid w:val="00972296"/>
    <w:rsid w:val="0097236B"/>
    <w:rsid w:val="009724C0"/>
    <w:rsid w:val="009724EB"/>
    <w:rsid w:val="009724F3"/>
    <w:rsid w:val="0097258A"/>
    <w:rsid w:val="009725E0"/>
    <w:rsid w:val="0097265C"/>
    <w:rsid w:val="009727E3"/>
    <w:rsid w:val="00972A7B"/>
    <w:rsid w:val="00972AC3"/>
    <w:rsid w:val="00972B7F"/>
    <w:rsid w:val="00972DB4"/>
    <w:rsid w:val="00972ED5"/>
    <w:rsid w:val="00972FB9"/>
    <w:rsid w:val="00972FBF"/>
    <w:rsid w:val="00973024"/>
    <w:rsid w:val="00973048"/>
    <w:rsid w:val="00973260"/>
    <w:rsid w:val="00973299"/>
    <w:rsid w:val="009732EE"/>
    <w:rsid w:val="0097338C"/>
    <w:rsid w:val="0097357C"/>
    <w:rsid w:val="00973692"/>
    <w:rsid w:val="009736E9"/>
    <w:rsid w:val="00973819"/>
    <w:rsid w:val="009738DD"/>
    <w:rsid w:val="009738FD"/>
    <w:rsid w:val="00973990"/>
    <w:rsid w:val="00973AA4"/>
    <w:rsid w:val="00973B5F"/>
    <w:rsid w:val="00973E13"/>
    <w:rsid w:val="00973E7D"/>
    <w:rsid w:val="0097407A"/>
    <w:rsid w:val="00974111"/>
    <w:rsid w:val="00974373"/>
    <w:rsid w:val="009743BD"/>
    <w:rsid w:val="009745D8"/>
    <w:rsid w:val="00974609"/>
    <w:rsid w:val="00974800"/>
    <w:rsid w:val="0097493C"/>
    <w:rsid w:val="00974A25"/>
    <w:rsid w:val="00974C2F"/>
    <w:rsid w:val="00974DB0"/>
    <w:rsid w:val="00974DB1"/>
    <w:rsid w:val="00974F7E"/>
    <w:rsid w:val="0097503C"/>
    <w:rsid w:val="009750F3"/>
    <w:rsid w:val="009751DD"/>
    <w:rsid w:val="0097525D"/>
    <w:rsid w:val="0097526E"/>
    <w:rsid w:val="00975328"/>
    <w:rsid w:val="00975364"/>
    <w:rsid w:val="0097541B"/>
    <w:rsid w:val="00975484"/>
    <w:rsid w:val="0097559F"/>
    <w:rsid w:val="00975775"/>
    <w:rsid w:val="009758AE"/>
    <w:rsid w:val="009758BD"/>
    <w:rsid w:val="009758F2"/>
    <w:rsid w:val="00975906"/>
    <w:rsid w:val="00975938"/>
    <w:rsid w:val="009759D4"/>
    <w:rsid w:val="00975B72"/>
    <w:rsid w:val="00975BBD"/>
    <w:rsid w:val="00975C35"/>
    <w:rsid w:val="00975E41"/>
    <w:rsid w:val="00975F31"/>
    <w:rsid w:val="00976000"/>
    <w:rsid w:val="00976173"/>
    <w:rsid w:val="009761DA"/>
    <w:rsid w:val="009761EA"/>
    <w:rsid w:val="00976262"/>
    <w:rsid w:val="0097635C"/>
    <w:rsid w:val="00976564"/>
    <w:rsid w:val="00976650"/>
    <w:rsid w:val="00976839"/>
    <w:rsid w:val="009768AA"/>
    <w:rsid w:val="009769B1"/>
    <w:rsid w:val="00976B41"/>
    <w:rsid w:val="00976B82"/>
    <w:rsid w:val="00976C17"/>
    <w:rsid w:val="00976C47"/>
    <w:rsid w:val="00976D19"/>
    <w:rsid w:val="00976D58"/>
    <w:rsid w:val="00976DAF"/>
    <w:rsid w:val="00976DFA"/>
    <w:rsid w:val="00976F11"/>
    <w:rsid w:val="009770CF"/>
    <w:rsid w:val="00977120"/>
    <w:rsid w:val="00977217"/>
    <w:rsid w:val="009772D1"/>
    <w:rsid w:val="0097733B"/>
    <w:rsid w:val="00977522"/>
    <w:rsid w:val="0097761E"/>
    <w:rsid w:val="00977636"/>
    <w:rsid w:val="009776A3"/>
    <w:rsid w:val="00977747"/>
    <w:rsid w:val="0097777E"/>
    <w:rsid w:val="00977876"/>
    <w:rsid w:val="00977937"/>
    <w:rsid w:val="009779A0"/>
    <w:rsid w:val="00977B2D"/>
    <w:rsid w:val="00977B3A"/>
    <w:rsid w:val="00977D08"/>
    <w:rsid w:val="00977EE3"/>
    <w:rsid w:val="00977FAE"/>
    <w:rsid w:val="00977FF9"/>
    <w:rsid w:val="009801A6"/>
    <w:rsid w:val="00980320"/>
    <w:rsid w:val="0098048D"/>
    <w:rsid w:val="0098057F"/>
    <w:rsid w:val="0098067A"/>
    <w:rsid w:val="0098071E"/>
    <w:rsid w:val="00980835"/>
    <w:rsid w:val="0098093F"/>
    <w:rsid w:val="00980B02"/>
    <w:rsid w:val="00980B49"/>
    <w:rsid w:val="00980BEB"/>
    <w:rsid w:val="00980E52"/>
    <w:rsid w:val="00980ECE"/>
    <w:rsid w:val="00981022"/>
    <w:rsid w:val="00981042"/>
    <w:rsid w:val="00981114"/>
    <w:rsid w:val="00981202"/>
    <w:rsid w:val="009813B0"/>
    <w:rsid w:val="0098140E"/>
    <w:rsid w:val="0098146B"/>
    <w:rsid w:val="009817B5"/>
    <w:rsid w:val="00981884"/>
    <w:rsid w:val="009818CC"/>
    <w:rsid w:val="0098193B"/>
    <w:rsid w:val="00981999"/>
    <w:rsid w:val="009819BB"/>
    <w:rsid w:val="00981B89"/>
    <w:rsid w:val="00981BBE"/>
    <w:rsid w:val="00981C92"/>
    <w:rsid w:val="00981F27"/>
    <w:rsid w:val="00981F95"/>
    <w:rsid w:val="00982007"/>
    <w:rsid w:val="00982125"/>
    <w:rsid w:val="00982395"/>
    <w:rsid w:val="00982441"/>
    <w:rsid w:val="0098244C"/>
    <w:rsid w:val="00982454"/>
    <w:rsid w:val="009824EC"/>
    <w:rsid w:val="009828DE"/>
    <w:rsid w:val="009829A7"/>
    <w:rsid w:val="009829E2"/>
    <w:rsid w:val="00982A47"/>
    <w:rsid w:val="00982A9F"/>
    <w:rsid w:val="00982CF0"/>
    <w:rsid w:val="00982E07"/>
    <w:rsid w:val="00982EDC"/>
    <w:rsid w:val="009831C7"/>
    <w:rsid w:val="009831DE"/>
    <w:rsid w:val="0098356F"/>
    <w:rsid w:val="009835A4"/>
    <w:rsid w:val="0098364C"/>
    <w:rsid w:val="009836C7"/>
    <w:rsid w:val="009837C0"/>
    <w:rsid w:val="00983850"/>
    <w:rsid w:val="009839BE"/>
    <w:rsid w:val="00983C9E"/>
    <w:rsid w:val="00983D04"/>
    <w:rsid w:val="00983D27"/>
    <w:rsid w:val="00983DCC"/>
    <w:rsid w:val="00983DF5"/>
    <w:rsid w:val="009840F9"/>
    <w:rsid w:val="0098426C"/>
    <w:rsid w:val="009842B0"/>
    <w:rsid w:val="00984466"/>
    <w:rsid w:val="009844E4"/>
    <w:rsid w:val="00984545"/>
    <w:rsid w:val="00984557"/>
    <w:rsid w:val="0098467C"/>
    <w:rsid w:val="00984731"/>
    <w:rsid w:val="00984762"/>
    <w:rsid w:val="009848E9"/>
    <w:rsid w:val="00984AE1"/>
    <w:rsid w:val="00984CC9"/>
    <w:rsid w:val="00984D42"/>
    <w:rsid w:val="00984EF1"/>
    <w:rsid w:val="00985056"/>
    <w:rsid w:val="0098507F"/>
    <w:rsid w:val="009850EE"/>
    <w:rsid w:val="009851C6"/>
    <w:rsid w:val="009853C1"/>
    <w:rsid w:val="009853E1"/>
    <w:rsid w:val="009854BD"/>
    <w:rsid w:val="00985500"/>
    <w:rsid w:val="00985563"/>
    <w:rsid w:val="009855B4"/>
    <w:rsid w:val="009858BD"/>
    <w:rsid w:val="00985913"/>
    <w:rsid w:val="0098591D"/>
    <w:rsid w:val="009859FA"/>
    <w:rsid w:val="00985A11"/>
    <w:rsid w:val="00985A60"/>
    <w:rsid w:val="00985A6A"/>
    <w:rsid w:val="00985B02"/>
    <w:rsid w:val="00985B12"/>
    <w:rsid w:val="00985B7A"/>
    <w:rsid w:val="00985BCF"/>
    <w:rsid w:val="00985C9D"/>
    <w:rsid w:val="00985CB1"/>
    <w:rsid w:val="00985CCF"/>
    <w:rsid w:val="00985DFF"/>
    <w:rsid w:val="00985F6B"/>
    <w:rsid w:val="00985FC0"/>
    <w:rsid w:val="00986069"/>
    <w:rsid w:val="0098609A"/>
    <w:rsid w:val="0098609E"/>
    <w:rsid w:val="00986137"/>
    <w:rsid w:val="0098614E"/>
    <w:rsid w:val="00986311"/>
    <w:rsid w:val="00986343"/>
    <w:rsid w:val="0098636A"/>
    <w:rsid w:val="00986484"/>
    <w:rsid w:val="0098648E"/>
    <w:rsid w:val="0098652A"/>
    <w:rsid w:val="00986548"/>
    <w:rsid w:val="009865C9"/>
    <w:rsid w:val="009865FB"/>
    <w:rsid w:val="00986603"/>
    <w:rsid w:val="00986683"/>
    <w:rsid w:val="00986802"/>
    <w:rsid w:val="0098684E"/>
    <w:rsid w:val="00986877"/>
    <w:rsid w:val="009869DC"/>
    <w:rsid w:val="00986ADE"/>
    <w:rsid w:val="00986D55"/>
    <w:rsid w:val="00986E6A"/>
    <w:rsid w:val="00986E6B"/>
    <w:rsid w:val="00986EBC"/>
    <w:rsid w:val="00987002"/>
    <w:rsid w:val="00987070"/>
    <w:rsid w:val="0098708F"/>
    <w:rsid w:val="0098709A"/>
    <w:rsid w:val="009871D5"/>
    <w:rsid w:val="0098728C"/>
    <w:rsid w:val="009872F1"/>
    <w:rsid w:val="00987493"/>
    <w:rsid w:val="009874E1"/>
    <w:rsid w:val="009875DB"/>
    <w:rsid w:val="009876A6"/>
    <w:rsid w:val="00987703"/>
    <w:rsid w:val="00987B0D"/>
    <w:rsid w:val="00987C4D"/>
    <w:rsid w:val="00987C6A"/>
    <w:rsid w:val="00987DD6"/>
    <w:rsid w:val="00987E33"/>
    <w:rsid w:val="00987E64"/>
    <w:rsid w:val="00987FB0"/>
    <w:rsid w:val="00990029"/>
    <w:rsid w:val="00990032"/>
    <w:rsid w:val="009900C9"/>
    <w:rsid w:val="0099012B"/>
    <w:rsid w:val="009901EC"/>
    <w:rsid w:val="009902C0"/>
    <w:rsid w:val="009903F3"/>
    <w:rsid w:val="00990452"/>
    <w:rsid w:val="009904F7"/>
    <w:rsid w:val="00990615"/>
    <w:rsid w:val="00990752"/>
    <w:rsid w:val="009907C7"/>
    <w:rsid w:val="00990888"/>
    <w:rsid w:val="00990894"/>
    <w:rsid w:val="009908BC"/>
    <w:rsid w:val="009908D6"/>
    <w:rsid w:val="009909A8"/>
    <w:rsid w:val="009909C1"/>
    <w:rsid w:val="00990AA1"/>
    <w:rsid w:val="00990B19"/>
    <w:rsid w:val="00990B51"/>
    <w:rsid w:val="00990C41"/>
    <w:rsid w:val="00990C90"/>
    <w:rsid w:val="00990D03"/>
    <w:rsid w:val="00990D4B"/>
    <w:rsid w:val="00990DC1"/>
    <w:rsid w:val="00990EAC"/>
    <w:rsid w:val="00990EED"/>
    <w:rsid w:val="00990FA1"/>
    <w:rsid w:val="00990FDB"/>
    <w:rsid w:val="00991239"/>
    <w:rsid w:val="00991284"/>
    <w:rsid w:val="009912CC"/>
    <w:rsid w:val="009913D3"/>
    <w:rsid w:val="009913D6"/>
    <w:rsid w:val="009914C7"/>
    <w:rsid w:val="009914D7"/>
    <w:rsid w:val="009914E3"/>
    <w:rsid w:val="0099153B"/>
    <w:rsid w:val="00991599"/>
    <w:rsid w:val="009915BE"/>
    <w:rsid w:val="00991687"/>
    <w:rsid w:val="0099174F"/>
    <w:rsid w:val="00991751"/>
    <w:rsid w:val="00991769"/>
    <w:rsid w:val="009917CA"/>
    <w:rsid w:val="00991B2C"/>
    <w:rsid w:val="00992032"/>
    <w:rsid w:val="00992038"/>
    <w:rsid w:val="009920E2"/>
    <w:rsid w:val="00992187"/>
    <w:rsid w:val="009921DA"/>
    <w:rsid w:val="0099222A"/>
    <w:rsid w:val="0099232C"/>
    <w:rsid w:val="00992345"/>
    <w:rsid w:val="009923EA"/>
    <w:rsid w:val="0099244E"/>
    <w:rsid w:val="00992536"/>
    <w:rsid w:val="00992656"/>
    <w:rsid w:val="00992698"/>
    <w:rsid w:val="0099269C"/>
    <w:rsid w:val="009926D2"/>
    <w:rsid w:val="0099272A"/>
    <w:rsid w:val="009927B4"/>
    <w:rsid w:val="009928AF"/>
    <w:rsid w:val="00992A3A"/>
    <w:rsid w:val="00992A97"/>
    <w:rsid w:val="00992B7A"/>
    <w:rsid w:val="00992C54"/>
    <w:rsid w:val="00992D1D"/>
    <w:rsid w:val="00993020"/>
    <w:rsid w:val="00993044"/>
    <w:rsid w:val="009931D6"/>
    <w:rsid w:val="00993316"/>
    <w:rsid w:val="00993385"/>
    <w:rsid w:val="009933D1"/>
    <w:rsid w:val="009935C5"/>
    <w:rsid w:val="00993648"/>
    <w:rsid w:val="00993657"/>
    <w:rsid w:val="00993664"/>
    <w:rsid w:val="0099368E"/>
    <w:rsid w:val="009936CA"/>
    <w:rsid w:val="009936FF"/>
    <w:rsid w:val="00993723"/>
    <w:rsid w:val="00993820"/>
    <w:rsid w:val="00993950"/>
    <w:rsid w:val="009939D5"/>
    <w:rsid w:val="00993B0A"/>
    <w:rsid w:val="00993C5F"/>
    <w:rsid w:val="00994084"/>
    <w:rsid w:val="0099414B"/>
    <w:rsid w:val="009941D8"/>
    <w:rsid w:val="00994212"/>
    <w:rsid w:val="00994263"/>
    <w:rsid w:val="009942B7"/>
    <w:rsid w:val="00994386"/>
    <w:rsid w:val="009943FB"/>
    <w:rsid w:val="009944B1"/>
    <w:rsid w:val="009944FF"/>
    <w:rsid w:val="0099474B"/>
    <w:rsid w:val="009947D3"/>
    <w:rsid w:val="009948A7"/>
    <w:rsid w:val="009948D1"/>
    <w:rsid w:val="009948F6"/>
    <w:rsid w:val="009948F8"/>
    <w:rsid w:val="00994999"/>
    <w:rsid w:val="00994AD4"/>
    <w:rsid w:val="00994B30"/>
    <w:rsid w:val="00994CEC"/>
    <w:rsid w:val="00994D14"/>
    <w:rsid w:val="00994F1D"/>
    <w:rsid w:val="00994F5F"/>
    <w:rsid w:val="0099506B"/>
    <w:rsid w:val="009952B7"/>
    <w:rsid w:val="0099540D"/>
    <w:rsid w:val="00995631"/>
    <w:rsid w:val="00995641"/>
    <w:rsid w:val="009956A3"/>
    <w:rsid w:val="009956C3"/>
    <w:rsid w:val="00995777"/>
    <w:rsid w:val="009957A9"/>
    <w:rsid w:val="0099590F"/>
    <w:rsid w:val="00995C4C"/>
    <w:rsid w:val="00995D2A"/>
    <w:rsid w:val="00995E99"/>
    <w:rsid w:val="00995F21"/>
    <w:rsid w:val="00995F5F"/>
    <w:rsid w:val="009964C5"/>
    <w:rsid w:val="0099652E"/>
    <w:rsid w:val="00996578"/>
    <w:rsid w:val="00996678"/>
    <w:rsid w:val="00996867"/>
    <w:rsid w:val="0099692E"/>
    <w:rsid w:val="00996A39"/>
    <w:rsid w:val="00996A98"/>
    <w:rsid w:val="00996BAD"/>
    <w:rsid w:val="00996BF6"/>
    <w:rsid w:val="00996D32"/>
    <w:rsid w:val="00996E67"/>
    <w:rsid w:val="00996FDB"/>
    <w:rsid w:val="00997103"/>
    <w:rsid w:val="0099712E"/>
    <w:rsid w:val="009971EF"/>
    <w:rsid w:val="00997221"/>
    <w:rsid w:val="009972E6"/>
    <w:rsid w:val="00997567"/>
    <w:rsid w:val="00997655"/>
    <w:rsid w:val="009977A8"/>
    <w:rsid w:val="009977DC"/>
    <w:rsid w:val="009977EE"/>
    <w:rsid w:val="009978DF"/>
    <w:rsid w:val="00997A75"/>
    <w:rsid w:val="00997B5C"/>
    <w:rsid w:val="00997C21"/>
    <w:rsid w:val="00997CA0"/>
    <w:rsid w:val="00997D32"/>
    <w:rsid w:val="00997D5B"/>
    <w:rsid w:val="00997E16"/>
    <w:rsid w:val="00997E27"/>
    <w:rsid w:val="00997FDA"/>
    <w:rsid w:val="009A00FC"/>
    <w:rsid w:val="009A01CC"/>
    <w:rsid w:val="009A0212"/>
    <w:rsid w:val="009A0322"/>
    <w:rsid w:val="009A0390"/>
    <w:rsid w:val="009A03DE"/>
    <w:rsid w:val="009A0439"/>
    <w:rsid w:val="009A05A6"/>
    <w:rsid w:val="009A0985"/>
    <w:rsid w:val="009A0A00"/>
    <w:rsid w:val="009A0A0B"/>
    <w:rsid w:val="009A0BF5"/>
    <w:rsid w:val="009A0C2D"/>
    <w:rsid w:val="009A0CB2"/>
    <w:rsid w:val="009A0DAA"/>
    <w:rsid w:val="009A0ECF"/>
    <w:rsid w:val="009A0FB2"/>
    <w:rsid w:val="009A1012"/>
    <w:rsid w:val="009A11CB"/>
    <w:rsid w:val="009A13CD"/>
    <w:rsid w:val="009A13D8"/>
    <w:rsid w:val="009A1461"/>
    <w:rsid w:val="009A1635"/>
    <w:rsid w:val="009A1643"/>
    <w:rsid w:val="009A175C"/>
    <w:rsid w:val="009A17E1"/>
    <w:rsid w:val="009A1805"/>
    <w:rsid w:val="009A1858"/>
    <w:rsid w:val="009A1A6A"/>
    <w:rsid w:val="009A1AD7"/>
    <w:rsid w:val="009A1B91"/>
    <w:rsid w:val="009A1BB1"/>
    <w:rsid w:val="009A1CD3"/>
    <w:rsid w:val="009A1CE2"/>
    <w:rsid w:val="009A1D40"/>
    <w:rsid w:val="009A1D77"/>
    <w:rsid w:val="009A1DC4"/>
    <w:rsid w:val="009A1E50"/>
    <w:rsid w:val="009A1E77"/>
    <w:rsid w:val="009A1FA2"/>
    <w:rsid w:val="009A2001"/>
    <w:rsid w:val="009A2235"/>
    <w:rsid w:val="009A2378"/>
    <w:rsid w:val="009A23D1"/>
    <w:rsid w:val="009A24AB"/>
    <w:rsid w:val="009A2759"/>
    <w:rsid w:val="009A279E"/>
    <w:rsid w:val="009A2B4F"/>
    <w:rsid w:val="009A2D7E"/>
    <w:rsid w:val="009A2DF9"/>
    <w:rsid w:val="009A2EFF"/>
    <w:rsid w:val="009A3015"/>
    <w:rsid w:val="009A302B"/>
    <w:rsid w:val="009A3129"/>
    <w:rsid w:val="009A3185"/>
    <w:rsid w:val="009A341F"/>
    <w:rsid w:val="009A3490"/>
    <w:rsid w:val="009A3539"/>
    <w:rsid w:val="009A3589"/>
    <w:rsid w:val="009A3694"/>
    <w:rsid w:val="009A371F"/>
    <w:rsid w:val="009A3816"/>
    <w:rsid w:val="009A3856"/>
    <w:rsid w:val="009A3895"/>
    <w:rsid w:val="009A389F"/>
    <w:rsid w:val="009A3909"/>
    <w:rsid w:val="009A39F1"/>
    <w:rsid w:val="009A3ABF"/>
    <w:rsid w:val="009A3AD4"/>
    <w:rsid w:val="009A3C55"/>
    <w:rsid w:val="009A3CA7"/>
    <w:rsid w:val="009A3CCD"/>
    <w:rsid w:val="009A3EEF"/>
    <w:rsid w:val="009A3F83"/>
    <w:rsid w:val="009A4047"/>
    <w:rsid w:val="009A41D5"/>
    <w:rsid w:val="009A41F0"/>
    <w:rsid w:val="009A44C8"/>
    <w:rsid w:val="009A45CE"/>
    <w:rsid w:val="009A465F"/>
    <w:rsid w:val="009A47E5"/>
    <w:rsid w:val="009A4800"/>
    <w:rsid w:val="009A4831"/>
    <w:rsid w:val="009A48C8"/>
    <w:rsid w:val="009A490E"/>
    <w:rsid w:val="009A4997"/>
    <w:rsid w:val="009A4C13"/>
    <w:rsid w:val="009A4F87"/>
    <w:rsid w:val="009A4F8F"/>
    <w:rsid w:val="009A506A"/>
    <w:rsid w:val="009A5119"/>
    <w:rsid w:val="009A5188"/>
    <w:rsid w:val="009A533C"/>
    <w:rsid w:val="009A547D"/>
    <w:rsid w:val="009A56EC"/>
    <w:rsid w:val="009A58AE"/>
    <w:rsid w:val="009A5927"/>
    <w:rsid w:val="009A5971"/>
    <w:rsid w:val="009A5A5B"/>
    <w:rsid w:val="009A5B8E"/>
    <w:rsid w:val="009A5CBF"/>
    <w:rsid w:val="009A5CCE"/>
    <w:rsid w:val="009A5DF7"/>
    <w:rsid w:val="009A5F11"/>
    <w:rsid w:val="009A5F50"/>
    <w:rsid w:val="009A5F96"/>
    <w:rsid w:val="009A5FD9"/>
    <w:rsid w:val="009A64AE"/>
    <w:rsid w:val="009A64D4"/>
    <w:rsid w:val="009A662D"/>
    <w:rsid w:val="009A6669"/>
    <w:rsid w:val="009A6A97"/>
    <w:rsid w:val="009A6B69"/>
    <w:rsid w:val="009A6B8B"/>
    <w:rsid w:val="009A6C15"/>
    <w:rsid w:val="009A6C95"/>
    <w:rsid w:val="009A6D2A"/>
    <w:rsid w:val="009A6D7E"/>
    <w:rsid w:val="009A6EAD"/>
    <w:rsid w:val="009A71B2"/>
    <w:rsid w:val="009A71E1"/>
    <w:rsid w:val="009A7331"/>
    <w:rsid w:val="009A7695"/>
    <w:rsid w:val="009A798B"/>
    <w:rsid w:val="009A79EC"/>
    <w:rsid w:val="009A7A20"/>
    <w:rsid w:val="009A7A8D"/>
    <w:rsid w:val="009A7BA3"/>
    <w:rsid w:val="009A7C16"/>
    <w:rsid w:val="009A7D37"/>
    <w:rsid w:val="009A7DFF"/>
    <w:rsid w:val="009A7F17"/>
    <w:rsid w:val="009A7F67"/>
    <w:rsid w:val="009A7FB8"/>
    <w:rsid w:val="009A7FBB"/>
    <w:rsid w:val="009B01F7"/>
    <w:rsid w:val="009B047C"/>
    <w:rsid w:val="009B062C"/>
    <w:rsid w:val="009B0666"/>
    <w:rsid w:val="009B06EB"/>
    <w:rsid w:val="009B06F8"/>
    <w:rsid w:val="009B07AA"/>
    <w:rsid w:val="009B08C1"/>
    <w:rsid w:val="009B09C8"/>
    <w:rsid w:val="009B0A6F"/>
    <w:rsid w:val="009B0A94"/>
    <w:rsid w:val="009B0AAF"/>
    <w:rsid w:val="009B0B71"/>
    <w:rsid w:val="009B0BB2"/>
    <w:rsid w:val="009B0C4D"/>
    <w:rsid w:val="009B0C62"/>
    <w:rsid w:val="009B0C70"/>
    <w:rsid w:val="009B0D80"/>
    <w:rsid w:val="009B0E24"/>
    <w:rsid w:val="009B0F4D"/>
    <w:rsid w:val="009B0FEF"/>
    <w:rsid w:val="009B101B"/>
    <w:rsid w:val="009B1053"/>
    <w:rsid w:val="009B1146"/>
    <w:rsid w:val="009B1148"/>
    <w:rsid w:val="009B11BC"/>
    <w:rsid w:val="009B11C3"/>
    <w:rsid w:val="009B1355"/>
    <w:rsid w:val="009B13A7"/>
    <w:rsid w:val="009B1404"/>
    <w:rsid w:val="009B1546"/>
    <w:rsid w:val="009B164C"/>
    <w:rsid w:val="009B16FB"/>
    <w:rsid w:val="009B172F"/>
    <w:rsid w:val="009B1787"/>
    <w:rsid w:val="009B1841"/>
    <w:rsid w:val="009B1890"/>
    <w:rsid w:val="009B19E0"/>
    <w:rsid w:val="009B1B01"/>
    <w:rsid w:val="009B1C63"/>
    <w:rsid w:val="009B1D11"/>
    <w:rsid w:val="009B1D3E"/>
    <w:rsid w:val="009B1EDA"/>
    <w:rsid w:val="009B1F54"/>
    <w:rsid w:val="009B2257"/>
    <w:rsid w:val="009B226C"/>
    <w:rsid w:val="009B234A"/>
    <w:rsid w:val="009B2452"/>
    <w:rsid w:val="009B2489"/>
    <w:rsid w:val="009B2536"/>
    <w:rsid w:val="009B2742"/>
    <w:rsid w:val="009B27D1"/>
    <w:rsid w:val="009B28AC"/>
    <w:rsid w:val="009B29C6"/>
    <w:rsid w:val="009B2AE8"/>
    <w:rsid w:val="009B2B05"/>
    <w:rsid w:val="009B2B5F"/>
    <w:rsid w:val="009B2DE5"/>
    <w:rsid w:val="009B2E53"/>
    <w:rsid w:val="009B2E7D"/>
    <w:rsid w:val="009B3124"/>
    <w:rsid w:val="009B315B"/>
    <w:rsid w:val="009B3228"/>
    <w:rsid w:val="009B3379"/>
    <w:rsid w:val="009B34EB"/>
    <w:rsid w:val="009B3634"/>
    <w:rsid w:val="009B378C"/>
    <w:rsid w:val="009B3A2E"/>
    <w:rsid w:val="009B3B4E"/>
    <w:rsid w:val="009B3E01"/>
    <w:rsid w:val="009B3ECC"/>
    <w:rsid w:val="009B3FB2"/>
    <w:rsid w:val="009B4089"/>
    <w:rsid w:val="009B4202"/>
    <w:rsid w:val="009B42E2"/>
    <w:rsid w:val="009B4412"/>
    <w:rsid w:val="009B458E"/>
    <w:rsid w:val="009B4740"/>
    <w:rsid w:val="009B47B6"/>
    <w:rsid w:val="009B4896"/>
    <w:rsid w:val="009B4971"/>
    <w:rsid w:val="009B4994"/>
    <w:rsid w:val="009B4A6C"/>
    <w:rsid w:val="009B4B9D"/>
    <w:rsid w:val="009B4C65"/>
    <w:rsid w:val="009B4D40"/>
    <w:rsid w:val="009B4DB7"/>
    <w:rsid w:val="009B4DCB"/>
    <w:rsid w:val="009B4FF4"/>
    <w:rsid w:val="009B5206"/>
    <w:rsid w:val="009B5225"/>
    <w:rsid w:val="009B5231"/>
    <w:rsid w:val="009B527F"/>
    <w:rsid w:val="009B5429"/>
    <w:rsid w:val="009B54B6"/>
    <w:rsid w:val="009B552E"/>
    <w:rsid w:val="009B5622"/>
    <w:rsid w:val="009B56E8"/>
    <w:rsid w:val="009B56EE"/>
    <w:rsid w:val="009B573E"/>
    <w:rsid w:val="009B585A"/>
    <w:rsid w:val="009B58C5"/>
    <w:rsid w:val="009B59AD"/>
    <w:rsid w:val="009B59E9"/>
    <w:rsid w:val="009B5A2E"/>
    <w:rsid w:val="009B5C19"/>
    <w:rsid w:val="009B5CEA"/>
    <w:rsid w:val="009B5D19"/>
    <w:rsid w:val="009B5E2C"/>
    <w:rsid w:val="009B5E43"/>
    <w:rsid w:val="009B5E56"/>
    <w:rsid w:val="009B5E78"/>
    <w:rsid w:val="009B5E94"/>
    <w:rsid w:val="009B5EEF"/>
    <w:rsid w:val="009B61AD"/>
    <w:rsid w:val="009B61EA"/>
    <w:rsid w:val="009B61FB"/>
    <w:rsid w:val="009B6261"/>
    <w:rsid w:val="009B6265"/>
    <w:rsid w:val="009B628B"/>
    <w:rsid w:val="009B64A9"/>
    <w:rsid w:val="009B6596"/>
    <w:rsid w:val="009B65D9"/>
    <w:rsid w:val="009B67FD"/>
    <w:rsid w:val="009B691C"/>
    <w:rsid w:val="009B6986"/>
    <w:rsid w:val="009B69D8"/>
    <w:rsid w:val="009B6A3A"/>
    <w:rsid w:val="009B6BF6"/>
    <w:rsid w:val="009B6C6A"/>
    <w:rsid w:val="009B6CBF"/>
    <w:rsid w:val="009B6F79"/>
    <w:rsid w:val="009B6F7D"/>
    <w:rsid w:val="009B6FB1"/>
    <w:rsid w:val="009B70AA"/>
    <w:rsid w:val="009B7109"/>
    <w:rsid w:val="009B7397"/>
    <w:rsid w:val="009B73B5"/>
    <w:rsid w:val="009B73EC"/>
    <w:rsid w:val="009B7819"/>
    <w:rsid w:val="009B781E"/>
    <w:rsid w:val="009B795F"/>
    <w:rsid w:val="009B797E"/>
    <w:rsid w:val="009B7A3F"/>
    <w:rsid w:val="009B7A68"/>
    <w:rsid w:val="009B7A8D"/>
    <w:rsid w:val="009B7A91"/>
    <w:rsid w:val="009B7B92"/>
    <w:rsid w:val="009B7BEF"/>
    <w:rsid w:val="009B7E20"/>
    <w:rsid w:val="009B7E37"/>
    <w:rsid w:val="009B7EBC"/>
    <w:rsid w:val="009B7F5B"/>
    <w:rsid w:val="009C00F2"/>
    <w:rsid w:val="009C0248"/>
    <w:rsid w:val="009C0330"/>
    <w:rsid w:val="009C03E9"/>
    <w:rsid w:val="009C0417"/>
    <w:rsid w:val="009C0421"/>
    <w:rsid w:val="009C0448"/>
    <w:rsid w:val="009C05C8"/>
    <w:rsid w:val="009C07DD"/>
    <w:rsid w:val="009C093F"/>
    <w:rsid w:val="009C0972"/>
    <w:rsid w:val="009C099A"/>
    <w:rsid w:val="009C0B9B"/>
    <w:rsid w:val="009C0C2C"/>
    <w:rsid w:val="009C0C91"/>
    <w:rsid w:val="009C0CB9"/>
    <w:rsid w:val="009C0D51"/>
    <w:rsid w:val="009C0D95"/>
    <w:rsid w:val="009C0DDE"/>
    <w:rsid w:val="009C0E24"/>
    <w:rsid w:val="009C10BE"/>
    <w:rsid w:val="009C1180"/>
    <w:rsid w:val="009C11D1"/>
    <w:rsid w:val="009C120E"/>
    <w:rsid w:val="009C12CC"/>
    <w:rsid w:val="009C136A"/>
    <w:rsid w:val="009C149D"/>
    <w:rsid w:val="009C1764"/>
    <w:rsid w:val="009C18B4"/>
    <w:rsid w:val="009C18E3"/>
    <w:rsid w:val="009C1B6D"/>
    <w:rsid w:val="009C1E19"/>
    <w:rsid w:val="009C1E85"/>
    <w:rsid w:val="009C1FF5"/>
    <w:rsid w:val="009C2018"/>
    <w:rsid w:val="009C20F2"/>
    <w:rsid w:val="009C2242"/>
    <w:rsid w:val="009C22AE"/>
    <w:rsid w:val="009C234B"/>
    <w:rsid w:val="009C2383"/>
    <w:rsid w:val="009C239E"/>
    <w:rsid w:val="009C23E7"/>
    <w:rsid w:val="009C245E"/>
    <w:rsid w:val="009C2524"/>
    <w:rsid w:val="009C25E3"/>
    <w:rsid w:val="009C29D3"/>
    <w:rsid w:val="009C2A14"/>
    <w:rsid w:val="009C2A1D"/>
    <w:rsid w:val="009C2A6C"/>
    <w:rsid w:val="009C2AFE"/>
    <w:rsid w:val="009C2C05"/>
    <w:rsid w:val="009C2F38"/>
    <w:rsid w:val="009C2F46"/>
    <w:rsid w:val="009C2F93"/>
    <w:rsid w:val="009C306D"/>
    <w:rsid w:val="009C31F3"/>
    <w:rsid w:val="009C334C"/>
    <w:rsid w:val="009C337E"/>
    <w:rsid w:val="009C344E"/>
    <w:rsid w:val="009C34D6"/>
    <w:rsid w:val="009C34D9"/>
    <w:rsid w:val="009C3593"/>
    <w:rsid w:val="009C362C"/>
    <w:rsid w:val="009C37C8"/>
    <w:rsid w:val="009C3828"/>
    <w:rsid w:val="009C3946"/>
    <w:rsid w:val="009C3A01"/>
    <w:rsid w:val="009C3AAC"/>
    <w:rsid w:val="009C3AAE"/>
    <w:rsid w:val="009C3AB8"/>
    <w:rsid w:val="009C3BC5"/>
    <w:rsid w:val="009C3E4F"/>
    <w:rsid w:val="009C3FEA"/>
    <w:rsid w:val="009C408A"/>
    <w:rsid w:val="009C4144"/>
    <w:rsid w:val="009C4432"/>
    <w:rsid w:val="009C4490"/>
    <w:rsid w:val="009C44B3"/>
    <w:rsid w:val="009C45F0"/>
    <w:rsid w:val="009C4625"/>
    <w:rsid w:val="009C472B"/>
    <w:rsid w:val="009C474D"/>
    <w:rsid w:val="009C49AE"/>
    <w:rsid w:val="009C4BCE"/>
    <w:rsid w:val="009C4D4F"/>
    <w:rsid w:val="009C4F50"/>
    <w:rsid w:val="009C4FD3"/>
    <w:rsid w:val="009C4FE5"/>
    <w:rsid w:val="009C4FEF"/>
    <w:rsid w:val="009C50D4"/>
    <w:rsid w:val="009C50ED"/>
    <w:rsid w:val="009C5247"/>
    <w:rsid w:val="009C554A"/>
    <w:rsid w:val="009C5563"/>
    <w:rsid w:val="009C5627"/>
    <w:rsid w:val="009C562C"/>
    <w:rsid w:val="009C5677"/>
    <w:rsid w:val="009C56BA"/>
    <w:rsid w:val="009C575D"/>
    <w:rsid w:val="009C5765"/>
    <w:rsid w:val="009C57BB"/>
    <w:rsid w:val="009C5921"/>
    <w:rsid w:val="009C5969"/>
    <w:rsid w:val="009C596B"/>
    <w:rsid w:val="009C5A0B"/>
    <w:rsid w:val="009C5A3A"/>
    <w:rsid w:val="009C5AAB"/>
    <w:rsid w:val="009C5AD3"/>
    <w:rsid w:val="009C5BBC"/>
    <w:rsid w:val="009C5C49"/>
    <w:rsid w:val="009C5C78"/>
    <w:rsid w:val="009C5D72"/>
    <w:rsid w:val="009C5E22"/>
    <w:rsid w:val="009C5E2B"/>
    <w:rsid w:val="009C5E77"/>
    <w:rsid w:val="009C60FF"/>
    <w:rsid w:val="009C610A"/>
    <w:rsid w:val="009C6113"/>
    <w:rsid w:val="009C6197"/>
    <w:rsid w:val="009C6206"/>
    <w:rsid w:val="009C62F0"/>
    <w:rsid w:val="009C64C9"/>
    <w:rsid w:val="009C65DD"/>
    <w:rsid w:val="009C6650"/>
    <w:rsid w:val="009C66AE"/>
    <w:rsid w:val="009C66F7"/>
    <w:rsid w:val="009C6939"/>
    <w:rsid w:val="009C6A1A"/>
    <w:rsid w:val="009C6AEF"/>
    <w:rsid w:val="009C6AF5"/>
    <w:rsid w:val="009C6B25"/>
    <w:rsid w:val="009C6B2D"/>
    <w:rsid w:val="009C6BD8"/>
    <w:rsid w:val="009C6BE9"/>
    <w:rsid w:val="009C6CAA"/>
    <w:rsid w:val="009C6FC3"/>
    <w:rsid w:val="009C7080"/>
    <w:rsid w:val="009C70C1"/>
    <w:rsid w:val="009C70CB"/>
    <w:rsid w:val="009C7118"/>
    <w:rsid w:val="009C71FF"/>
    <w:rsid w:val="009C7253"/>
    <w:rsid w:val="009C73D8"/>
    <w:rsid w:val="009C73F7"/>
    <w:rsid w:val="009C742A"/>
    <w:rsid w:val="009C75B4"/>
    <w:rsid w:val="009C75F9"/>
    <w:rsid w:val="009C7614"/>
    <w:rsid w:val="009C7651"/>
    <w:rsid w:val="009C7769"/>
    <w:rsid w:val="009C786C"/>
    <w:rsid w:val="009C7896"/>
    <w:rsid w:val="009C78EB"/>
    <w:rsid w:val="009C7A08"/>
    <w:rsid w:val="009C7A3B"/>
    <w:rsid w:val="009C7A7E"/>
    <w:rsid w:val="009C7C05"/>
    <w:rsid w:val="009C7D54"/>
    <w:rsid w:val="009C7DD9"/>
    <w:rsid w:val="009C7F13"/>
    <w:rsid w:val="009D0103"/>
    <w:rsid w:val="009D0240"/>
    <w:rsid w:val="009D0251"/>
    <w:rsid w:val="009D028D"/>
    <w:rsid w:val="009D02A1"/>
    <w:rsid w:val="009D02E8"/>
    <w:rsid w:val="009D02EF"/>
    <w:rsid w:val="009D031F"/>
    <w:rsid w:val="009D0444"/>
    <w:rsid w:val="009D0455"/>
    <w:rsid w:val="009D058E"/>
    <w:rsid w:val="009D0767"/>
    <w:rsid w:val="009D077E"/>
    <w:rsid w:val="009D077F"/>
    <w:rsid w:val="009D086D"/>
    <w:rsid w:val="009D09CE"/>
    <w:rsid w:val="009D0A17"/>
    <w:rsid w:val="009D0A4B"/>
    <w:rsid w:val="009D0BA5"/>
    <w:rsid w:val="009D0BD6"/>
    <w:rsid w:val="009D0C9A"/>
    <w:rsid w:val="009D0D27"/>
    <w:rsid w:val="009D0D43"/>
    <w:rsid w:val="009D0E51"/>
    <w:rsid w:val="009D0F28"/>
    <w:rsid w:val="009D0F63"/>
    <w:rsid w:val="009D0F98"/>
    <w:rsid w:val="009D1173"/>
    <w:rsid w:val="009D1272"/>
    <w:rsid w:val="009D12F1"/>
    <w:rsid w:val="009D132C"/>
    <w:rsid w:val="009D1347"/>
    <w:rsid w:val="009D141E"/>
    <w:rsid w:val="009D14A4"/>
    <w:rsid w:val="009D1521"/>
    <w:rsid w:val="009D155D"/>
    <w:rsid w:val="009D155E"/>
    <w:rsid w:val="009D16A8"/>
    <w:rsid w:val="009D18F8"/>
    <w:rsid w:val="009D19DE"/>
    <w:rsid w:val="009D1BFC"/>
    <w:rsid w:val="009D1C63"/>
    <w:rsid w:val="009D1D46"/>
    <w:rsid w:val="009D1D4D"/>
    <w:rsid w:val="009D1D8D"/>
    <w:rsid w:val="009D1DD5"/>
    <w:rsid w:val="009D1DE6"/>
    <w:rsid w:val="009D1DEE"/>
    <w:rsid w:val="009D1F49"/>
    <w:rsid w:val="009D1FD5"/>
    <w:rsid w:val="009D204E"/>
    <w:rsid w:val="009D20F9"/>
    <w:rsid w:val="009D2368"/>
    <w:rsid w:val="009D24E5"/>
    <w:rsid w:val="009D2735"/>
    <w:rsid w:val="009D2740"/>
    <w:rsid w:val="009D2949"/>
    <w:rsid w:val="009D2B47"/>
    <w:rsid w:val="009D2C13"/>
    <w:rsid w:val="009D2D37"/>
    <w:rsid w:val="009D2D6D"/>
    <w:rsid w:val="009D2D70"/>
    <w:rsid w:val="009D2DEC"/>
    <w:rsid w:val="009D305C"/>
    <w:rsid w:val="009D3109"/>
    <w:rsid w:val="009D3365"/>
    <w:rsid w:val="009D3367"/>
    <w:rsid w:val="009D3398"/>
    <w:rsid w:val="009D33E5"/>
    <w:rsid w:val="009D3442"/>
    <w:rsid w:val="009D35D4"/>
    <w:rsid w:val="009D3667"/>
    <w:rsid w:val="009D3858"/>
    <w:rsid w:val="009D3873"/>
    <w:rsid w:val="009D3AF0"/>
    <w:rsid w:val="009D3B51"/>
    <w:rsid w:val="009D40A0"/>
    <w:rsid w:val="009D43F9"/>
    <w:rsid w:val="009D4520"/>
    <w:rsid w:val="009D4567"/>
    <w:rsid w:val="009D46B8"/>
    <w:rsid w:val="009D4786"/>
    <w:rsid w:val="009D4841"/>
    <w:rsid w:val="009D49FD"/>
    <w:rsid w:val="009D4A47"/>
    <w:rsid w:val="009D4BD5"/>
    <w:rsid w:val="009D4D12"/>
    <w:rsid w:val="009D4D45"/>
    <w:rsid w:val="009D4E5C"/>
    <w:rsid w:val="009D4F56"/>
    <w:rsid w:val="009D4F91"/>
    <w:rsid w:val="009D500A"/>
    <w:rsid w:val="009D501F"/>
    <w:rsid w:val="009D512E"/>
    <w:rsid w:val="009D5162"/>
    <w:rsid w:val="009D51D0"/>
    <w:rsid w:val="009D521B"/>
    <w:rsid w:val="009D5373"/>
    <w:rsid w:val="009D53AC"/>
    <w:rsid w:val="009D540D"/>
    <w:rsid w:val="009D5490"/>
    <w:rsid w:val="009D54BE"/>
    <w:rsid w:val="009D5536"/>
    <w:rsid w:val="009D5678"/>
    <w:rsid w:val="009D56D3"/>
    <w:rsid w:val="009D572B"/>
    <w:rsid w:val="009D5805"/>
    <w:rsid w:val="009D5895"/>
    <w:rsid w:val="009D58E8"/>
    <w:rsid w:val="009D59A9"/>
    <w:rsid w:val="009D5A26"/>
    <w:rsid w:val="009D5A3B"/>
    <w:rsid w:val="009D5A81"/>
    <w:rsid w:val="009D5A8B"/>
    <w:rsid w:val="009D5A90"/>
    <w:rsid w:val="009D5D1F"/>
    <w:rsid w:val="009D5DB6"/>
    <w:rsid w:val="009D5DD0"/>
    <w:rsid w:val="009D5E45"/>
    <w:rsid w:val="009D5EE3"/>
    <w:rsid w:val="009D5FA3"/>
    <w:rsid w:val="009D609E"/>
    <w:rsid w:val="009D6165"/>
    <w:rsid w:val="009D6286"/>
    <w:rsid w:val="009D634F"/>
    <w:rsid w:val="009D6427"/>
    <w:rsid w:val="009D643D"/>
    <w:rsid w:val="009D67AC"/>
    <w:rsid w:val="009D689B"/>
    <w:rsid w:val="009D692C"/>
    <w:rsid w:val="009D6B79"/>
    <w:rsid w:val="009D6CA9"/>
    <w:rsid w:val="009D6CC0"/>
    <w:rsid w:val="009D6CD1"/>
    <w:rsid w:val="009D6E8F"/>
    <w:rsid w:val="009D6ED9"/>
    <w:rsid w:val="009D6F35"/>
    <w:rsid w:val="009D6FAB"/>
    <w:rsid w:val="009D703C"/>
    <w:rsid w:val="009D70A4"/>
    <w:rsid w:val="009D70CF"/>
    <w:rsid w:val="009D720C"/>
    <w:rsid w:val="009D7220"/>
    <w:rsid w:val="009D732C"/>
    <w:rsid w:val="009D737C"/>
    <w:rsid w:val="009D746F"/>
    <w:rsid w:val="009D7470"/>
    <w:rsid w:val="009D75B1"/>
    <w:rsid w:val="009D7657"/>
    <w:rsid w:val="009D773B"/>
    <w:rsid w:val="009D7767"/>
    <w:rsid w:val="009D7B02"/>
    <w:rsid w:val="009D7B14"/>
    <w:rsid w:val="009D7C25"/>
    <w:rsid w:val="009D7C92"/>
    <w:rsid w:val="009D7CFD"/>
    <w:rsid w:val="009D7D6C"/>
    <w:rsid w:val="009E0162"/>
    <w:rsid w:val="009E0291"/>
    <w:rsid w:val="009E03C2"/>
    <w:rsid w:val="009E0487"/>
    <w:rsid w:val="009E04C9"/>
    <w:rsid w:val="009E0517"/>
    <w:rsid w:val="009E0563"/>
    <w:rsid w:val="009E0589"/>
    <w:rsid w:val="009E0759"/>
    <w:rsid w:val="009E07EA"/>
    <w:rsid w:val="009E0896"/>
    <w:rsid w:val="009E08D1"/>
    <w:rsid w:val="009E0B6E"/>
    <w:rsid w:val="009E0BC6"/>
    <w:rsid w:val="009E0CDD"/>
    <w:rsid w:val="009E0D96"/>
    <w:rsid w:val="009E0F9B"/>
    <w:rsid w:val="009E0FD8"/>
    <w:rsid w:val="009E1024"/>
    <w:rsid w:val="009E1172"/>
    <w:rsid w:val="009E11C5"/>
    <w:rsid w:val="009E11F5"/>
    <w:rsid w:val="009E1346"/>
    <w:rsid w:val="009E1352"/>
    <w:rsid w:val="009E135F"/>
    <w:rsid w:val="009E1475"/>
    <w:rsid w:val="009E1610"/>
    <w:rsid w:val="009E161C"/>
    <w:rsid w:val="009E16C0"/>
    <w:rsid w:val="009E1718"/>
    <w:rsid w:val="009E1743"/>
    <w:rsid w:val="009E17F2"/>
    <w:rsid w:val="009E1A8B"/>
    <w:rsid w:val="009E1B8C"/>
    <w:rsid w:val="009E1B95"/>
    <w:rsid w:val="009E1C38"/>
    <w:rsid w:val="009E1CD8"/>
    <w:rsid w:val="009E1E55"/>
    <w:rsid w:val="009E21FB"/>
    <w:rsid w:val="009E2315"/>
    <w:rsid w:val="009E23F8"/>
    <w:rsid w:val="009E23FE"/>
    <w:rsid w:val="009E259F"/>
    <w:rsid w:val="009E25AE"/>
    <w:rsid w:val="009E2608"/>
    <w:rsid w:val="009E2771"/>
    <w:rsid w:val="009E2879"/>
    <w:rsid w:val="009E28EA"/>
    <w:rsid w:val="009E29A5"/>
    <w:rsid w:val="009E2A0D"/>
    <w:rsid w:val="009E2A22"/>
    <w:rsid w:val="009E2B09"/>
    <w:rsid w:val="009E2BC9"/>
    <w:rsid w:val="009E2BE4"/>
    <w:rsid w:val="009E2E44"/>
    <w:rsid w:val="009E2F97"/>
    <w:rsid w:val="009E313F"/>
    <w:rsid w:val="009E336E"/>
    <w:rsid w:val="009E34CF"/>
    <w:rsid w:val="009E34FF"/>
    <w:rsid w:val="009E3560"/>
    <w:rsid w:val="009E35BD"/>
    <w:rsid w:val="009E36EF"/>
    <w:rsid w:val="009E36F4"/>
    <w:rsid w:val="009E3918"/>
    <w:rsid w:val="009E3B00"/>
    <w:rsid w:val="009E3BB3"/>
    <w:rsid w:val="009E3BCE"/>
    <w:rsid w:val="009E3D77"/>
    <w:rsid w:val="009E3F49"/>
    <w:rsid w:val="009E3FC6"/>
    <w:rsid w:val="009E3FEC"/>
    <w:rsid w:val="009E409F"/>
    <w:rsid w:val="009E40E6"/>
    <w:rsid w:val="009E40F6"/>
    <w:rsid w:val="009E417C"/>
    <w:rsid w:val="009E428A"/>
    <w:rsid w:val="009E43A1"/>
    <w:rsid w:val="009E43CF"/>
    <w:rsid w:val="009E442D"/>
    <w:rsid w:val="009E44A0"/>
    <w:rsid w:val="009E44B1"/>
    <w:rsid w:val="009E460A"/>
    <w:rsid w:val="009E472A"/>
    <w:rsid w:val="009E47FB"/>
    <w:rsid w:val="009E48C0"/>
    <w:rsid w:val="009E496F"/>
    <w:rsid w:val="009E4B0D"/>
    <w:rsid w:val="009E4B8B"/>
    <w:rsid w:val="009E4C8B"/>
    <w:rsid w:val="009E4D98"/>
    <w:rsid w:val="009E4E11"/>
    <w:rsid w:val="009E4EBB"/>
    <w:rsid w:val="009E4ED7"/>
    <w:rsid w:val="009E4F45"/>
    <w:rsid w:val="009E4F6A"/>
    <w:rsid w:val="009E51DB"/>
    <w:rsid w:val="009E5205"/>
    <w:rsid w:val="009E5250"/>
    <w:rsid w:val="009E53A8"/>
    <w:rsid w:val="009E54A3"/>
    <w:rsid w:val="009E5610"/>
    <w:rsid w:val="009E5716"/>
    <w:rsid w:val="009E57B6"/>
    <w:rsid w:val="009E5847"/>
    <w:rsid w:val="009E5874"/>
    <w:rsid w:val="009E59B7"/>
    <w:rsid w:val="009E59C1"/>
    <w:rsid w:val="009E5DE2"/>
    <w:rsid w:val="009E5ECD"/>
    <w:rsid w:val="009E60C0"/>
    <w:rsid w:val="009E60F2"/>
    <w:rsid w:val="009E612A"/>
    <w:rsid w:val="009E6196"/>
    <w:rsid w:val="009E6199"/>
    <w:rsid w:val="009E61B1"/>
    <w:rsid w:val="009E61D4"/>
    <w:rsid w:val="009E61F2"/>
    <w:rsid w:val="009E6215"/>
    <w:rsid w:val="009E6371"/>
    <w:rsid w:val="009E640E"/>
    <w:rsid w:val="009E64B5"/>
    <w:rsid w:val="009E64D2"/>
    <w:rsid w:val="009E669E"/>
    <w:rsid w:val="009E6771"/>
    <w:rsid w:val="009E67FC"/>
    <w:rsid w:val="009E6865"/>
    <w:rsid w:val="009E68C3"/>
    <w:rsid w:val="009E6946"/>
    <w:rsid w:val="009E69C9"/>
    <w:rsid w:val="009E6A2E"/>
    <w:rsid w:val="009E6D3D"/>
    <w:rsid w:val="009E6F2D"/>
    <w:rsid w:val="009E6F93"/>
    <w:rsid w:val="009E6FFF"/>
    <w:rsid w:val="009E72DE"/>
    <w:rsid w:val="009E738A"/>
    <w:rsid w:val="009E73F3"/>
    <w:rsid w:val="009E7517"/>
    <w:rsid w:val="009E759D"/>
    <w:rsid w:val="009E75DC"/>
    <w:rsid w:val="009E7613"/>
    <w:rsid w:val="009E773C"/>
    <w:rsid w:val="009E77A5"/>
    <w:rsid w:val="009E7A69"/>
    <w:rsid w:val="009E7B38"/>
    <w:rsid w:val="009E7C67"/>
    <w:rsid w:val="009E7D00"/>
    <w:rsid w:val="009E7F00"/>
    <w:rsid w:val="009E7F58"/>
    <w:rsid w:val="009E7F92"/>
    <w:rsid w:val="009E7FA4"/>
    <w:rsid w:val="009E7FEE"/>
    <w:rsid w:val="009F00E9"/>
    <w:rsid w:val="009F0129"/>
    <w:rsid w:val="009F0147"/>
    <w:rsid w:val="009F0191"/>
    <w:rsid w:val="009F02A3"/>
    <w:rsid w:val="009F0394"/>
    <w:rsid w:val="009F0549"/>
    <w:rsid w:val="009F05C4"/>
    <w:rsid w:val="009F06FF"/>
    <w:rsid w:val="009F0726"/>
    <w:rsid w:val="009F0756"/>
    <w:rsid w:val="009F07D2"/>
    <w:rsid w:val="009F097D"/>
    <w:rsid w:val="009F0AD1"/>
    <w:rsid w:val="009F0B38"/>
    <w:rsid w:val="009F0B5F"/>
    <w:rsid w:val="009F0B9E"/>
    <w:rsid w:val="009F0BF7"/>
    <w:rsid w:val="009F0C04"/>
    <w:rsid w:val="009F0CCA"/>
    <w:rsid w:val="009F0CDA"/>
    <w:rsid w:val="009F0CE1"/>
    <w:rsid w:val="009F0CFC"/>
    <w:rsid w:val="009F10C2"/>
    <w:rsid w:val="009F112C"/>
    <w:rsid w:val="009F123D"/>
    <w:rsid w:val="009F12D3"/>
    <w:rsid w:val="009F13B9"/>
    <w:rsid w:val="009F1654"/>
    <w:rsid w:val="009F1664"/>
    <w:rsid w:val="009F1669"/>
    <w:rsid w:val="009F16C8"/>
    <w:rsid w:val="009F1785"/>
    <w:rsid w:val="009F18AB"/>
    <w:rsid w:val="009F198A"/>
    <w:rsid w:val="009F19C6"/>
    <w:rsid w:val="009F1B23"/>
    <w:rsid w:val="009F1BD7"/>
    <w:rsid w:val="009F1BE7"/>
    <w:rsid w:val="009F1D07"/>
    <w:rsid w:val="009F1DBE"/>
    <w:rsid w:val="009F1E3C"/>
    <w:rsid w:val="009F1F75"/>
    <w:rsid w:val="009F209A"/>
    <w:rsid w:val="009F213F"/>
    <w:rsid w:val="009F214E"/>
    <w:rsid w:val="009F2182"/>
    <w:rsid w:val="009F24A5"/>
    <w:rsid w:val="009F2521"/>
    <w:rsid w:val="009F2525"/>
    <w:rsid w:val="009F2597"/>
    <w:rsid w:val="009F27A3"/>
    <w:rsid w:val="009F28F7"/>
    <w:rsid w:val="009F29A5"/>
    <w:rsid w:val="009F2B1C"/>
    <w:rsid w:val="009F2B25"/>
    <w:rsid w:val="009F2C35"/>
    <w:rsid w:val="009F2C83"/>
    <w:rsid w:val="009F2E0F"/>
    <w:rsid w:val="009F2E4C"/>
    <w:rsid w:val="009F2E59"/>
    <w:rsid w:val="009F2F27"/>
    <w:rsid w:val="009F2F41"/>
    <w:rsid w:val="009F2F74"/>
    <w:rsid w:val="009F2F9D"/>
    <w:rsid w:val="009F312A"/>
    <w:rsid w:val="009F32BD"/>
    <w:rsid w:val="009F337B"/>
    <w:rsid w:val="009F345A"/>
    <w:rsid w:val="009F34AA"/>
    <w:rsid w:val="009F370E"/>
    <w:rsid w:val="009F3732"/>
    <w:rsid w:val="009F3802"/>
    <w:rsid w:val="009F38CC"/>
    <w:rsid w:val="009F3A0A"/>
    <w:rsid w:val="009F3A0B"/>
    <w:rsid w:val="009F3A24"/>
    <w:rsid w:val="009F3BCE"/>
    <w:rsid w:val="009F3FEE"/>
    <w:rsid w:val="009F40E2"/>
    <w:rsid w:val="009F4126"/>
    <w:rsid w:val="009F43AB"/>
    <w:rsid w:val="009F43E3"/>
    <w:rsid w:val="009F4453"/>
    <w:rsid w:val="009F45BB"/>
    <w:rsid w:val="009F45FD"/>
    <w:rsid w:val="009F4639"/>
    <w:rsid w:val="009F4641"/>
    <w:rsid w:val="009F4672"/>
    <w:rsid w:val="009F472A"/>
    <w:rsid w:val="009F4838"/>
    <w:rsid w:val="009F4874"/>
    <w:rsid w:val="009F48E4"/>
    <w:rsid w:val="009F4B84"/>
    <w:rsid w:val="009F4BED"/>
    <w:rsid w:val="009F4C11"/>
    <w:rsid w:val="009F4C55"/>
    <w:rsid w:val="009F4CC1"/>
    <w:rsid w:val="009F4E18"/>
    <w:rsid w:val="009F4E33"/>
    <w:rsid w:val="009F4F2D"/>
    <w:rsid w:val="009F5032"/>
    <w:rsid w:val="009F51D0"/>
    <w:rsid w:val="009F5303"/>
    <w:rsid w:val="009F53A4"/>
    <w:rsid w:val="009F53B2"/>
    <w:rsid w:val="009F53ED"/>
    <w:rsid w:val="009F548A"/>
    <w:rsid w:val="009F54BA"/>
    <w:rsid w:val="009F54E2"/>
    <w:rsid w:val="009F55D6"/>
    <w:rsid w:val="009F5677"/>
    <w:rsid w:val="009F5682"/>
    <w:rsid w:val="009F56F3"/>
    <w:rsid w:val="009F5762"/>
    <w:rsid w:val="009F587E"/>
    <w:rsid w:val="009F5885"/>
    <w:rsid w:val="009F5961"/>
    <w:rsid w:val="009F5BE7"/>
    <w:rsid w:val="009F5C9E"/>
    <w:rsid w:val="009F5CA8"/>
    <w:rsid w:val="009F5D63"/>
    <w:rsid w:val="009F5DDF"/>
    <w:rsid w:val="009F60F4"/>
    <w:rsid w:val="009F6196"/>
    <w:rsid w:val="009F61F4"/>
    <w:rsid w:val="009F621F"/>
    <w:rsid w:val="009F6379"/>
    <w:rsid w:val="009F64CC"/>
    <w:rsid w:val="009F64E5"/>
    <w:rsid w:val="009F6518"/>
    <w:rsid w:val="009F687F"/>
    <w:rsid w:val="009F69E5"/>
    <w:rsid w:val="009F6BA2"/>
    <w:rsid w:val="009F6BCB"/>
    <w:rsid w:val="009F6D5D"/>
    <w:rsid w:val="009F6E51"/>
    <w:rsid w:val="009F6FE3"/>
    <w:rsid w:val="009F6FEA"/>
    <w:rsid w:val="009F708A"/>
    <w:rsid w:val="009F7190"/>
    <w:rsid w:val="009F71FF"/>
    <w:rsid w:val="009F730B"/>
    <w:rsid w:val="009F73EA"/>
    <w:rsid w:val="009F7402"/>
    <w:rsid w:val="009F7517"/>
    <w:rsid w:val="009F7607"/>
    <w:rsid w:val="009F7707"/>
    <w:rsid w:val="009F7759"/>
    <w:rsid w:val="009F78D1"/>
    <w:rsid w:val="009F7943"/>
    <w:rsid w:val="009F7B78"/>
    <w:rsid w:val="009F7C14"/>
    <w:rsid w:val="009F7D6E"/>
    <w:rsid w:val="009F7DA5"/>
    <w:rsid w:val="009F7DE0"/>
    <w:rsid w:val="009F7ED7"/>
    <w:rsid w:val="00A001C7"/>
    <w:rsid w:val="00A00301"/>
    <w:rsid w:val="00A004F1"/>
    <w:rsid w:val="00A00523"/>
    <w:rsid w:val="00A0057A"/>
    <w:rsid w:val="00A00712"/>
    <w:rsid w:val="00A00833"/>
    <w:rsid w:val="00A009A4"/>
    <w:rsid w:val="00A00AA8"/>
    <w:rsid w:val="00A00B7E"/>
    <w:rsid w:val="00A00B8E"/>
    <w:rsid w:val="00A00D0C"/>
    <w:rsid w:val="00A00DC9"/>
    <w:rsid w:val="00A00DF1"/>
    <w:rsid w:val="00A00E25"/>
    <w:rsid w:val="00A00E3B"/>
    <w:rsid w:val="00A00F03"/>
    <w:rsid w:val="00A00FB6"/>
    <w:rsid w:val="00A01072"/>
    <w:rsid w:val="00A0118B"/>
    <w:rsid w:val="00A011A7"/>
    <w:rsid w:val="00A0141C"/>
    <w:rsid w:val="00A01430"/>
    <w:rsid w:val="00A01509"/>
    <w:rsid w:val="00A01538"/>
    <w:rsid w:val="00A01838"/>
    <w:rsid w:val="00A0189B"/>
    <w:rsid w:val="00A01AE2"/>
    <w:rsid w:val="00A01C03"/>
    <w:rsid w:val="00A01D95"/>
    <w:rsid w:val="00A01DD6"/>
    <w:rsid w:val="00A01E96"/>
    <w:rsid w:val="00A01FB1"/>
    <w:rsid w:val="00A0223E"/>
    <w:rsid w:val="00A02266"/>
    <w:rsid w:val="00A02340"/>
    <w:rsid w:val="00A023F1"/>
    <w:rsid w:val="00A0245D"/>
    <w:rsid w:val="00A024B0"/>
    <w:rsid w:val="00A024F1"/>
    <w:rsid w:val="00A02596"/>
    <w:rsid w:val="00A026CA"/>
    <w:rsid w:val="00A02733"/>
    <w:rsid w:val="00A02762"/>
    <w:rsid w:val="00A02905"/>
    <w:rsid w:val="00A029AD"/>
    <w:rsid w:val="00A029FD"/>
    <w:rsid w:val="00A02B62"/>
    <w:rsid w:val="00A02D18"/>
    <w:rsid w:val="00A02E23"/>
    <w:rsid w:val="00A02E91"/>
    <w:rsid w:val="00A02ED3"/>
    <w:rsid w:val="00A02FA1"/>
    <w:rsid w:val="00A031CE"/>
    <w:rsid w:val="00A03395"/>
    <w:rsid w:val="00A03423"/>
    <w:rsid w:val="00A0349F"/>
    <w:rsid w:val="00A034A8"/>
    <w:rsid w:val="00A0367D"/>
    <w:rsid w:val="00A03764"/>
    <w:rsid w:val="00A0380F"/>
    <w:rsid w:val="00A038C0"/>
    <w:rsid w:val="00A039B0"/>
    <w:rsid w:val="00A03B89"/>
    <w:rsid w:val="00A03CA6"/>
    <w:rsid w:val="00A03F1C"/>
    <w:rsid w:val="00A03F69"/>
    <w:rsid w:val="00A03F93"/>
    <w:rsid w:val="00A04002"/>
    <w:rsid w:val="00A04066"/>
    <w:rsid w:val="00A0415B"/>
    <w:rsid w:val="00A04437"/>
    <w:rsid w:val="00A044B7"/>
    <w:rsid w:val="00A044EC"/>
    <w:rsid w:val="00A045EB"/>
    <w:rsid w:val="00A045F4"/>
    <w:rsid w:val="00A04760"/>
    <w:rsid w:val="00A0477B"/>
    <w:rsid w:val="00A048ED"/>
    <w:rsid w:val="00A04A40"/>
    <w:rsid w:val="00A04AF0"/>
    <w:rsid w:val="00A04B65"/>
    <w:rsid w:val="00A04C2C"/>
    <w:rsid w:val="00A04C67"/>
    <w:rsid w:val="00A04C88"/>
    <w:rsid w:val="00A04CCE"/>
    <w:rsid w:val="00A04D25"/>
    <w:rsid w:val="00A04E24"/>
    <w:rsid w:val="00A04ECC"/>
    <w:rsid w:val="00A04EF9"/>
    <w:rsid w:val="00A04F20"/>
    <w:rsid w:val="00A04FB7"/>
    <w:rsid w:val="00A05049"/>
    <w:rsid w:val="00A05186"/>
    <w:rsid w:val="00A0524B"/>
    <w:rsid w:val="00A052D4"/>
    <w:rsid w:val="00A05360"/>
    <w:rsid w:val="00A0536A"/>
    <w:rsid w:val="00A0540A"/>
    <w:rsid w:val="00A055D2"/>
    <w:rsid w:val="00A05735"/>
    <w:rsid w:val="00A0587A"/>
    <w:rsid w:val="00A05942"/>
    <w:rsid w:val="00A05AB6"/>
    <w:rsid w:val="00A05D3B"/>
    <w:rsid w:val="00A05E6D"/>
    <w:rsid w:val="00A06048"/>
    <w:rsid w:val="00A061A4"/>
    <w:rsid w:val="00A061C6"/>
    <w:rsid w:val="00A061DD"/>
    <w:rsid w:val="00A061EA"/>
    <w:rsid w:val="00A0624D"/>
    <w:rsid w:val="00A06376"/>
    <w:rsid w:val="00A064C4"/>
    <w:rsid w:val="00A064F4"/>
    <w:rsid w:val="00A0655B"/>
    <w:rsid w:val="00A0663E"/>
    <w:rsid w:val="00A06677"/>
    <w:rsid w:val="00A068F9"/>
    <w:rsid w:val="00A068FC"/>
    <w:rsid w:val="00A06942"/>
    <w:rsid w:val="00A069B0"/>
    <w:rsid w:val="00A06B2F"/>
    <w:rsid w:val="00A06BF6"/>
    <w:rsid w:val="00A06E25"/>
    <w:rsid w:val="00A06EDB"/>
    <w:rsid w:val="00A06F6F"/>
    <w:rsid w:val="00A0719A"/>
    <w:rsid w:val="00A07262"/>
    <w:rsid w:val="00A07274"/>
    <w:rsid w:val="00A07421"/>
    <w:rsid w:val="00A07438"/>
    <w:rsid w:val="00A0765D"/>
    <w:rsid w:val="00A076A1"/>
    <w:rsid w:val="00A0776B"/>
    <w:rsid w:val="00A07884"/>
    <w:rsid w:val="00A07932"/>
    <w:rsid w:val="00A07B38"/>
    <w:rsid w:val="00A07B98"/>
    <w:rsid w:val="00A07BB9"/>
    <w:rsid w:val="00A07C5B"/>
    <w:rsid w:val="00A07DB6"/>
    <w:rsid w:val="00A07E34"/>
    <w:rsid w:val="00A10049"/>
    <w:rsid w:val="00A100BF"/>
    <w:rsid w:val="00A1023E"/>
    <w:rsid w:val="00A1033F"/>
    <w:rsid w:val="00A10450"/>
    <w:rsid w:val="00A1047C"/>
    <w:rsid w:val="00A10680"/>
    <w:rsid w:val="00A10738"/>
    <w:rsid w:val="00A10824"/>
    <w:rsid w:val="00A1090E"/>
    <w:rsid w:val="00A10971"/>
    <w:rsid w:val="00A109CA"/>
    <w:rsid w:val="00A109F1"/>
    <w:rsid w:val="00A10AF8"/>
    <w:rsid w:val="00A10B4F"/>
    <w:rsid w:val="00A10D29"/>
    <w:rsid w:val="00A10E39"/>
    <w:rsid w:val="00A10EA0"/>
    <w:rsid w:val="00A10EB0"/>
    <w:rsid w:val="00A10FB9"/>
    <w:rsid w:val="00A11152"/>
    <w:rsid w:val="00A111FF"/>
    <w:rsid w:val="00A11404"/>
    <w:rsid w:val="00A11421"/>
    <w:rsid w:val="00A11541"/>
    <w:rsid w:val="00A1163C"/>
    <w:rsid w:val="00A116FF"/>
    <w:rsid w:val="00A11742"/>
    <w:rsid w:val="00A11A44"/>
    <w:rsid w:val="00A11A4D"/>
    <w:rsid w:val="00A11AA2"/>
    <w:rsid w:val="00A11B06"/>
    <w:rsid w:val="00A11CF1"/>
    <w:rsid w:val="00A11D0A"/>
    <w:rsid w:val="00A11D7F"/>
    <w:rsid w:val="00A11F29"/>
    <w:rsid w:val="00A12086"/>
    <w:rsid w:val="00A12113"/>
    <w:rsid w:val="00A121BB"/>
    <w:rsid w:val="00A122DE"/>
    <w:rsid w:val="00A1248C"/>
    <w:rsid w:val="00A12679"/>
    <w:rsid w:val="00A126F6"/>
    <w:rsid w:val="00A12804"/>
    <w:rsid w:val="00A128B1"/>
    <w:rsid w:val="00A1296C"/>
    <w:rsid w:val="00A12BB1"/>
    <w:rsid w:val="00A12C4C"/>
    <w:rsid w:val="00A12C7E"/>
    <w:rsid w:val="00A12D4C"/>
    <w:rsid w:val="00A12E25"/>
    <w:rsid w:val="00A12E2A"/>
    <w:rsid w:val="00A12EE7"/>
    <w:rsid w:val="00A12F19"/>
    <w:rsid w:val="00A12F3B"/>
    <w:rsid w:val="00A12F9C"/>
    <w:rsid w:val="00A13044"/>
    <w:rsid w:val="00A131CB"/>
    <w:rsid w:val="00A13267"/>
    <w:rsid w:val="00A13508"/>
    <w:rsid w:val="00A13720"/>
    <w:rsid w:val="00A13761"/>
    <w:rsid w:val="00A1389F"/>
    <w:rsid w:val="00A13925"/>
    <w:rsid w:val="00A13948"/>
    <w:rsid w:val="00A13968"/>
    <w:rsid w:val="00A13B92"/>
    <w:rsid w:val="00A13FFA"/>
    <w:rsid w:val="00A14057"/>
    <w:rsid w:val="00A14327"/>
    <w:rsid w:val="00A144ED"/>
    <w:rsid w:val="00A14556"/>
    <w:rsid w:val="00A14568"/>
    <w:rsid w:val="00A146A7"/>
    <w:rsid w:val="00A148DA"/>
    <w:rsid w:val="00A148E3"/>
    <w:rsid w:val="00A14971"/>
    <w:rsid w:val="00A1497C"/>
    <w:rsid w:val="00A14A70"/>
    <w:rsid w:val="00A14C36"/>
    <w:rsid w:val="00A14CCF"/>
    <w:rsid w:val="00A150B0"/>
    <w:rsid w:val="00A150C6"/>
    <w:rsid w:val="00A1518A"/>
    <w:rsid w:val="00A15253"/>
    <w:rsid w:val="00A15273"/>
    <w:rsid w:val="00A154D3"/>
    <w:rsid w:val="00A15543"/>
    <w:rsid w:val="00A1557C"/>
    <w:rsid w:val="00A157B1"/>
    <w:rsid w:val="00A15A81"/>
    <w:rsid w:val="00A15AE1"/>
    <w:rsid w:val="00A15AE9"/>
    <w:rsid w:val="00A15BD7"/>
    <w:rsid w:val="00A15BF5"/>
    <w:rsid w:val="00A15E30"/>
    <w:rsid w:val="00A15F2E"/>
    <w:rsid w:val="00A15F33"/>
    <w:rsid w:val="00A16024"/>
    <w:rsid w:val="00A16128"/>
    <w:rsid w:val="00A1617E"/>
    <w:rsid w:val="00A161FF"/>
    <w:rsid w:val="00A16313"/>
    <w:rsid w:val="00A1631F"/>
    <w:rsid w:val="00A1632E"/>
    <w:rsid w:val="00A16338"/>
    <w:rsid w:val="00A163F9"/>
    <w:rsid w:val="00A16445"/>
    <w:rsid w:val="00A16460"/>
    <w:rsid w:val="00A166F8"/>
    <w:rsid w:val="00A16741"/>
    <w:rsid w:val="00A16771"/>
    <w:rsid w:val="00A16791"/>
    <w:rsid w:val="00A167E4"/>
    <w:rsid w:val="00A16808"/>
    <w:rsid w:val="00A16856"/>
    <w:rsid w:val="00A16862"/>
    <w:rsid w:val="00A16881"/>
    <w:rsid w:val="00A16891"/>
    <w:rsid w:val="00A1689C"/>
    <w:rsid w:val="00A1694C"/>
    <w:rsid w:val="00A1699B"/>
    <w:rsid w:val="00A16A73"/>
    <w:rsid w:val="00A16A74"/>
    <w:rsid w:val="00A16C67"/>
    <w:rsid w:val="00A16C6A"/>
    <w:rsid w:val="00A16D22"/>
    <w:rsid w:val="00A16D25"/>
    <w:rsid w:val="00A16DB1"/>
    <w:rsid w:val="00A16DC1"/>
    <w:rsid w:val="00A16DFC"/>
    <w:rsid w:val="00A16E60"/>
    <w:rsid w:val="00A16E80"/>
    <w:rsid w:val="00A16EF9"/>
    <w:rsid w:val="00A16FC9"/>
    <w:rsid w:val="00A16FDC"/>
    <w:rsid w:val="00A16FEB"/>
    <w:rsid w:val="00A1705F"/>
    <w:rsid w:val="00A170CC"/>
    <w:rsid w:val="00A17281"/>
    <w:rsid w:val="00A1729A"/>
    <w:rsid w:val="00A17485"/>
    <w:rsid w:val="00A17596"/>
    <w:rsid w:val="00A1772C"/>
    <w:rsid w:val="00A177EF"/>
    <w:rsid w:val="00A1796A"/>
    <w:rsid w:val="00A179A7"/>
    <w:rsid w:val="00A17AD4"/>
    <w:rsid w:val="00A17B96"/>
    <w:rsid w:val="00A17D20"/>
    <w:rsid w:val="00A17E36"/>
    <w:rsid w:val="00A17EB7"/>
    <w:rsid w:val="00A20153"/>
    <w:rsid w:val="00A20328"/>
    <w:rsid w:val="00A2036F"/>
    <w:rsid w:val="00A204B7"/>
    <w:rsid w:val="00A2062A"/>
    <w:rsid w:val="00A20890"/>
    <w:rsid w:val="00A2089E"/>
    <w:rsid w:val="00A20910"/>
    <w:rsid w:val="00A20AA2"/>
    <w:rsid w:val="00A20BAB"/>
    <w:rsid w:val="00A20CA2"/>
    <w:rsid w:val="00A20E02"/>
    <w:rsid w:val="00A20EEE"/>
    <w:rsid w:val="00A20F8C"/>
    <w:rsid w:val="00A20FF7"/>
    <w:rsid w:val="00A2105F"/>
    <w:rsid w:val="00A211F1"/>
    <w:rsid w:val="00A2125E"/>
    <w:rsid w:val="00A212CE"/>
    <w:rsid w:val="00A21305"/>
    <w:rsid w:val="00A213E9"/>
    <w:rsid w:val="00A21443"/>
    <w:rsid w:val="00A21508"/>
    <w:rsid w:val="00A21587"/>
    <w:rsid w:val="00A21829"/>
    <w:rsid w:val="00A2199D"/>
    <w:rsid w:val="00A219BD"/>
    <w:rsid w:val="00A21B9E"/>
    <w:rsid w:val="00A21BFD"/>
    <w:rsid w:val="00A21D7A"/>
    <w:rsid w:val="00A21DD9"/>
    <w:rsid w:val="00A21E93"/>
    <w:rsid w:val="00A21EB6"/>
    <w:rsid w:val="00A21EFF"/>
    <w:rsid w:val="00A21F3E"/>
    <w:rsid w:val="00A21FD1"/>
    <w:rsid w:val="00A22094"/>
    <w:rsid w:val="00A220E5"/>
    <w:rsid w:val="00A22229"/>
    <w:rsid w:val="00A2226A"/>
    <w:rsid w:val="00A224C5"/>
    <w:rsid w:val="00A22542"/>
    <w:rsid w:val="00A22750"/>
    <w:rsid w:val="00A227C5"/>
    <w:rsid w:val="00A22931"/>
    <w:rsid w:val="00A2295E"/>
    <w:rsid w:val="00A2296F"/>
    <w:rsid w:val="00A22BE7"/>
    <w:rsid w:val="00A22C0D"/>
    <w:rsid w:val="00A23052"/>
    <w:rsid w:val="00A23252"/>
    <w:rsid w:val="00A23266"/>
    <w:rsid w:val="00A23350"/>
    <w:rsid w:val="00A233F8"/>
    <w:rsid w:val="00A23413"/>
    <w:rsid w:val="00A23432"/>
    <w:rsid w:val="00A23452"/>
    <w:rsid w:val="00A2352A"/>
    <w:rsid w:val="00A23549"/>
    <w:rsid w:val="00A2366D"/>
    <w:rsid w:val="00A236E5"/>
    <w:rsid w:val="00A23831"/>
    <w:rsid w:val="00A23942"/>
    <w:rsid w:val="00A239B9"/>
    <w:rsid w:val="00A23A88"/>
    <w:rsid w:val="00A23C60"/>
    <w:rsid w:val="00A23C67"/>
    <w:rsid w:val="00A23CD2"/>
    <w:rsid w:val="00A23D44"/>
    <w:rsid w:val="00A23DBA"/>
    <w:rsid w:val="00A23DDE"/>
    <w:rsid w:val="00A23EFA"/>
    <w:rsid w:val="00A2408F"/>
    <w:rsid w:val="00A24151"/>
    <w:rsid w:val="00A2416A"/>
    <w:rsid w:val="00A241B0"/>
    <w:rsid w:val="00A241CD"/>
    <w:rsid w:val="00A241EE"/>
    <w:rsid w:val="00A242B4"/>
    <w:rsid w:val="00A242BD"/>
    <w:rsid w:val="00A242C5"/>
    <w:rsid w:val="00A242CA"/>
    <w:rsid w:val="00A243D5"/>
    <w:rsid w:val="00A24442"/>
    <w:rsid w:val="00A2457A"/>
    <w:rsid w:val="00A2464C"/>
    <w:rsid w:val="00A24694"/>
    <w:rsid w:val="00A24764"/>
    <w:rsid w:val="00A24994"/>
    <w:rsid w:val="00A249AC"/>
    <w:rsid w:val="00A249FF"/>
    <w:rsid w:val="00A24ADA"/>
    <w:rsid w:val="00A24D4B"/>
    <w:rsid w:val="00A24E43"/>
    <w:rsid w:val="00A24ECA"/>
    <w:rsid w:val="00A24F56"/>
    <w:rsid w:val="00A24F97"/>
    <w:rsid w:val="00A25091"/>
    <w:rsid w:val="00A250A8"/>
    <w:rsid w:val="00A256CA"/>
    <w:rsid w:val="00A25783"/>
    <w:rsid w:val="00A25904"/>
    <w:rsid w:val="00A25940"/>
    <w:rsid w:val="00A25A3E"/>
    <w:rsid w:val="00A25A46"/>
    <w:rsid w:val="00A25BD0"/>
    <w:rsid w:val="00A25D10"/>
    <w:rsid w:val="00A25D7B"/>
    <w:rsid w:val="00A25FAC"/>
    <w:rsid w:val="00A262CA"/>
    <w:rsid w:val="00A262F0"/>
    <w:rsid w:val="00A263AE"/>
    <w:rsid w:val="00A263B3"/>
    <w:rsid w:val="00A26436"/>
    <w:rsid w:val="00A2664F"/>
    <w:rsid w:val="00A267E0"/>
    <w:rsid w:val="00A26912"/>
    <w:rsid w:val="00A26B9A"/>
    <w:rsid w:val="00A26CE0"/>
    <w:rsid w:val="00A26D2E"/>
    <w:rsid w:val="00A26D6B"/>
    <w:rsid w:val="00A26E28"/>
    <w:rsid w:val="00A26F3C"/>
    <w:rsid w:val="00A26FB2"/>
    <w:rsid w:val="00A270A8"/>
    <w:rsid w:val="00A2713E"/>
    <w:rsid w:val="00A2715C"/>
    <w:rsid w:val="00A271FF"/>
    <w:rsid w:val="00A272EE"/>
    <w:rsid w:val="00A2736B"/>
    <w:rsid w:val="00A273A4"/>
    <w:rsid w:val="00A273E6"/>
    <w:rsid w:val="00A2741C"/>
    <w:rsid w:val="00A27636"/>
    <w:rsid w:val="00A276EC"/>
    <w:rsid w:val="00A2773B"/>
    <w:rsid w:val="00A277F4"/>
    <w:rsid w:val="00A2789F"/>
    <w:rsid w:val="00A27963"/>
    <w:rsid w:val="00A279E1"/>
    <w:rsid w:val="00A27A68"/>
    <w:rsid w:val="00A27B2F"/>
    <w:rsid w:val="00A27B76"/>
    <w:rsid w:val="00A27E0F"/>
    <w:rsid w:val="00A27E36"/>
    <w:rsid w:val="00A27EEE"/>
    <w:rsid w:val="00A3012F"/>
    <w:rsid w:val="00A30139"/>
    <w:rsid w:val="00A3022D"/>
    <w:rsid w:val="00A30414"/>
    <w:rsid w:val="00A30488"/>
    <w:rsid w:val="00A30491"/>
    <w:rsid w:val="00A30631"/>
    <w:rsid w:val="00A30669"/>
    <w:rsid w:val="00A30780"/>
    <w:rsid w:val="00A307D1"/>
    <w:rsid w:val="00A30B4A"/>
    <w:rsid w:val="00A30B65"/>
    <w:rsid w:val="00A30C89"/>
    <w:rsid w:val="00A30DE9"/>
    <w:rsid w:val="00A30E54"/>
    <w:rsid w:val="00A30E6A"/>
    <w:rsid w:val="00A30F86"/>
    <w:rsid w:val="00A31047"/>
    <w:rsid w:val="00A31060"/>
    <w:rsid w:val="00A3126B"/>
    <w:rsid w:val="00A312C4"/>
    <w:rsid w:val="00A3135C"/>
    <w:rsid w:val="00A31477"/>
    <w:rsid w:val="00A31530"/>
    <w:rsid w:val="00A3153E"/>
    <w:rsid w:val="00A31648"/>
    <w:rsid w:val="00A31691"/>
    <w:rsid w:val="00A3188E"/>
    <w:rsid w:val="00A3192E"/>
    <w:rsid w:val="00A31AEE"/>
    <w:rsid w:val="00A31CDA"/>
    <w:rsid w:val="00A31D7A"/>
    <w:rsid w:val="00A31EAC"/>
    <w:rsid w:val="00A31F19"/>
    <w:rsid w:val="00A31FB2"/>
    <w:rsid w:val="00A320F5"/>
    <w:rsid w:val="00A320F6"/>
    <w:rsid w:val="00A321D6"/>
    <w:rsid w:val="00A32214"/>
    <w:rsid w:val="00A32282"/>
    <w:rsid w:val="00A322FD"/>
    <w:rsid w:val="00A3233A"/>
    <w:rsid w:val="00A3241D"/>
    <w:rsid w:val="00A32577"/>
    <w:rsid w:val="00A3264A"/>
    <w:rsid w:val="00A32810"/>
    <w:rsid w:val="00A32830"/>
    <w:rsid w:val="00A3298A"/>
    <w:rsid w:val="00A3298F"/>
    <w:rsid w:val="00A32A37"/>
    <w:rsid w:val="00A32A54"/>
    <w:rsid w:val="00A32D01"/>
    <w:rsid w:val="00A32D0B"/>
    <w:rsid w:val="00A32E68"/>
    <w:rsid w:val="00A32E84"/>
    <w:rsid w:val="00A33093"/>
    <w:rsid w:val="00A330BB"/>
    <w:rsid w:val="00A33269"/>
    <w:rsid w:val="00A33451"/>
    <w:rsid w:val="00A336C1"/>
    <w:rsid w:val="00A3370D"/>
    <w:rsid w:val="00A3386D"/>
    <w:rsid w:val="00A3388E"/>
    <w:rsid w:val="00A3399F"/>
    <w:rsid w:val="00A33A99"/>
    <w:rsid w:val="00A33C1C"/>
    <w:rsid w:val="00A33D21"/>
    <w:rsid w:val="00A33D29"/>
    <w:rsid w:val="00A33E88"/>
    <w:rsid w:val="00A33EF8"/>
    <w:rsid w:val="00A33FD8"/>
    <w:rsid w:val="00A34151"/>
    <w:rsid w:val="00A342D9"/>
    <w:rsid w:val="00A3433C"/>
    <w:rsid w:val="00A3445D"/>
    <w:rsid w:val="00A34508"/>
    <w:rsid w:val="00A347C7"/>
    <w:rsid w:val="00A34889"/>
    <w:rsid w:val="00A348B6"/>
    <w:rsid w:val="00A34994"/>
    <w:rsid w:val="00A34ADA"/>
    <w:rsid w:val="00A34BBE"/>
    <w:rsid w:val="00A34BE2"/>
    <w:rsid w:val="00A34C4D"/>
    <w:rsid w:val="00A34D45"/>
    <w:rsid w:val="00A34EE6"/>
    <w:rsid w:val="00A34F13"/>
    <w:rsid w:val="00A34FC0"/>
    <w:rsid w:val="00A3504F"/>
    <w:rsid w:val="00A352FD"/>
    <w:rsid w:val="00A3552B"/>
    <w:rsid w:val="00A355D3"/>
    <w:rsid w:val="00A3570B"/>
    <w:rsid w:val="00A3571B"/>
    <w:rsid w:val="00A357F1"/>
    <w:rsid w:val="00A35846"/>
    <w:rsid w:val="00A35891"/>
    <w:rsid w:val="00A35910"/>
    <w:rsid w:val="00A35A0F"/>
    <w:rsid w:val="00A35A47"/>
    <w:rsid w:val="00A35AF1"/>
    <w:rsid w:val="00A35B9D"/>
    <w:rsid w:val="00A35BAA"/>
    <w:rsid w:val="00A35C7C"/>
    <w:rsid w:val="00A35D3C"/>
    <w:rsid w:val="00A35E31"/>
    <w:rsid w:val="00A35E74"/>
    <w:rsid w:val="00A35E8C"/>
    <w:rsid w:val="00A35F73"/>
    <w:rsid w:val="00A362CF"/>
    <w:rsid w:val="00A36437"/>
    <w:rsid w:val="00A36527"/>
    <w:rsid w:val="00A3658B"/>
    <w:rsid w:val="00A3663D"/>
    <w:rsid w:val="00A36670"/>
    <w:rsid w:val="00A3670D"/>
    <w:rsid w:val="00A36756"/>
    <w:rsid w:val="00A36AEF"/>
    <w:rsid w:val="00A36B81"/>
    <w:rsid w:val="00A36C11"/>
    <w:rsid w:val="00A36D83"/>
    <w:rsid w:val="00A36E35"/>
    <w:rsid w:val="00A36F3C"/>
    <w:rsid w:val="00A36FBB"/>
    <w:rsid w:val="00A3701E"/>
    <w:rsid w:val="00A3723B"/>
    <w:rsid w:val="00A372E3"/>
    <w:rsid w:val="00A373E2"/>
    <w:rsid w:val="00A37409"/>
    <w:rsid w:val="00A37541"/>
    <w:rsid w:val="00A37572"/>
    <w:rsid w:val="00A375DB"/>
    <w:rsid w:val="00A375DD"/>
    <w:rsid w:val="00A37674"/>
    <w:rsid w:val="00A376C4"/>
    <w:rsid w:val="00A37784"/>
    <w:rsid w:val="00A37863"/>
    <w:rsid w:val="00A37FDC"/>
    <w:rsid w:val="00A40106"/>
    <w:rsid w:val="00A4012D"/>
    <w:rsid w:val="00A40482"/>
    <w:rsid w:val="00A4048C"/>
    <w:rsid w:val="00A404F1"/>
    <w:rsid w:val="00A40501"/>
    <w:rsid w:val="00A4063D"/>
    <w:rsid w:val="00A40658"/>
    <w:rsid w:val="00A4081D"/>
    <w:rsid w:val="00A40837"/>
    <w:rsid w:val="00A40850"/>
    <w:rsid w:val="00A40932"/>
    <w:rsid w:val="00A40941"/>
    <w:rsid w:val="00A409A7"/>
    <w:rsid w:val="00A409C5"/>
    <w:rsid w:val="00A409E5"/>
    <w:rsid w:val="00A40A49"/>
    <w:rsid w:val="00A40A98"/>
    <w:rsid w:val="00A40B8A"/>
    <w:rsid w:val="00A40C29"/>
    <w:rsid w:val="00A40C64"/>
    <w:rsid w:val="00A40DA2"/>
    <w:rsid w:val="00A40ED3"/>
    <w:rsid w:val="00A40F6E"/>
    <w:rsid w:val="00A40FB9"/>
    <w:rsid w:val="00A41071"/>
    <w:rsid w:val="00A4121B"/>
    <w:rsid w:val="00A41267"/>
    <w:rsid w:val="00A412AA"/>
    <w:rsid w:val="00A41326"/>
    <w:rsid w:val="00A41398"/>
    <w:rsid w:val="00A41416"/>
    <w:rsid w:val="00A41538"/>
    <w:rsid w:val="00A41545"/>
    <w:rsid w:val="00A4172B"/>
    <w:rsid w:val="00A4184D"/>
    <w:rsid w:val="00A4186F"/>
    <w:rsid w:val="00A4197E"/>
    <w:rsid w:val="00A41A1B"/>
    <w:rsid w:val="00A41AD1"/>
    <w:rsid w:val="00A41DEC"/>
    <w:rsid w:val="00A41DF0"/>
    <w:rsid w:val="00A420F2"/>
    <w:rsid w:val="00A4214E"/>
    <w:rsid w:val="00A422B4"/>
    <w:rsid w:val="00A4256E"/>
    <w:rsid w:val="00A426CE"/>
    <w:rsid w:val="00A42840"/>
    <w:rsid w:val="00A42876"/>
    <w:rsid w:val="00A42D38"/>
    <w:rsid w:val="00A42FB4"/>
    <w:rsid w:val="00A43132"/>
    <w:rsid w:val="00A431FA"/>
    <w:rsid w:val="00A43268"/>
    <w:rsid w:val="00A432D8"/>
    <w:rsid w:val="00A432ED"/>
    <w:rsid w:val="00A435BE"/>
    <w:rsid w:val="00A437A9"/>
    <w:rsid w:val="00A4383B"/>
    <w:rsid w:val="00A439B2"/>
    <w:rsid w:val="00A43A41"/>
    <w:rsid w:val="00A43B8E"/>
    <w:rsid w:val="00A43E0C"/>
    <w:rsid w:val="00A43EEA"/>
    <w:rsid w:val="00A44051"/>
    <w:rsid w:val="00A4406B"/>
    <w:rsid w:val="00A440E5"/>
    <w:rsid w:val="00A44245"/>
    <w:rsid w:val="00A44251"/>
    <w:rsid w:val="00A4425B"/>
    <w:rsid w:val="00A4435C"/>
    <w:rsid w:val="00A44402"/>
    <w:rsid w:val="00A4459F"/>
    <w:rsid w:val="00A44602"/>
    <w:rsid w:val="00A446F5"/>
    <w:rsid w:val="00A4473E"/>
    <w:rsid w:val="00A44788"/>
    <w:rsid w:val="00A44846"/>
    <w:rsid w:val="00A44882"/>
    <w:rsid w:val="00A448AF"/>
    <w:rsid w:val="00A4493E"/>
    <w:rsid w:val="00A44978"/>
    <w:rsid w:val="00A4499C"/>
    <w:rsid w:val="00A44A2C"/>
    <w:rsid w:val="00A44A6E"/>
    <w:rsid w:val="00A44B60"/>
    <w:rsid w:val="00A44BE1"/>
    <w:rsid w:val="00A44D4A"/>
    <w:rsid w:val="00A44DAC"/>
    <w:rsid w:val="00A44E10"/>
    <w:rsid w:val="00A44E2B"/>
    <w:rsid w:val="00A44EDC"/>
    <w:rsid w:val="00A450FA"/>
    <w:rsid w:val="00A45125"/>
    <w:rsid w:val="00A4519D"/>
    <w:rsid w:val="00A45324"/>
    <w:rsid w:val="00A453AC"/>
    <w:rsid w:val="00A455A6"/>
    <w:rsid w:val="00A45812"/>
    <w:rsid w:val="00A45867"/>
    <w:rsid w:val="00A45AC0"/>
    <w:rsid w:val="00A45C01"/>
    <w:rsid w:val="00A45C47"/>
    <w:rsid w:val="00A45D0C"/>
    <w:rsid w:val="00A45D1D"/>
    <w:rsid w:val="00A45D67"/>
    <w:rsid w:val="00A45F3F"/>
    <w:rsid w:val="00A45FAB"/>
    <w:rsid w:val="00A45FEF"/>
    <w:rsid w:val="00A46060"/>
    <w:rsid w:val="00A461D2"/>
    <w:rsid w:val="00A46378"/>
    <w:rsid w:val="00A46431"/>
    <w:rsid w:val="00A46622"/>
    <w:rsid w:val="00A466C0"/>
    <w:rsid w:val="00A46714"/>
    <w:rsid w:val="00A46720"/>
    <w:rsid w:val="00A46728"/>
    <w:rsid w:val="00A46957"/>
    <w:rsid w:val="00A46A06"/>
    <w:rsid w:val="00A46CF0"/>
    <w:rsid w:val="00A46D00"/>
    <w:rsid w:val="00A46D1F"/>
    <w:rsid w:val="00A46DCA"/>
    <w:rsid w:val="00A46EF9"/>
    <w:rsid w:val="00A473FC"/>
    <w:rsid w:val="00A47428"/>
    <w:rsid w:val="00A4746A"/>
    <w:rsid w:val="00A47513"/>
    <w:rsid w:val="00A475C5"/>
    <w:rsid w:val="00A4762F"/>
    <w:rsid w:val="00A47654"/>
    <w:rsid w:val="00A476E0"/>
    <w:rsid w:val="00A476EC"/>
    <w:rsid w:val="00A47834"/>
    <w:rsid w:val="00A479C0"/>
    <w:rsid w:val="00A47A07"/>
    <w:rsid w:val="00A47ADB"/>
    <w:rsid w:val="00A47AE3"/>
    <w:rsid w:val="00A47D0F"/>
    <w:rsid w:val="00A47D41"/>
    <w:rsid w:val="00A47DD2"/>
    <w:rsid w:val="00A47DE8"/>
    <w:rsid w:val="00A47F17"/>
    <w:rsid w:val="00A47F1A"/>
    <w:rsid w:val="00A47F43"/>
    <w:rsid w:val="00A47F66"/>
    <w:rsid w:val="00A5000B"/>
    <w:rsid w:val="00A5007F"/>
    <w:rsid w:val="00A501A4"/>
    <w:rsid w:val="00A5028D"/>
    <w:rsid w:val="00A503B1"/>
    <w:rsid w:val="00A50433"/>
    <w:rsid w:val="00A5071F"/>
    <w:rsid w:val="00A50791"/>
    <w:rsid w:val="00A50860"/>
    <w:rsid w:val="00A50A98"/>
    <w:rsid w:val="00A50C1F"/>
    <w:rsid w:val="00A51040"/>
    <w:rsid w:val="00A51047"/>
    <w:rsid w:val="00A51102"/>
    <w:rsid w:val="00A512BF"/>
    <w:rsid w:val="00A513BC"/>
    <w:rsid w:val="00A513F5"/>
    <w:rsid w:val="00A51444"/>
    <w:rsid w:val="00A51684"/>
    <w:rsid w:val="00A5186E"/>
    <w:rsid w:val="00A51903"/>
    <w:rsid w:val="00A51A80"/>
    <w:rsid w:val="00A51CB5"/>
    <w:rsid w:val="00A51DB9"/>
    <w:rsid w:val="00A51EA6"/>
    <w:rsid w:val="00A51F3C"/>
    <w:rsid w:val="00A52010"/>
    <w:rsid w:val="00A52069"/>
    <w:rsid w:val="00A52237"/>
    <w:rsid w:val="00A52247"/>
    <w:rsid w:val="00A522FE"/>
    <w:rsid w:val="00A523A5"/>
    <w:rsid w:val="00A524BB"/>
    <w:rsid w:val="00A52605"/>
    <w:rsid w:val="00A52683"/>
    <w:rsid w:val="00A52702"/>
    <w:rsid w:val="00A5276B"/>
    <w:rsid w:val="00A5283F"/>
    <w:rsid w:val="00A52960"/>
    <w:rsid w:val="00A52ADE"/>
    <w:rsid w:val="00A52AFA"/>
    <w:rsid w:val="00A52B89"/>
    <w:rsid w:val="00A52CF7"/>
    <w:rsid w:val="00A52D2D"/>
    <w:rsid w:val="00A52D3B"/>
    <w:rsid w:val="00A52E77"/>
    <w:rsid w:val="00A52ED4"/>
    <w:rsid w:val="00A52F87"/>
    <w:rsid w:val="00A5309B"/>
    <w:rsid w:val="00A530ED"/>
    <w:rsid w:val="00A53166"/>
    <w:rsid w:val="00A532C2"/>
    <w:rsid w:val="00A533AE"/>
    <w:rsid w:val="00A53456"/>
    <w:rsid w:val="00A5350F"/>
    <w:rsid w:val="00A53612"/>
    <w:rsid w:val="00A5362C"/>
    <w:rsid w:val="00A536D4"/>
    <w:rsid w:val="00A53841"/>
    <w:rsid w:val="00A53AC3"/>
    <w:rsid w:val="00A53BFF"/>
    <w:rsid w:val="00A53C13"/>
    <w:rsid w:val="00A53C43"/>
    <w:rsid w:val="00A53C55"/>
    <w:rsid w:val="00A53CAD"/>
    <w:rsid w:val="00A53CDE"/>
    <w:rsid w:val="00A53D18"/>
    <w:rsid w:val="00A53D47"/>
    <w:rsid w:val="00A53DE5"/>
    <w:rsid w:val="00A53E31"/>
    <w:rsid w:val="00A53FA1"/>
    <w:rsid w:val="00A53FA8"/>
    <w:rsid w:val="00A5408B"/>
    <w:rsid w:val="00A54090"/>
    <w:rsid w:val="00A540E8"/>
    <w:rsid w:val="00A54236"/>
    <w:rsid w:val="00A54316"/>
    <w:rsid w:val="00A54421"/>
    <w:rsid w:val="00A54611"/>
    <w:rsid w:val="00A546D8"/>
    <w:rsid w:val="00A54715"/>
    <w:rsid w:val="00A5477B"/>
    <w:rsid w:val="00A54834"/>
    <w:rsid w:val="00A5485E"/>
    <w:rsid w:val="00A54877"/>
    <w:rsid w:val="00A548E1"/>
    <w:rsid w:val="00A54905"/>
    <w:rsid w:val="00A54B4B"/>
    <w:rsid w:val="00A54DDF"/>
    <w:rsid w:val="00A55041"/>
    <w:rsid w:val="00A550F6"/>
    <w:rsid w:val="00A552AD"/>
    <w:rsid w:val="00A55451"/>
    <w:rsid w:val="00A554EF"/>
    <w:rsid w:val="00A5564B"/>
    <w:rsid w:val="00A556A1"/>
    <w:rsid w:val="00A55871"/>
    <w:rsid w:val="00A558C0"/>
    <w:rsid w:val="00A55991"/>
    <w:rsid w:val="00A55B7F"/>
    <w:rsid w:val="00A55C4C"/>
    <w:rsid w:val="00A55C85"/>
    <w:rsid w:val="00A55D41"/>
    <w:rsid w:val="00A55E0A"/>
    <w:rsid w:val="00A55EA8"/>
    <w:rsid w:val="00A55EF8"/>
    <w:rsid w:val="00A55FE2"/>
    <w:rsid w:val="00A56379"/>
    <w:rsid w:val="00A563C7"/>
    <w:rsid w:val="00A563E2"/>
    <w:rsid w:val="00A56636"/>
    <w:rsid w:val="00A56670"/>
    <w:rsid w:val="00A56687"/>
    <w:rsid w:val="00A56754"/>
    <w:rsid w:val="00A567AF"/>
    <w:rsid w:val="00A568A4"/>
    <w:rsid w:val="00A56B3D"/>
    <w:rsid w:val="00A56BD2"/>
    <w:rsid w:val="00A56CA3"/>
    <w:rsid w:val="00A56D04"/>
    <w:rsid w:val="00A56D66"/>
    <w:rsid w:val="00A56F64"/>
    <w:rsid w:val="00A5700B"/>
    <w:rsid w:val="00A57062"/>
    <w:rsid w:val="00A570A2"/>
    <w:rsid w:val="00A57119"/>
    <w:rsid w:val="00A57142"/>
    <w:rsid w:val="00A571AF"/>
    <w:rsid w:val="00A571E9"/>
    <w:rsid w:val="00A57384"/>
    <w:rsid w:val="00A5743A"/>
    <w:rsid w:val="00A57486"/>
    <w:rsid w:val="00A574EB"/>
    <w:rsid w:val="00A576A9"/>
    <w:rsid w:val="00A576B4"/>
    <w:rsid w:val="00A57739"/>
    <w:rsid w:val="00A5786A"/>
    <w:rsid w:val="00A57BF5"/>
    <w:rsid w:val="00A57C6C"/>
    <w:rsid w:val="00A57CE7"/>
    <w:rsid w:val="00A57D90"/>
    <w:rsid w:val="00A57E11"/>
    <w:rsid w:val="00A57E2B"/>
    <w:rsid w:val="00A57E75"/>
    <w:rsid w:val="00A57F25"/>
    <w:rsid w:val="00A57FBF"/>
    <w:rsid w:val="00A6000C"/>
    <w:rsid w:val="00A60149"/>
    <w:rsid w:val="00A60207"/>
    <w:rsid w:val="00A6025B"/>
    <w:rsid w:val="00A60273"/>
    <w:rsid w:val="00A602DA"/>
    <w:rsid w:val="00A6039C"/>
    <w:rsid w:val="00A604F3"/>
    <w:rsid w:val="00A6055E"/>
    <w:rsid w:val="00A6061C"/>
    <w:rsid w:val="00A60669"/>
    <w:rsid w:val="00A6070D"/>
    <w:rsid w:val="00A607B4"/>
    <w:rsid w:val="00A6097A"/>
    <w:rsid w:val="00A60CDF"/>
    <w:rsid w:val="00A60D43"/>
    <w:rsid w:val="00A60D83"/>
    <w:rsid w:val="00A60E82"/>
    <w:rsid w:val="00A60EE4"/>
    <w:rsid w:val="00A611A8"/>
    <w:rsid w:val="00A61333"/>
    <w:rsid w:val="00A61405"/>
    <w:rsid w:val="00A6143E"/>
    <w:rsid w:val="00A61541"/>
    <w:rsid w:val="00A6154D"/>
    <w:rsid w:val="00A61768"/>
    <w:rsid w:val="00A6180B"/>
    <w:rsid w:val="00A618BE"/>
    <w:rsid w:val="00A61A04"/>
    <w:rsid w:val="00A61B73"/>
    <w:rsid w:val="00A61CEE"/>
    <w:rsid w:val="00A61DE5"/>
    <w:rsid w:val="00A6235D"/>
    <w:rsid w:val="00A623B9"/>
    <w:rsid w:val="00A625E2"/>
    <w:rsid w:val="00A6261D"/>
    <w:rsid w:val="00A6271E"/>
    <w:rsid w:val="00A6289A"/>
    <w:rsid w:val="00A628BB"/>
    <w:rsid w:val="00A628C8"/>
    <w:rsid w:val="00A628D0"/>
    <w:rsid w:val="00A62927"/>
    <w:rsid w:val="00A629F3"/>
    <w:rsid w:val="00A62A13"/>
    <w:rsid w:val="00A62A1E"/>
    <w:rsid w:val="00A62AE0"/>
    <w:rsid w:val="00A62B01"/>
    <w:rsid w:val="00A62B1C"/>
    <w:rsid w:val="00A62C7F"/>
    <w:rsid w:val="00A62C84"/>
    <w:rsid w:val="00A62CA3"/>
    <w:rsid w:val="00A62CFF"/>
    <w:rsid w:val="00A62D44"/>
    <w:rsid w:val="00A62D67"/>
    <w:rsid w:val="00A62E45"/>
    <w:rsid w:val="00A62EE3"/>
    <w:rsid w:val="00A62EFC"/>
    <w:rsid w:val="00A62F28"/>
    <w:rsid w:val="00A63148"/>
    <w:rsid w:val="00A63213"/>
    <w:rsid w:val="00A6326A"/>
    <w:rsid w:val="00A63336"/>
    <w:rsid w:val="00A63359"/>
    <w:rsid w:val="00A6337A"/>
    <w:rsid w:val="00A63597"/>
    <w:rsid w:val="00A6365E"/>
    <w:rsid w:val="00A636C7"/>
    <w:rsid w:val="00A6386E"/>
    <w:rsid w:val="00A639EB"/>
    <w:rsid w:val="00A63A48"/>
    <w:rsid w:val="00A63AB9"/>
    <w:rsid w:val="00A63AD1"/>
    <w:rsid w:val="00A63BAE"/>
    <w:rsid w:val="00A63C08"/>
    <w:rsid w:val="00A63D12"/>
    <w:rsid w:val="00A63EE0"/>
    <w:rsid w:val="00A63F28"/>
    <w:rsid w:val="00A6425A"/>
    <w:rsid w:val="00A642CF"/>
    <w:rsid w:val="00A64477"/>
    <w:rsid w:val="00A644E9"/>
    <w:rsid w:val="00A6451F"/>
    <w:rsid w:val="00A6455B"/>
    <w:rsid w:val="00A645FE"/>
    <w:rsid w:val="00A646DF"/>
    <w:rsid w:val="00A64759"/>
    <w:rsid w:val="00A6483D"/>
    <w:rsid w:val="00A648F1"/>
    <w:rsid w:val="00A649E7"/>
    <w:rsid w:val="00A64A1C"/>
    <w:rsid w:val="00A64A30"/>
    <w:rsid w:val="00A64E66"/>
    <w:rsid w:val="00A65098"/>
    <w:rsid w:val="00A6514D"/>
    <w:rsid w:val="00A65314"/>
    <w:rsid w:val="00A6531C"/>
    <w:rsid w:val="00A6534B"/>
    <w:rsid w:val="00A65401"/>
    <w:rsid w:val="00A6540D"/>
    <w:rsid w:val="00A65458"/>
    <w:rsid w:val="00A6546D"/>
    <w:rsid w:val="00A654EC"/>
    <w:rsid w:val="00A65512"/>
    <w:rsid w:val="00A6575B"/>
    <w:rsid w:val="00A65951"/>
    <w:rsid w:val="00A65C03"/>
    <w:rsid w:val="00A65C64"/>
    <w:rsid w:val="00A65CAB"/>
    <w:rsid w:val="00A65FBE"/>
    <w:rsid w:val="00A66103"/>
    <w:rsid w:val="00A66139"/>
    <w:rsid w:val="00A66179"/>
    <w:rsid w:val="00A661C9"/>
    <w:rsid w:val="00A662F6"/>
    <w:rsid w:val="00A6642C"/>
    <w:rsid w:val="00A664B1"/>
    <w:rsid w:val="00A664CD"/>
    <w:rsid w:val="00A664D0"/>
    <w:rsid w:val="00A6658A"/>
    <w:rsid w:val="00A666D6"/>
    <w:rsid w:val="00A667BE"/>
    <w:rsid w:val="00A667C0"/>
    <w:rsid w:val="00A667FD"/>
    <w:rsid w:val="00A66876"/>
    <w:rsid w:val="00A66CF4"/>
    <w:rsid w:val="00A66CF7"/>
    <w:rsid w:val="00A66E70"/>
    <w:rsid w:val="00A66E81"/>
    <w:rsid w:val="00A66ED1"/>
    <w:rsid w:val="00A67016"/>
    <w:rsid w:val="00A67213"/>
    <w:rsid w:val="00A67263"/>
    <w:rsid w:val="00A67443"/>
    <w:rsid w:val="00A6746D"/>
    <w:rsid w:val="00A6753A"/>
    <w:rsid w:val="00A67583"/>
    <w:rsid w:val="00A675BC"/>
    <w:rsid w:val="00A67637"/>
    <w:rsid w:val="00A67670"/>
    <w:rsid w:val="00A677B0"/>
    <w:rsid w:val="00A67A46"/>
    <w:rsid w:val="00A67B1F"/>
    <w:rsid w:val="00A67B3B"/>
    <w:rsid w:val="00A67D16"/>
    <w:rsid w:val="00A67D84"/>
    <w:rsid w:val="00A67E4F"/>
    <w:rsid w:val="00A67FA1"/>
    <w:rsid w:val="00A700BC"/>
    <w:rsid w:val="00A700E6"/>
    <w:rsid w:val="00A70217"/>
    <w:rsid w:val="00A70247"/>
    <w:rsid w:val="00A703CF"/>
    <w:rsid w:val="00A70454"/>
    <w:rsid w:val="00A704C3"/>
    <w:rsid w:val="00A70585"/>
    <w:rsid w:val="00A70805"/>
    <w:rsid w:val="00A709FA"/>
    <w:rsid w:val="00A70A42"/>
    <w:rsid w:val="00A70A90"/>
    <w:rsid w:val="00A70AFB"/>
    <w:rsid w:val="00A70B71"/>
    <w:rsid w:val="00A70B77"/>
    <w:rsid w:val="00A70BB6"/>
    <w:rsid w:val="00A70C98"/>
    <w:rsid w:val="00A70FEB"/>
    <w:rsid w:val="00A71040"/>
    <w:rsid w:val="00A7106A"/>
    <w:rsid w:val="00A71098"/>
    <w:rsid w:val="00A71401"/>
    <w:rsid w:val="00A71571"/>
    <w:rsid w:val="00A7158D"/>
    <w:rsid w:val="00A715D9"/>
    <w:rsid w:val="00A7161C"/>
    <w:rsid w:val="00A71650"/>
    <w:rsid w:val="00A716D0"/>
    <w:rsid w:val="00A71730"/>
    <w:rsid w:val="00A718AA"/>
    <w:rsid w:val="00A71A35"/>
    <w:rsid w:val="00A71A41"/>
    <w:rsid w:val="00A71A77"/>
    <w:rsid w:val="00A71B1F"/>
    <w:rsid w:val="00A71CE4"/>
    <w:rsid w:val="00A71DA9"/>
    <w:rsid w:val="00A71DEB"/>
    <w:rsid w:val="00A720A3"/>
    <w:rsid w:val="00A720AC"/>
    <w:rsid w:val="00A723FB"/>
    <w:rsid w:val="00A72486"/>
    <w:rsid w:val="00A72488"/>
    <w:rsid w:val="00A72606"/>
    <w:rsid w:val="00A7273E"/>
    <w:rsid w:val="00A72805"/>
    <w:rsid w:val="00A72877"/>
    <w:rsid w:val="00A72A39"/>
    <w:rsid w:val="00A72A67"/>
    <w:rsid w:val="00A72B96"/>
    <w:rsid w:val="00A72BEB"/>
    <w:rsid w:val="00A72CD9"/>
    <w:rsid w:val="00A72D56"/>
    <w:rsid w:val="00A72D7A"/>
    <w:rsid w:val="00A72E3A"/>
    <w:rsid w:val="00A72E49"/>
    <w:rsid w:val="00A72E64"/>
    <w:rsid w:val="00A7307D"/>
    <w:rsid w:val="00A734AA"/>
    <w:rsid w:val="00A736AC"/>
    <w:rsid w:val="00A736E5"/>
    <w:rsid w:val="00A73867"/>
    <w:rsid w:val="00A73910"/>
    <w:rsid w:val="00A73931"/>
    <w:rsid w:val="00A73993"/>
    <w:rsid w:val="00A73AC2"/>
    <w:rsid w:val="00A73CE3"/>
    <w:rsid w:val="00A73F7B"/>
    <w:rsid w:val="00A73FC5"/>
    <w:rsid w:val="00A740CC"/>
    <w:rsid w:val="00A7411E"/>
    <w:rsid w:val="00A74165"/>
    <w:rsid w:val="00A7418C"/>
    <w:rsid w:val="00A7419F"/>
    <w:rsid w:val="00A74273"/>
    <w:rsid w:val="00A7435A"/>
    <w:rsid w:val="00A744DD"/>
    <w:rsid w:val="00A7453C"/>
    <w:rsid w:val="00A74659"/>
    <w:rsid w:val="00A746DB"/>
    <w:rsid w:val="00A74788"/>
    <w:rsid w:val="00A74799"/>
    <w:rsid w:val="00A747B9"/>
    <w:rsid w:val="00A74814"/>
    <w:rsid w:val="00A74926"/>
    <w:rsid w:val="00A74964"/>
    <w:rsid w:val="00A749E2"/>
    <w:rsid w:val="00A74AA0"/>
    <w:rsid w:val="00A74BCF"/>
    <w:rsid w:val="00A74BF7"/>
    <w:rsid w:val="00A74D71"/>
    <w:rsid w:val="00A74D7F"/>
    <w:rsid w:val="00A74E42"/>
    <w:rsid w:val="00A74EA8"/>
    <w:rsid w:val="00A74F87"/>
    <w:rsid w:val="00A75056"/>
    <w:rsid w:val="00A75084"/>
    <w:rsid w:val="00A750D7"/>
    <w:rsid w:val="00A7510E"/>
    <w:rsid w:val="00A75118"/>
    <w:rsid w:val="00A75158"/>
    <w:rsid w:val="00A75445"/>
    <w:rsid w:val="00A75490"/>
    <w:rsid w:val="00A75518"/>
    <w:rsid w:val="00A75648"/>
    <w:rsid w:val="00A756FE"/>
    <w:rsid w:val="00A7586F"/>
    <w:rsid w:val="00A759B1"/>
    <w:rsid w:val="00A759D0"/>
    <w:rsid w:val="00A75AA3"/>
    <w:rsid w:val="00A75B83"/>
    <w:rsid w:val="00A75BCA"/>
    <w:rsid w:val="00A75CB9"/>
    <w:rsid w:val="00A75D39"/>
    <w:rsid w:val="00A75DDD"/>
    <w:rsid w:val="00A75DE3"/>
    <w:rsid w:val="00A75FB8"/>
    <w:rsid w:val="00A76043"/>
    <w:rsid w:val="00A761BC"/>
    <w:rsid w:val="00A762F8"/>
    <w:rsid w:val="00A76494"/>
    <w:rsid w:val="00A7649A"/>
    <w:rsid w:val="00A76558"/>
    <w:rsid w:val="00A765F5"/>
    <w:rsid w:val="00A766A8"/>
    <w:rsid w:val="00A766DA"/>
    <w:rsid w:val="00A767A5"/>
    <w:rsid w:val="00A768F5"/>
    <w:rsid w:val="00A7695E"/>
    <w:rsid w:val="00A76AB0"/>
    <w:rsid w:val="00A76AF9"/>
    <w:rsid w:val="00A76BD9"/>
    <w:rsid w:val="00A76BE4"/>
    <w:rsid w:val="00A76BF1"/>
    <w:rsid w:val="00A76C86"/>
    <w:rsid w:val="00A76DD0"/>
    <w:rsid w:val="00A76F25"/>
    <w:rsid w:val="00A76FA3"/>
    <w:rsid w:val="00A77058"/>
    <w:rsid w:val="00A77069"/>
    <w:rsid w:val="00A770E5"/>
    <w:rsid w:val="00A771A5"/>
    <w:rsid w:val="00A77261"/>
    <w:rsid w:val="00A77264"/>
    <w:rsid w:val="00A772E4"/>
    <w:rsid w:val="00A7735D"/>
    <w:rsid w:val="00A77419"/>
    <w:rsid w:val="00A774AD"/>
    <w:rsid w:val="00A774B1"/>
    <w:rsid w:val="00A7765E"/>
    <w:rsid w:val="00A7768C"/>
    <w:rsid w:val="00A77722"/>
    <w:rsid w:val="00A777D8"/>
    <w:rsid w:val="00A77809"/>
    <w:rsid w:val="00A7781E"/>
    <w:rsid w:val="00A7784F"/>
    <w:rsid w:val="00A77851"/>
    <w:rsid w:val="00A77970"/>
    <w:rsid w:val="00A779F8"/>
    <w:rsid w:val="00A77A65"/>
    <w:rsid w:val="00A77AA3"/>
    <w:rsid w:val="00A77D5E"/>
    <w:rsid w:val="00A77DA6"/>
    <w:rsid w:val="00A77E40"/>
    <w:rsid w:val="00A77EA5"/>
    <w:rsid w:val="00A80066"/>
    <w:rsid w:val="00A80098"/>
    <w:rsid w:val="00A80301"/>
    <w:rsid w:val="00A803E2"/>
    <w:rsid w:val="00A804B1"/>
    <w:rsid w:val="00A805C8"/>
    <w:rsid w:val="00A80659"/>
    <w:rsid w:val="00A80676"/>
    <w:rsid w:val="00A807A5"/>
    <w:rsid w:val="00A808A9"/>
    <w:rsid w:val="00A80932"/>
    <w:rsid w:val="00A80A2C"/>
    <w:rsid w:val="00A80B8A"/>
    <w:rsid w:val="00A80C9A"/>
    <w:rsid w:val="00A80CBE"/>
    <w:rsid w:val="00A80D01"/>
    <w:rsid w:val="00A80D13"/>
    <w:rsid w:val="00A80DD1"/>
    <w:rsid w:val="00A80DD6"/>
    <w:rsid w:val="00A80EE5"/>
    <w:rsid w:val="00A80F1C"/>
    <w:rsid w:val="00A80F1E"/>
    <w:rsid w:val="00A80F51"/>
    <w:rsid w:val="00A80F6D"/>
    <w:rsid w:val="00A80F70"/>
    <w:rsid w:val="00A80F9D"/>
    <w:rsid w:val="00A8100A"/>
    <w:rsid w:val="00A81034"/>
    <w:rsid w:val="00A81059"/>
    <w:rsid w:val="00A813D4"/>
    <w:rsid w:val="00A8147D"/>
    <w:rsid w:val="00A81589"/>
    <w:rsid w:val="00A81594"/>
    <w:rsid w:val="00A817CF"/>
    <w:rsid w:val="00A8180E"/>
    <w:rsid w:val="00A8183D"/>
    <w:rsid w:val="00A81BC4"/>
    <w:rsid w:val="00A81C38"/>
    <w:rsid w:val="00A81C6F"/>
    <w:rsid w:val="00A82336"/>
    <w:rsid w:val="00A8236D"/>
    <w:rsid w:val="00A823B2"/>
    <w:rsid w:val="00A823C9"/>
    <w:rsid w:val="00A8271D"/>
    <w:rsid w:val="00A82818"/>
    <w:rsid w:val="00A8293E"/>
    <w:rsid w:val="00A82B5C"/>
    <w:rsid w:val="00A82BEA"/>
    <w:rsid w:val="00A82CBC"/>
    <w:rsid w:val="00A82CCA"/>
    <w:rsid w:val="00A82D88"/>
    <w:rsid w:val="00A82DDA"/>
    <w:rsid w:val="00A82E05"/>
    <w:rsid w:val="00A83249"/>
    <w:rsid w:val="00A834EF"/>
    <w:rsid w:val="00A83596"/>
    <w:rsid w:val="00A835CE"/>
    <w:rsid w:val="00A835F9"/>
    <w:rsid w:val="00A83651"/>
    <w:rsid w:val="00A8366F"/>
    <w:rsid w:val="00A836D0"/>
    <w:rsid w:val="00A837DE"/>
    <w:rsid w:val="00A83845"/>
    <w:rsid w:val="00A839FF"/>
    <w:rsid w:val="00A83AA5"/>
    <w:rsid w:val="00A83B9A"/>
    <w:rsid w:val="00A83BC0"/>
    <w:rsid w:val="00A83D62"/>
    <w:rsid w:val="00A83ECC"/>
    <w:rsid w:val="00A83EFE"/>
    <w:rsid w:val="00A83FD4"/>
    <w:rsid w:val="00A8404A"/>
    <w:rsid w:val="00A840AD"/>
    <w:rsid w:val="00A84225"/>
    <w:rsid w:val="00A8472D"/>
    <w:rsid w:val="00A8488A"/>
    <w:rsid w:val="00A848B7"/>
    <w:rsid w:val="00A849E4"/>
    <w:rsid w:val="00A84A7A"/>
    <w:rsid w:val="00A84AF0"/>
    <w:rsid w:val="00A84C03"/>
    <w:rsid w:val="00A84C6E"/>
    <w:rsid w:val="00A84D5E"/>
    <w:rsid w:val="00A84DD2"/>
    <w:rsid w:val="00A84E15"/>
    <w:rsid w:val="00A85243"/>
    <w:rsid w:val="00A8537F"/>
    <w:rsid w:val="00A85407"/>
    <w:rsid w:val="00A85433"/>
    <w:rsid w:val="00A85445"/>
    <w:rsid w:val="00A854EB"/>
    <w:rsid w:val="00A85862"/>
    <w:rsid w:val="00A85894"/>
    <w:rsid w:val="00A858ED"/>
    <w:rsid w:val="00A85A16"/>
    <w:rsid w:val="00A85A5B"/>
    <w:rsid w:val="00A85A72"/>
    <w:rsid w:val="00A85BCD"/>
    <w:rsid w:val="00A85DCD"/>
    <w:rsid w:val="00A85DEF"/>
    <w:rsid w:val="00A85DF7"/>
    <w:rsid w:val="00A85ECD"/>
    <w:rsid w:val="00A8601F"/>
    <w:rsid w:val="00A8605E"/>
    <w:rsid w:val="00A8609B"/>
    <w:rsid w:val="00A86215"/>
    <w:rsid w:val="00A86421"/>
    <w:rsid w:val="00A86429"/>
    <w:rsid w:val="00A864A5"/>
    <w:rsid w:val="00A864BA"/>
    <w:rsid w:val="00A8650B"/>
    <w:rsid w:val="00A865BD"/>
    <w:rsid w:val="00A86609"/>
    <w:rsid w:val="00A86A29"/>
    <w:rsid w:val="00A86D83"/>
    <w:rsid w:val="00A872E5"/>
    <w:rsid w:val="00A8734D"/>
    <w:rsid w:val="00A875E5"/>
    <w:rsid w:val="00A877A1"/>
    <w:rsid w:val="00A87823"/>
    <w:rsid w:val="00A87AC2"/>
    <w:rsid w:val="00A87B7E"/>
    <w:rsid w:val="00A87C2F"/>
    <w:rsid w:val="00A87E44"/>
    <w:rsid w:val="00A87EE4"/>
    <w:rsid w:val="00A87F1D"/>
    <w:rsid w:val="00A87FBF"/>
    <w:rsid w:val="00A902B5"/>
    <w:rsid w:val="00A90446"/>
    <w:rsid w:val="00A90457"/>
    <w:rsid w:val="00A904EC"/>
    <w:rsid w:val="00A90943"/>
    <w:rsid w:val="00A90946"/>
    <w:rsid w:val="00A9094D"/>
    <w:rsid w:val="00A909C2"/>
    <w:rsid w:val="00A90A91"/>
    <w:rsid w:val="00A90B00"/>
    <w:rsid w:val="00A90B70"/>
    <w:rsid w:val="00A90C71"/>
    <w:rsid w:val="00A90CE3"/>
    <w:rsid w:val="00A90D6D"/>
    <w:rsid w:val="00A90D7C"/>
    <w:rsid w:val="00A90DA2"/>
    <w:rsid w:val="00A90FBE"/>
    <w:rsid w:val="00A9101A"/>
    <w:rsid w:val="00A91060"/>
    <w:rsid w:val="00A911D8"/>
    <w:rsid w:val="00A91277"/>
    <w:rsid w:val="00A91406"/>
    <w:rsid w:val="00A91486"/>
    <w:rsid w:val="00A914A7"/>
    <w:rsid w:val="00A914E9"/>
    <w:rsid w:val="00A915D6"/>
    <w:rsid w:val="00A915DD"/>
    <w:rsid w:val="00A916B6"/>
    <w:rsid w:val="00A916DD"/>
    <w:rsid w:val="00A917D3"/>
    <w:rsid w:val="00A919FC"/>
    <w:rsid w:val="00A91A2C"/>
    <w:rsid w:val="00A91C80"/>
    <w:rsid w:val="00A91CA2"/>
    <w:rsid w:val="00A91E58"/>
    <w:rsid w:val="00A9208D"/>
    <w:rsid w:val="00A92173"/>
    <w:rsid w:val="00A921B7"/>
    <w:rsid w:val="00A921F9"/>
    <w:rsid w:val="00A9231E"/>
    <w:rsid w:val="00A9249C"/>
    <w:rsid w:val="00A92753"/>
    <w:rsid w:val="00A927C7"/>
    <w:rsid w:val="00A928FD"/>
    <w:rsid w:val="00A929E7"/>
    <w:rsid w:val="00A93145"/>
    <w:rsid w:val="00A9319C"/>
    <w:rsid w:val="00A933E1"/>
    <w:rsid w:val="00A93400"/>
    <w:rsid w:val="00A9344C"/>
    <w:rsid w:val="00A9350B"/>
    <w:rsid w:val="00A9366E"/>
    <w:rsid w:val="00A936FD"/>
    <w:rsid w:val="00A93921"/>
    <w:rsid w:val="00A9397F"/>
    <w:rsid w:val="00A93ACF"/>
    <w:rsid w:val="00A93AF3"/>
    <w:rsid w:val="00A93BF6"/>
    <w:rsid w:val="00A93CE4"/>
    <w:rsid w:val="00A93CF5"/>
    <w:rsid w:val="00A93D5F"/>
    <w:rsid w:val="00A93F23"/>
    <w:rsid w:val="00A93F85"/>
    <w:rsid w:val="00A94035"/>
    <w:rsid w:val="00A94074"/>
    <w:rsid w:val="00A94215"/>
    <w:rsid w:val="00A94232"/>
    <w:rsid w:val="00A9433C"/>
    <w:rsid w:val="00A943B3"/>
    <w:rsid w:val="00A9471B"/>
    <w:rsid w:val="00A948C9"/>
    <w:rsid w:val="00A94B0E"/>
    <w:rsid w:val="00A94B23"/>
    <w:rsid w:val="00A94BDF"/>
    <w:rsid w:val="00A94BED"/>
    <w:rsid w:val="00A94C41"/>
    <w:rsid w:val="00A94C4C"/>
    <w:rsid w:val="00A94C88"/>
    <w:rsid w:val="00A94E74"/>
    <w:rsid w:val="00A9506A"/>
    <w:rsid w:val="00A95349"/>
    <w:rsid w:val="00A953AC"/>
    <w:rsid w:val="00A953C6"/>
    <w:rsid w:val="00A95460"/>
    <w:rsid w:val="00A956E9"/>
    <w:rsid w:val="00A9598E"/>
    <w:rsid w:val="00A95C53"/>
    <w:rsid w:val="00A95C8F"/>
    <w:rsid w:val="00A95CEC"/>
    <w:rsid w:val="00A95E99"/>
    <w:rsid w:val="00A9602D"/>
    <w:rsid w:val="00A961A0"/>
    <w:rsid w:val="00A961A6"/>
    <w:rsid w:val="00A961B0"/>
    <w:rsid w:val="00A961CF"/>
    <w:rsid w:val="00A962BC"/>
    <w:rsid w:val="00A96717"/>
    <w:rsid w:val="00A967D1"/>
    <w:rsid w:val="00A96884"/>
    <w:rsid w:val="00A969DC"/>
    <w:rsid w:val="00A96B33"/>
    <w:rsid w:val="00A96B58"/>
    <w:rsid w:val="00A96B8C"/>
    <w:rsid w:val="00A96B91"/>
    <w:rsid w:val="00A96C40"/>
    <w:rsid w:val="00A96D06"/>
    <w:rsid w:val="00A96DB1"/>
    <w:rsid w:val="00A96DB3"/>
    <w:rsid w:val="00A96DE7"/>
    <w:rsid w:val="00A96E65"/>
    <w:rsid w:val="00A96E68"/>
    <w:rsid w:val="00A96ECE"/>
    <w:rsid w:val="00A96FA2"/>
    <w:rsid w:val="00A96FF5"/>
    <w:rsid w:val="00A97093"/>
    <w:rsid w:val="00A970A9"/>
    <w:rsid w:val="00A97177"/>
    <w:rsid w:val="00A971EB"/>
    <w:rsid w:val="00A9723B"/>
    <w:rsid w:val="00A972F2"/>
    <w:rsid w:val="00A9750B"/>
    <w:rsid w:val="00A975AE"/>
    <w:rsid w:val="00A975CE"/>
    <w:rsid w:val="00A9763F"/>
    <w:rsid w:val="00A9767A"/>
    <w:rsid w:val="00A97681"/>
    <w:rsid w:val="00A976DE"/>
    <w:rsid w:val="00A97857"/>
    <w:rsid w:val="00A97C72"/>
    <w:rsid w:val="00A97CD3"/>
    <w:rsid w:val="00A97CF2"/>
    <w:rsid w:val="00A97D8C"/>
    <w:rsid w:val="00A97DB2"/>
    <w:rsid w:val="00A97E20"/>
    <w:rsid w:val="00A97EF6"/>
    <w:rsid w:val="00A97F82"/>
    <w:rsid w:val="00AA000B"/>
    <w:rsid w:val="00AA00D2"/>
    <w:rsid w:val="00AA0122"/>
    <w:rsid w:val="00AA0137"/>
    <w:rsid w:val="00AA017B"/>
    <w:rsid w:val="00AA019C"/>
    <w:rsid w:val="00AA022E"/>
    <w:rsid w:val="00AA0269"/>
    <w:rsid w:val="00AA02D3"/>
    <w:rsid w:val="00AA036E"/>
    <w:rsid w:val="00AA04C5"/>
    <w:rsid w:val="00AA075E"/>
    <w:rsid w:val="00AA0765"/>
    <w:rsid w:val="00AA0809"/>
    <w:rsid w:val="00AA0837"/>
    <w:rsid w:val="00AA0851"/>
    <w:rsid w:val="00AA088B"/>
    <w:rsid w:val="00AA08A6"/>
    <w:rsid w:val="00AA08E6"/>
    <w:rsid w:val="00AA0961"/>
    <w:rsid w:val="00AA09B8"/>
    <w:rsid w:val="00AA09FA"/>
    <w:rsid w:val="00AA0B57"/>
    <w:rsid w:val="00AA0BC1"/>
    <w:rsid w:val="00AA0C12"/>
    <w:rsid w:val="00AA0C8A"/>
    <w:rsid w:val="00AA0D3F"/>
    <w:rsid w:val="00AA0DC9"/>
    <w:rsid w:val="00AA0E52"/>
    <w:rsid w:val="00AA1117"/>
    <w:rsid w:val="00AA12C4"/>
    <w:rsid w:val="00AA134A"/>
    <w:rsid w:val="00AA1555"/>
    <w:rsid w:val="00AA1605"/>
    <w:rsid w:val="00AA167F"/>
    <w:rsid w:val="00AA16DF"/>
    <w:rsid w:val="00AA16EE"/>
    <w:rsid w:val="00AA183C"/>
    <w:rsid w:val="00AA1978"/>
    <w:rsid w:val="00AA1B1F"/>
    <w:rsid w:val="00AA1C3A"/>
    <w:rsid w:val="00AA1D64"/>
    <w:rsid w:val="00AA1D6B"/>
    <w:rsid w:val="00AA1E7E"/>
    <w:rsid w:val="00AA1FA0"/>
    <w:rsid w:val="00AA204D"/>
    <w:rsid w:val="00AA21C1"/>
    <w:rsid w:val="00AA21FA"/>
    <w:rsid w:val="00AA2204"/>
    <w:rsid w:val="00AA220D"/>
    <w:rsid w:val="00AA2282"/>
    <w:rsid w:val="00AA22EB"/>
    <w:rsid w:val="00AA244A"/>
    <w:rsid w:val="00AA244E"/>
    <w:rsid w:val="00AA2453"/>
    <w:rsid w:val="00AA2468"/>
    <w:rsid w:val="00AA246B"/>
    <w:rsid w:val="00AA2538"/>
    <w:rsid w:val="00AA256C"/>
    <w:rsid w:val="00AA25BE"/>
    <w:rsid w:val="00AA2699"/>
    <w:rsid w:val="00AA2862"/>
    <w:rsid w:val="00AA2943"/>
    <w:rsid w:val="00AA2BBB"/>
    <w:rsid w:val="00AA2C68"/>
    <w:rsid w:val="00AA2D7E"/>
    <w:rsid w:val="00AA2E5C"/>
    <w:rsid w:val="00AA2EFF"/>
    <w:rsid w:val="00AA2F9E"/>
    <w:rsid w:val="00AA2FC0"/>
    <w:rsid w:val="00AA310B"/>
    <w:rsid w:val="00AA31B6"/>
    <w:rsid w:val="00AA323E"/>
    <w:rsid w:val="00AA3315"/>
    <w:rsid w:val="00AA33E1"/>
    <w:rsid w:val="00AA354F"/>
    <w:rsid w:val="00AA3559"/>
    <w:rsid w:val="00AA3880"/>
    <w:rsid w:val="00AA3A7A"/>
    <w:rsid w:val="00AA3B28"/>
    <w:rsid w:val="00AA3B4E"/>
    <w:rsid w:val="00AA3C94"/>
    <w:rsid w:val="00AA3D39"/>
    <w:rsid w:val="00AA3FFB"/>
    <w:rsid w:val="00AA412F"/>
    <w:rsid w:val="00AA4491"/>
    <w:rsid w:val="00AA44E4"/>
    <w:rsid w:val="00AA4662"/>
    <w:rsid w:val="00AA469E"/>
    <w:rsid w:val="00AA4770"/>
    <w:rsid w:val="00AA4774"/>
    <w:rsid w:val="00AA47CA"/>
    <w:rsid w:val="00AA49B0"/>
    <w:rsid w:val="00AA4C3F"/>
    <w:rsid w:val="00AA4D54"/>
    <w:rsid w:val="00AA4DFF"/>
    <w:rsid w:val="00AA4FF9"/>
    <w:rsid w:val="00AA50CF"/>
    <w:rsid w:val="00AA5183"/>
    <w:rsid w:val="00AA5221"/>
    <w:rsid w:val="00AA5241"/>
    <w:rsid w:val="00AA5286"/>
    <w:rsid w:val="00AA5398"/>
    <w:rsid w:val="00AA542D"/>
    <w:rsid w:val="00AA5449"/>
    <w:rsid w:val="00AA54E8"/>
    <w:rsid w:val="00AA558C"/>
    <w:rsid w:val="00AA5638"/>
    <w:rsid w:val="00AA56A6"/>
    <w:rsid w:val="00AA56E9"/>
    <w:rsid w:val="00AA5782"/>
    <w:rsid w:val="00AA5A11"/>
    <w:rsid w:val="00AA5AE8"/>
    <w:rsid w:val="00AA5C10"/>
    <w:rsid w:val="00AA5C93"/>
    <w:rsid w:val="00AA5D2D"/>
    <w:rsid w:val="00AA5E59"/>
    <w:rsid w:val="00AA5F47"/>
    <w:rsid w:val="00AA60C0"/>
    <w:rsid w:val="00AA6220"/>
    <w:rsid w:val="00AA63D4"/>
    <w:rsid w:val="00AA6431"/>
    <w:rsid w:val="00AA6597"/>
    <w:rsid w:val="00AA666E"/>
    <w:rsid w:val="00AA66A8"/>
    <w:rsid w:val="00AA6714"/>
    <w:rsid w:val="00AA6795"/>
    <w:rsid w:val="00AA6814"/>
    <w:rsid w:val="00AA6C1C"/>
    <w:rsid w:val="00AA6CDB"/>
    <w:rsid w:val="00AA6E25"/>
    <w:rsid w:val="00AA6EFB"/>
    <w:rsid w:val="00AA6F2F"/>
    <w:rsid w:val="00AA6FCF"/>
    <w:rsid w:val="00AA701E"/>
    <w:rsid w:val="00AA7224"/>
    <w:rsid w:val="00AA7259"/>
    <w:rsid w:val="00AA7294"/>
    <w:rsid w:val="00AA72E9"/>
    <w:rsid w:val="00AA7418"/>
    <w:rsid w:val="00AA7508"/>
    <w:rsid w:val="00AA7674"/>
    <w:rsid w:val="00AA7733"/>
    <w:rsid w:val="00AA78D4"/>
    <w:rsid w:val="00AA79EB"/>
    <w:rsid w:val="00AA7A83"/>
    <w:rsid w:val="00AA7AA5"/>
    <w:rsid w:val="00AA7C05"/>
    <w:rsid w:val="00AA7C0E"/>
    <w:rsid w:val="00AA7CA1"/>
    <w:rsid w:val="00AA7D4B"/>
    <w:rsid w:val="00AA7EC1"/>
    <w:rsid w:val="00AB00CA"/>
    <w:rsid w:val="00AB015C"/>
    <w:rsid w:val="00AB01CC"/>
    <w:rsid w:val="00AB02D3"/>
    <w:rsid w:val="00AB02EE"/>
    <w:rsid w:val="00AB0321"/>
    <w:rsid w:val="00AB032C"/>
    <w:rsid w:val="00AB037F"/>
    <w:rsid w:val="00AB0393"/>
    <w:rsid w:val="00AB0490"/>
    <w:rsid w:val="00AB04EE"/>
    <w:rsid w:val="00AB05A2"/>
    <w:rsid w:val="00AB06C9"/>
    <w:rsid w:val="00AB06E8"/>
    <w:rsid w:val="00AB0857"/>
    <w:rsid w:val="00AB0A90"/>
    <w:rsid w:val="00AB0B82"/>
    <w:rsid w:val="00AB0DBA"/>
    <w:rsid w:val="00AB0EC0"/>
    <w:rsid w:val="00AB0EDB"/>
    <w:rsid w:val="00AB0F0D"/>
    <w:rsid w:val="00AB0FBE"/>
    <w:rsid w:val="00AB0FCD"/>
    <w:rsid w:val="00AB1060"/>
    <w:rsid w:val="00AB1092"/>
    <w:rsid w:val="00AB114D"/>
    <w:rsid w:val="00AB1176"/>
    <w:rsid w:val="00AB1259"/>
    <w:rsid w:val="00AB1313"/>
    <w:rsid w:val="00AB1460"/>
    <w:rsid w:val="00AB147C"/>
    <w:rsid w:val="00AB15C3"/>
    <w:rsid w:val="00AB173C"/>
    <w:rsid w:val="00AB1817"/>
    <w:rsid w:val="00AB18A6"/>
    <w:rsid w:val="00AB1965"/>
    <w:rsid w:val="00AB199E"/>
    <w:rsid w:val="00AB1ABC"/>
    <w:rsid w:val="00AB1AC0"/>
    <w:rsid w:val="00AB1B06"/>
    <w:rsid w:val="00AB1BC2"/>
    <w:rsid w:val="00AB1BED"/>
    <w:rsid w:val="00AB1CD3"/>
    <w:rsid w:val="00AB1E9A"/>
    <w:rsid w:val="00AB1F7D"/>
    <w:rsid w:val="00AB2203"/>
    <w:rsid w:val="00AB24F6"/>
    <w:rsid w:val="00AB283B"/>
    <w:rsid w:val="00AB2905"/>
    <w:rsid w:val="00AB2985"/>
    <w:rsid w:val="00AB29BD"/>
    <w:rsid w:val="00AB29BE"/>
    <w:rsid w:val="00AB2A23"/>
    <w:rsid w:val="00AB2A65"/>
    <w:rsid w:val="00AB2A92"/>
    <w:rsid w:val="00AB2B79"/>
    <w:rsid w:val="00AB2BB3"/>
    <w:rsid w:val="00AB2BD7"/>
    <w:rsid w:val="00AB2D12"/>
    <w:rsid w:val="00AB2E45"/>
    <w:rsid w:val="00AB30B8"/>
    <w:rsid w:val="00AB312C"/>
    <w:rsid w:val="00AB320A"/>
    <w:rsid w:val="00AB32C5"/>
    <w:rsid w:val="00AB33B3"/>
    <w:rsid w:val="00AB34B0"/>
    <w:rsid w:val="00AB352F"/>
    <w:rsid w:val="00AB38C3"/>
    <w:rsid w:val="00AB39D6"/>
    <w:rsid w:val="00AB3A7D"/>
    <w:rsid w:val="00AB3C1C"/>
    <w:rsid w:val="00AB3E3A"/>
    <w:rsid w:val="00AB3E73"/>
    <w:rsid w:val="00AB3ED1"/>
    <w:rsid w:val="00AB3F17"/>
    <w:rsid w:val="00AB44CC"/>
    <w:rsid w:val="00AB47FD"/>
    <w:rsid w:val="00AB4A80"/>
    <w:rsid w:val="00AB4AC7"/>
    <w:rsid w:val="00AB4AE1"/>
    <w:rsid w:val="00AB4AE8"/>
    <w:rsid w:val="00AB4B00"/>
    <w:rsid w:val="00AB4B52"/>
    <w:rsid w:val="00AB4C4B"/>
    <w:rsid w:val="00AB4C8C"/>
    <w:rsid w:val="00AB4D0B"/>
    <w:rsid w:val="00AB4E3D"/>
    <w:rsid w:val="00AB4FBC"/>
    <w:rsid w:val="00AB4FC7"/>
    <w:rsid w:val="00AB51B9"/>
    <w:rsid w:val="00AB545C"/>
    <w:rsid w:val="00AB54AE"/>
    <w:rsid w:val="00AB569B"/>
    <w:rsid w:val="00AB57B1"/>
    <w:rsid w:val="00AB5A4E"/>
    <w:rsid w:val="00AB5B28"/>
    <w:rsid w:val="00AB5C18"/>
    <w:rsid w:val="00AB5CA4"/>
    <w:rsid w:val="00AB5FB6"/>
    <w:rsid w:val="00AB6023"/>
    <w:rsid w:val="00AB609A"/>
    <w:rsid w:val="00AB6131"/>
    <w:rsid w:val="00AB619F"/>
    <w:rsid w:val="00AB61B8"/>
    <w:rsid w:val="00AB621A"/>
    <w:rsid w:val="00AB632F"/>
    <w:rsid w:val="00AB640D"/>
    <w:rsid w:val="00AB653C"/>
    <w:rsid w:val="00AB65E2"/>
    <w:rsid w:val="00AB65E5"/>
    <w:rsid w:val="00AB665A"/>
    <w:rsid w:val="00AB667F"/>
    <w:rsid w:val="00AB66A5"/>
    <w:rsid w:val="00AB66ED"/>
    <w:rsid w:val="00AB66FA"/>
    <w:rsid w:val="00AB6823"/>
    <w:rsid w:val="00AB6A29"/>
    <w:rsid w:val="00AB6B0B"/>
    <w:rsid w:val="00AB6BCD"/>
    <w:rsid w:val="00AB6C25"/>
    <w:rsid w:val="00AB6E9E"/>
    <w:rsid w:val="00AB7058"/>
    <w:rsid w:val="00AB72D9"/>
    <w:rsid w:val="00AB73A4"/>
    <w:rsid w:val="00AB7455"/>
    <w:rsid w:val="00AB74E0"/>
    <w:rsid w:val="00AB7596"/>
    <w:rsid w:val="00AB7752"/>
    <w:rsid w:val="00AB775A"/>
    <w:rsid w:val="00AB7881"/>
    <w:rsid w:val="00AB789F"/>
    <w:rsid w:val="00AB78CB"/>
    <w:rsid w:val="00AB78D4"/>
    <w:rsid w:val="00AB795B"/>
    <w:rsid w:val="00AB7A10"/>
    <w:rsid w:val="00AB7A9B"/>
    <w:rsid w:val="00AB7AA2"/>
    <w:rsid w:val="00AB7B51"/>
    <w:rsid w:val="00AB7D7D"/>
    <w:rsid w:val="00AB7D9D"/>
    <w:rsid w:val="00AB7E27"/>
    <w:rsid w:val="00AB7EFA"/>
    <w:rsid w:val="00AC00CA"/>
    <w:rsid w:val="00AC01FB"/>
    <w:rsid w:val="00AC0245"/>
    <w:rsid w:val="00AC03DC"/>
    <w:rsid w:val="00AC05AA"/>
    <w:rsid w:val="00AC05F4"/>
    <w:rsid w:val="00AC0696"/>
    <w:rsid w:val="00AC07B1"/>
    <w:rsid w:val="00AC085C"/>
    <w:rsid w:val="00AC0A57"/>
    <w:rsid w:val="00AC0CC2"/>
    <w:rsid w:val="00AC0D3A"/>
    <w:rsid w:val="00AC0E19"/>
    <w:rsid w:val="00AC0EF8"/>
    <w:rsid w:val="00AC0F4D"/>
    <w:rsid w:val="00AC0FEB"/>
    <w:rsid w:val="00AC1213"/>
    <w:rsid w:val="00AC141B"/>
    <w:rsid w:val="00AC14F2"/>
    <w:rsid w:val="00AC15DB"/>
    <w:rsid w:val="00AC166C"/>
    <w:rsid w:val="00AC16A9"/>
    <w:rsid w:val="00AC17C6"/>
    <w:rsid w:val="00AC1A12"/>
    <w:rsid w:val="00AC1AB6"/>
    <w:rsid w:val="00AC1B21"/>
    <w:rsid w:val="00AC1C6B"/>
    <w:rsid w:val="00AC1C94"/>
    <w:rsid w:val="00AC2028"/>
    <w:rsid w:val="00AC2279"/>
    <w:rsid w:val="00AC2305"/>
    <w:rsid w:val="00AC2331"/>
    <w:rsid w:val="00AC2386"/>
    <w:rsid w:val="00AC24F4"/>
    <w:rsid w:val="00AC25BF"/>
    <w:rsid w:val="00AC2609"/>
    <w:rsid w:val="00AC26EC"/>
    <w:rsid w:val="00AC274B"/>
    <w:rsid w:val="00AC27C5"/>
    <w:rsid w:val="00AC282A"/>
    <w:rsid w:val="00AC2927"/>
    <w:rsid w:val="00AC295F"/>
    <w:rsid w:val="00AC2A5F"/>
    <w:rsid w:val="00AC2A6E"/>
    <w:rsid w:val="00AC2CDC"/>
    <w:rsid w:val="00AC2D88"/>
    <w:rsid w:val="00AC2E00"/>
    <w:rsid w:val="00AC2F20"/>
    <w:rsid w:val="00AC2F7D"/>
    <w:rsid w:val="00AC2FAD"/>
    <w:rsid w:val="00AC2FDF"/>
    <w:rsid w:val="00AC302B"/>
    <w:rsid w:val="00AC30B8"/>
    <w:rsid w:val="00AC3288"/>
    <w:rsid w:val="00AC334D"/>
    <w:rsid w:val="00AC342A"/>
    <w:rsid w:val="00AC37F0"/>
    <w:rsid w:val="00AC3832"/>
    <w:rsid w:val="00AC385D"/>
    <w:rsid w:val="00AC3973"/>
    <w:rsid w:val="00AC39C7"/>
    <w:rsid w:val="00AC39F6"/>
    <w:rsid w:val="00AC3A07"/>
    <w:rsid w:val="00AC3B2B"/>
    <w:rsid w:val="00AC3B88"/>
    <w:rsid w:val="00AC3BBC"/>
    <w:rsid w:val="00AC3C1F"/>
    <w:rsid w:val="00AC3DCC"/>
    <w:rsid w:val="00AC3F1B"/>
    <w:rsid w:val="00AC41E4"/>
    <w:rsid w:val="00AC4201"/>
    <w:rsid w:val="00AC431B"/>
    <w:rsid w:val="00AC4328"/>
    <w:rsid w:val="00AC4349"/>
    <w:rsid w:val="00AC4441"/>
    <w:rsid w:val="00AC45A5"/>
    <w:rsid w:val="00AC45A7"/>
    <w:rsid w:val="00AC45D6"/>
    <w:rsid w:val="00AC467B"/>
    <w:rsid w:val="00AC46D5"/>
    <w:rsid w:val="00AC4764"/>
    <w:rsid w:val="00AC498A"/>
    <w:rsid w:val="00AC4AD6"/>
    <w:rsid w:val="00AC4AF3"/>
    <w:rsid w:val="00AC4B1B"/>
    <w:rsid w:val="00AC4DE2"/>
    <w:rsid w:val="00AC4E2A"/>
    <w:rsid w:val="00AC500F"/>
    <w:rsid w:val="00AC5156"/>
    <w:rsid w:val="00AC5229"/>
    <w:rsid w:val="00AC5273"/>
    <w:rsid w:val="00AC52B2"/>
    <w:rsid w:val="00AC53AB"/>
    <w:rsid w:val="00AC53B9"/>
    <w:rsid w:val="00AC548A"/>
    <w:rsid w:val="00AC552F"/>
    <w:rsid w:val="00AC559B"/>
    <w:rsid w:val="00AC57E8"/>
    <w:rsid w:val="00AC5828"/>
    <w:rsid w:val="00AC58C3"/>
    <w:rsid w:val="00AC593C"/>
    <w:rsid w:val="00AC5950"/>
    <w:rsid w:val="00AC5A30"/>
    <w:rsid w:val="00AC5A6B"/>
    <w:rsid w:val="00AC5A86"/>
    <w:rsid w:val="00AC5AC1"/>
    <w:rsid w:val="00AC5B4C"/>
    <w:rsid w:val="00AC5C17"/>
    <w:rsid w:val="00AC5CD9"/>
    <w:rsid w:val="00AC5D0F"/>
    <w:rsid w:val="00AC5E19"/>
    <w:rsid w:val="00AC6054"/>
    <w:rsid w:val="00AC60FD"/>
    <w:rsid w:val="00AC616F"/>
    <w:rsid w:val="00AC6454"/>
    <w:rsid w:val="00AC652F"/>
    <w:rsid w:val="00AC654D"/>
    <w:rsid w:val="00AC6871"/>
    <w:rsid w:val="00AC6909"/>
    <w:rsid w:val="00AC69E9"/>
    <w:rsid w:val="00AC69EF"/>
    <w:rsid w:val="00AC6B6F"/>
    <w:rsid w:val="00AC6BA2"/>
    <w:rsid w:val="00AC6C2B"/>
    <w:rsid w:val="00AC6D03"/>
    <w:rsid w:val="00AC6D36"/>
    <w:rsid w:val="00AC6D56"/>
    <w:rsid w:val="00AC6D82"/>
    <w:rsid w:val="00AC6E43"/>
    <w:rsid w:val="00AC6F60"/>
    <w:rsid w:val="00AC6F94"/>
    <w:rsid w:val="00AC7013"/>
    <w:rsid w:val="00AC705F"/>
    <w:rsid w:val="00AC7130"/>
    <w:rsid w:val="00AC71CA"/>
    <w:rsid w:val="00AC7255"/>
    <w:rsid w:val="00AC734E"/>
    <w:rsid w:val="00AC74E4"/>
    <w:rsid w:val="00AC756B"/>
    <w:rsid w:val="00AC7617"/>
    <w:rsid w:val="00AC76CF"/>
    <w:rsid w:val="00AC76D4"/>
    <w:rsid w:val="00AC7861"/>
    <w:rsid w:val="00AC78F9"/>
    <w:rsid w:val="00AC798F"/>
    <w:rsid w:val="00AC79F8"/>
    <w:rsid w:val="00AC7B4D"/>
    <w:rsid w:val="00AC7B84"/>
    <w:rsid w:val="00AC7C3B"/>
    <w:rsid w:val="00AC7C61"/>
    <w:rsid w:val="00AC7E58"/>
    <w:rsid w:val="00AC7FE9"/>
    <w:rsid w:val="00AD0066"/>
    <w:rsid w:val="00AD006F"/>
    <w:rsid w:val="00AD0082"/>
    <w:rsid w:val="00AD02D1"/>
    <w:rsid w:val="00AD0336"/>
    <w:rsid w:val="00AD04A1"/>
    <w:rsid w:val="00AD04F6"/>
    <w:rsid w:val="00AD0603"/>
    <w:rsid w:val="00AD07D3"/>
    <w:rsid w:val="00AD0859"/>
    <w:rsid w:val="00AD08A1"/>
    <w:rsid w:val="00AD09A1"/>
    <w:rsid w:val="00AD0A70"/>
    <w:rsid w:val="00AD0AA7"/>
    <w:rsid w:val="00AD0B3A"/>
    <w:rsid w:val="00AD0B41"/>
    <w:rsid w:val="00AD0CBA"/>
    <w:rsid w:val="00AD0CDB"/>
    <w:rsid w:val="00AD0EB4"/>
    <w:rsid w:val="00AD0FFE"/>
    <w:rsid w:val="00AD10A5"/>
    <w:rsid w:val="00AD10F1"/>
    <w:rsid w:val="00AD1157"/>
    <w:rsid w:val="00AD1309"/>
    <w:rsid w:val="00AD1352"/>
    <w:rsid w:val="00AD148F"/>
    <w:rsid w:val="00AD15B1"/>
    <w:rsid w:val="00AD1670"/>
    <w:rsid w:val="00AD16F7"/>
    <w:rsid w:val="00AD17B7"/>
    <w:rsid w:val="00AD198D"/>
    <w:rsid w:val="00AD1A3A"/>
    <w:rsid w:val="00AD1A5A"/>
    <w:rsid w:val="00AD1A92"/>
    <w:rsid w:val="00AD1B12"/>
    <w:rsid w:val="00AD1DC3"/>
    <w:rsid w:val="00AD2055"/>
    <w:rsid w:val="00AD22C8"/>
    <w:rsid w:val="00AD2439"/>
    <w:rsid w:val="00AD26E2"/>
    <w:rsid w:val="00AD28C9"/>
    <w:rsid w:val="00AD2973"/>
    <w:rsid w:val="00AD2B37"/>
    <w:rsid w:val="00AD2C7C"/>
    <w:rsid w:val="00AD2D62"/>
    <w:rsid w:val="00AD2D92"/>
    <w:rsid w:val="00AD2DBE"/>
    <w:rsid w:val="00AD2EC5"/>
    <w:rsid w:val="00AD2F8C"/>
    <w:rsid w:val="00AD2FAA"/>
    <w:rsid w:val="00AD2FE4"/>
    <w:rsid w:val="00AD3178"/>
    <w:rsid w:val="00AD3210"/>
    <w:rsid w:val="00AD32DE"/>
    <w:rsid w:val="00AD334F"/>
    <w:rsid w:val="00AD3375"/>
    <w:rsid w:val="00AD350D"/>
    <w:rsid w:val="00AD35DD"/>
    <w:rsid w:val="00AD377B"/>
    <w:rsid w:val="00AD386B"/>
    <w:rsid w:val="00AD3993"/>
    <w:rsid w:val="00AD3C5E"/>
    <w:rsid w:val="00AD3C80"/>
    <w:rsid w:val="00AD3CF6"/>
    <w:rsid w:val="00AD3D6E"/>
    <w:rsid w:val="00AD3DD9"/>
    <w:rsid w:val="00AD3E75"/>
    <w:rsid w:val="00AD3EC6"/>
    <w:rsid w:val="00AD3F5D"/>
    <w:rsid w:val="00AD3F79"/>
    <w:rsid w:val="00AD4226"/>
    <w:rsid w:val="00AD4247"/>
    <w:rsid w:val="00AD4305"/>
    <w:rsid w:val="00AD43F4"/>
    <w:rsid w:val="00AD44F2"/>
    <w:rsid w:val="00AD477E"/>
    <w:rsid w:val="00AD47C8"/>
    <w:rsid w:val="00AD4819"/>
    <w:rsid w:val="00AD49AD"/>
    <w:rsid w:val="00AD49AE"/>
    <w:rsid w:val="00AD49DA"/>
    <w:rsid w:val="00AD4A90"/>
    <w:rsid w:val="00AD4ABF"/>
    <w:rsid w:val="00AD4B2F"/>
    <w:rsid w:val="00AD4B35"/>
    <w:rsid w:val="00AD4D9C"/>
    <w:rsid w:val="00AD4E92"/>
    <w:rsid w:val="00AD4EAA"/>
    <w:rsid w:val="00AD4F0B"/>
    <w:rsid w:val="00AD505A"/>
    <w:rsid w:val="00AD509A"/>
    <w:rsid w:val="00AD5274"/>
    <w:rsid w:val="00AD530D"/>
    <w:rsid w:val="00AD54E4"/>
    <w:rsid w:val="00AD54EE"/>
    <w:rsid w:val="00AD560A"/>
    <w:rsid w:val="00AD5696"/>
    <w:rsid w:val="00AD573F"/>
    <w:rsid w:val="00AD59D4"/>
    <w:rsid w:val="00AD5A70"/>
    <w:rsid w:val="00AD5B60"/>
    <w:rsid w:val="00AD5B8D"/>
    <w:rsid w:val="00AD5D53"/>
    <w:rsid w:val="00AD5DF4"/>
    <w:rsid w:val="00AD5EF2"/>
    <w:rsid w:val="00AD5F51"/>
    <w:rsid w:val="00AD6094"/>
    <w:rsid w:val="00AD61A8"/>
    <w:rsid w:val="00AD61B2"/>
    <w:rsid w:val="00AD61DD"/>
    <w:rsid w:val="00AD63B6"/>
    <w:rsid w:val="00AD64F6"/>
    <w:rsid w:val="00AD662B"/>
    <w:rsid w:val="00AD6729"/>
    <w:rsid w:val="00AD6849"/>
    <w:rsid w:val="00AD6A05"/>
    <w:rsid w:val="00AD6A1F"/>
    <w:rsid w:val="00AD6B08"/>
    <w:rsid w:val="00AD6B3F"/>
    <w:rsid w:val="00AD6BDD"/>
    <w:rsid w:val="00AD6CB9"/>
    <w:rsid w:val="00AD6E6E"/>
    <w:rsid w:val="00AD7029"/>
    <w:rsid w:val="00AD7109"/>
    <w:rsid w:val="00AD7264"/>
    <w:rsid w:val="00AD7270"/>
    <w:rsid w:val="00AD747D"/>
    <w:rsid w:val="00AD757C"/>
    <w:rsid w:val="00AD7834"/>
    <w:rsid w:val="00AD7842"/>
    <w:rsid w:val="00AD784C"/>
    <w:rsid w:val="00AD7851"/>
    <w:rsid w:val="00AD79BA"/>
    <w:rsid w:val="00AD7A1F"/>
    <w:rsid w:val="00AD7A82"/>
    <w:rsid w:val="00AD7BFB"/>
    <w:rsid w:val="00AD7C76"/>
    <w:rsid w:val="00AD7CE9"/>
    <w:rsid w:val="00AD7E15"/>
    <w:rsid w:val="00AD7ED5"/>
    <w:rsid w:val="00AD7F0A"/>
    <w:rsid w:val="00AE0056"/>
    <w:rsid w:val="00AE0086"/>
    <w:rsid w:val="00AE0209"/>
    <w:rsid w:val="00AE02BB"/>
    <w:rsid w:val="00AE03CB"/>
    <w:rsid w:val="00AE0477"/>
    <w:rsid w:val="00AE0674"/>
    <w:rsid w:val="00AE067D"/>
    <w:rsid w:val="00AE0B55"/>
    <w:rsid w:val="00AE0BBB"/>
    <w:rsid w:val="00AE0BCC"/>
    <w:rsid w:val="00AE0F37"/>
    <w:rsid w:val="00AE0FE7"/>
    <w:rsid w:val="00AE1037"/>
    <w:rsid w:val="00AE10FC"/>
    <w:rsid w:val="00AE126A"/>
    <w:rsid w:val="00AE1452"/>
    <w:rsid w:val="00AE14B9"/>
    <w:rsid w:val="00AE158B"/>
    <w:rsid w:val="00AE162C"/>
    <w:rsid w:val="00AE1645"/>
    <w:rsid w:val="00AE1702"/>
    <w:rsid w:val="00AE1737"/>
    <w:rsid w:val="00AE17D6"/>
    <w:rsid w:val="00AE1853"/>
    <w:rsid w:val="00AE1895"/>
    <w:rsid w:val="00AE191F"/>
    <w:rsid w:val="00AE1BAE"/>
    <w:rsid w:val="00AE1DE3"/>
    <w:rsid w:val="00AE1EA5"/>
    <w:rsid w:val="00AE2174"/>
    <w:rsid w:val="00AE21EF"/>
    <w:rsid w:val="00AE21F9"/>
    <w:rsid w:val="00AE23E5"/>
    <w:rsid w:val="00AE23F5"/>
    <w:rsid w:val="00AE2491"/>
    <w:rsid w:val="00AE254E"/>
    <w:rsid w:val="00AE257E"/>
    <w:rsid w:val="00AE2737"/>
    <w:rsid w:val="00AE279C"/>
    <w:rsid w:val="00AE2852"/>
    <w:rsid w:val="00AE28B9"/>
    <w:rsid w:val="00AE28BD"/>
    <w:rsid w:val="00AE297A"/>
    <w:rsid w:val="00AE2A2F"/>
    <w:rsid w:val="00AE2BAB"/>
    <w:rsid w:val="00AE3005"/>
    <w:rsid w:val="00AE31CC"/>
    <w:rsid w:val="00AE32B9"/>
    <w:rsid w:val="00AE3320"/>
    <w:rsid w:val="00AE3348"/>
    <w:rsid w:val="00AE3389"/>
    <w:rsid w:val="00AE3399"/>
    <w:rsid w:val="00AE3703"/>
    <w:rsid w:val="00AE384F"/>
    <w:rsid w:val="00AE38F9"/>
    <w:rsid w:val="00AE3B22"/>
    <w:rsid w:val="00AE3BA7"/>
    <w:rsid w:val="00AE3BD5"/>
    <w:rsid w:val="00AE3C33"/>
    <w:rsid w:val="00AE3C7C"/>
    <w:rsid w:val="00AE3D6C"/>
    <w:rsid w:val="00AE3DF3"/>
    <w:rsid w:val="00AE3EB5"/>
    <w:rsid w:val="00AE407A"/>
    <w:rsid w:val="00AE433E"/>
    <w:rsid w:val="00AE4420"/>
    <w:rsid w:val="00AE445C"/>
    <w:rsid w:val="00AE4533"/>
    <w:rsid w:val="00AE45D3"/>
    <w:rsid w:val="00AE46D2"/>
    <w:rsid w:val="00AE479F"/>
    <w:rsid w:val="00AE47DF"/>
    <w:rsid w:val="00AE49C9"/>
    <w:rsid w:val="00AE49F5"/>
    <w:rsid w:val="00AE4BEB"/>
    <w:rsid w:val="00AE4C68"/>
    <w:rsid w:val="00AE4CF2"/>
    <w:rsid w:val="00AE4F9F"/>
    <w:rsid w:val="00AE5012"/>
    <w:rsid w:val="00AE5055"/>
    <w:rsid w:val="00AE51B3"/>
    <w:rsid w:val="00AE52C6"/>
    <w:rsid w:val="00AE535D"/>
    <w:rsid w:val="00AE5441"/>
    <w:rsid w:val="00AE56BE"/>
    <w:rsid w:val="00AE57E8"/>
    <w:rsid w:val="00AE598E"/>
    <w:rsid w:val="00AE59A0"/>
    <w:rsid w:val="00AE5A1E"/>
    <w:rsid w:val="00AE607D"/>
    <w:rsid w:val="00AE628E"/>
    <w:rsid w:val="00AE6381"/>
    <w:rsid w:val="00AE6523"/>
    <w:rsid w:val="00AE6530"/>
    <w:rsid w:val="00AE6551"/>
    <w:rsid w:val="00AE6611"/>
    <w:rsid w:val="00AE662C"/>
    <w:rsid w:val="00AE665C"/>
    <w:rsid w:val="00AE6709"/>
    <w:rsid w:val="00AE6767"/>
    <w:rsid w:val="00AE67EB"/>
    <w:rsid w:val="00AE689A"/>
    <w:rsid w:val="00AE68FF"/>
    <w:rsid w:val="00AE69CA"/>
    <w:rsid w:val="00AE6A5C"/>
    <w:rsid w:val="00AE6AAA"/>
    <w:rsid w:val="00AE6AEC"/>
    <w:rsid w:val="00AE6B69"/>
    <w:rsid w:val="00AE6C3B"/>
    <w:rsid w:val="00AE6C85"/>
    <w:rsid w:val="00AE6D73"/>
    <w:rsid w:val="00AE6E3D"/>
    <w:rsid w:val="00AE6E83"/>
    <w:rsid w:val="00AE7069"/>
    <w:rsid w:val="00AE7183"/>
    <w:rsid w:val="00AE71D0"/>
    <w:rsid w:val="00AE732D"/>
    <w:rsid w:val="00AE7689"/>
    <w:rsid w:val="00AE76CE"/>
    <w:rsid w:val="00AE78F7"/>
    <w:rsid w:val="00AE7955"/>
    <w:rsid w:val="00AE7A02"/>
    <w:rsid w:val="00AE7A40"/>
    <w:rsid w:val="00AE7B68"/>
    <w:rsid w:val="00AE7C1F"/>
    <w:rsid w:val="00AE7CDD"/>
    <w:rsid w:val="00AE7E2D"/>
    <w:rsid w:val="00AF00EA"/>
    <w:rsid w:val="00AF014F"/>
    <w:rsid w:val="00AF0217"/>
    <w:rsid w:val="00AF03EE"/>
    <w:rsid w:val="00AF043D"/>
    <w:rsid w:val="00AF04DC"/>
    <w:rsid w:val="00AF04F2"/>
    <w:rsid w:val="00AF05B4"/>
    <w:rsid w:val="00AF06C1"/>
    <w:rsid w:val="00AF0733"/>
    <w:rsid w:val="00AF07D3"/>
    <w:rsid w:val="00AF0813"/>
    <w:rsid w:val="00AF0814"/>
    <w:rsid w:val="00AF0847"/>
    <w:rsid w:val="00AF0A16"/>
    <w:rsid w:val="00AF0C57"/>
    <w:rsid w:val="00AF0C63"/>
    <w:rsid w:val="00AF0C86"/>
    <w:rsid w:val="00AF0D8A"/>
    <w:rsid w:val="00AF0DF7"/>
    <w:rsid w:val="00AF0EF5"/>
    <w:rsid w:val="00AF0F67"/>
    <w:rsid w:val="00AF0F70"/>
    <w:rsid w:val="00AF12E4"/>
    <w:rsid w:val="00AF143D"/>
    <w:rsid w:val="00AF15F1"/>
    <w:rsid w:val="00AF179B"/>
    <w:rsid w:val="00AF17A7"/>
    <w:rsid w:val="00AF1804"/>
    <w:rsid w:val="00AF18F4"/>
    <w:rsid w:val="00AF1946"/>
    <w:rsid w:val="00AF19CA"/>
    <w:rsid w:val="00AF1B19"/>
    <w:rsid w:val="00AF1B43"/>
    <w:rsid w:val="00AF1C1F"/>
    <w:rsid w:val="00AF1C41"/>
    <w:rsid w:val="00AF1C54"/>
    <w:rsid w:val="00AF1CA8"/>
    <w:rsid w:val="00AF1CF8"/>
    <w:rsid w:val="00AF1FDE"/>
    <w:rsid w:val="00AF226A"/>
    <w:rsid w:val="00AF2379"/>
    <w:rsid w:val="00AF2463"/>
    <w:rsid w:val="00AF258A"/>
    <w:rsid w:val="00AF26F3"/>
    <w:rsid w:val="00AF2729"/>
    <w:rsid w:val="00AF286A"/>
    <w:rsid w:val="00AF28B0"/>
    <w:rsid w:val="00AF28F3"/>
    <w:rsid w:val="00AF297B"/>
    <w:rsid w:val="00AF2A98"/>
    <w:rsid w:val="00AF2B74"/>
    <w:rsid w:val="00AF2B82"/>
    <w:rsid w:val="00AF2D29"/>
    <w:rsid w:val="00AF2DE7"/>
    <w:rsid w:val="00AF2E90"/>
    <w:rsid w:val="00AF3041"/>
    <w:rsid w:val="00AF31CD"/>
    <w:rsid w:val="00AF3314"/>
    <w:rsid w:val="00AF33FA"/>
    <w:rsid w:val="00AF35F8"/>
    <w:rsid w:val="00AF37FE"/>
    <w:rsid w:val="00AF3848"/>
    <w:rsid w:val="00AF3964"/>
    <w:rsid w:val="00AF397A"/>
    <w:rsid w:val="00AF3B11"/>
    <w:rsid w:val="00AF3BEE"/>
    <w:rsid w:val="00AF3BF2"/>
    <w:rsid w:val="00AF3C0B"/>
    <w:rsid w:val="00AF3C68"/>
    <w:rsid w:val="00AF3E05"/>
    <w:rsid w:val="00AF3E95"/>
    <w:rsid w:val="00AF3F8D"/>
    <w:rsid w:val="00AF3F9F"/>
    <w:rsid w:val="00AF40FF"/>
    <w:rsid w:val="00AF4140"/>
    <w:rsid w:val="00AF4174"/>
    <w:rsid w:val="00AF4182"/>
    <w:rsid w:val="00AF4284"/>
    <w:rsid w:val="00AF4349"/>
    <w:rsid w:val="00AF4604"/>
    <w:rsid w:val="00AF46C8"/>
    <w:rsid w:val="00AF4771"/>
    <w:rsid w:val="00AF48D5"/>
    <w:rsid w:val="00AF494A"/>
    <w:rsid w:val="00AF49A7"/>
    <w:rsid w:val="00AF49AA"/>
    <w:rsid w:val="00AF4C67"/>
    <w:rsid w:val="00AF4D63"/>
    <w:rsid w:val="00AF4D8B"/>
    <w:rsid w:val="00AF4DC0"/>
    <w:rsid w:val="00AF4EA3"/>
    <w:rsid w:val="00AF5029"/>
    <w:rsid w:val="00AF513F"/>
    <w:rsid w:val="00AF51F0"/>
    <w:rsid w:val="00AF5224"/>
    <w:rsid w:val="00AF52C1"/>
    <w:rsid w:val="00AF52F4"/>
    <w:rsid w:val="00AF5432"/>
    <w:rsid w:val="00AF551F"/>
    <w:rsid w:val="00AF55A0"/>
    <w:rsid w:val="00AF5706"/>
    <w:rsid w:val="00AF57F5"/>
    <w:rsid w:val="00AF5907"/>
    <w:rsid w:val="00AF5AD4"/>
    <w:rsid w:val="00AF5C6B"/>
    <w:rsid w:val="00AF5E6B"/>
    <w:rsid w:val="00AF5F04"/>
    <w:rsid w:val="00AF6081"/>
    <w:rsid w:val="00AF620A"/>
    <w:rsid w:val="00AF621A"/>
    <w:rsid w:val="00AF62CA"/>
    <w:rsid w:val="00AF6364"/>
    <w:rsid w:val="00AF63AA"/>
    <w:rsid w:val="00AF6578"/>
    <w:rsid w:val="00AF65B1"/>
    <w:rsid w:val="00AF661A"/>
    <w:rsid w:val="00AF6683"/>
    <w:rsid w:val="00AF6696"/>
    <w:rsid w:val="00AF66FD"/>
    <w:rsid w:val="00AF671A"/>
    <w:rsid w:val="00AF67A4"/>
    <w:rsid w:val="00AF6A43"/>
    <w:rsid w:val="00AF6AEB"/>
    <w:rsid w:val="00AF6EEB"/>
    <w:rsid w:val="00AF6EF6"/>
    <w:rsid w:val="00AF6F0A"/>
    <w:rsid w:val="00AF6F32"/>
    <w:rsid w:val="00AF6F63"/>
    <w:rsid w:val="00AF7068"/>
    <w:rsid w:val="00AF7183"/>
    <w:rsid w:val="00AF725F"/>
    <w:rsid w:val="00AF73D6"/>
    <w:rsid w:val="00AF7489"/>
    <w:rsid w:val="00AF758D"/>
    <w:rsid w:val="00AF761B"/>
    <w:rsid w:val="00AF7823"/>
    <w:rsid w:val="00AF7876"/>
    <w:rsid w:val="00AF78A7"/>
    <w:rsid w:val="00AF78EB"/>
    <w:rsid w:val="00AF7B67"/>
    <w:rsid w:val="00AF7DAF"/>
    <w:rsid w:val="00AF7DF2"/>
    <w:rsid w:val="00B001FC"/>
    <w:rsid w:val="00B002E0"/>
    <w:rsid w:val="00B00323"/>
    <w:rsid w:val="00B00476"/>
    <w:rsid w:val="00B00549"/>
    <w:rsid w:val="00B005EA"/>
    <w:rsid w:val="00B00672"/>
    <w:rsid w:val="00B00860"/>
    <w:rsid w:val="00B00921"/>
    <w:rsid w:val="00B00938"/>
    <w:rsid w:val="00B009B5"/>
    <w:rsid w:val="00B009C1"/>
    <w:rsid w:val="00B00A56"/>
    <w:rsid w:val="00B00B32"/>
    <w:rsid w:val="00B00B36"/>
    <w:rsid w:val="00B00C06"/>
    <w:rsid w:val="00B00C1B"/>
    <w:rsid w:val="00B00CCC"/>
    <w:rsid w:val="00B00E79"/>
    <w:rsid w:val="00B00EB6"/>
    <w:rsid w:val="00B00F95"/>
    <w:rsid w:val="00B00F98"/>
    <w:rsid w:val="00B011A1"/>
    <w:rsid w:val="00B011E5"/>
    <w:rsid w:val="00B014E7"/>
    <w:rsid w:val="00B0166D"/>
    <w:rsid w:val="00B016CC"/>
    <w:rsid w:val="00B01884"/>
    <w:rsid w:val="00B018AF"/>
    <w:rsid w:val="00B01AE4"/>
    <w:rsid w:val="00B01B4D"/>
    <w:rsid w:val="00B01BC6"/>
    <w:rsid w:val="00B01C86"/>
    <w:rsid w:val="00B01D51"/>
    <w:rsid w:val="00B01DDD"/>
    <w:rsid w:val="00B01EA4"/>
    <w:rsid w:val="00B01F77"/>
    <w:rsid w:val="00B01FC8"/>
    <w:rsid w:val="00B02007"/>
    <w:rsid w:val="00B02146"/>
    <w:rsid w:val="00B021A9"/>
    <w:rsid w:val="00B021FC"/>
    <w:rsid w:val="00B02266"/>
    <w:rsid w:val="00B022B7"/>
    <w:rsid w:val="00B023D2"/>
    <w:rsid w:val="00B025E4"/>
    <w:rsid w:val="00B0260F"/>
    <w:rsid w:val="00B026D3"/>
    <w:rsid w:val="00B026E6"/>
    <w:rsid w:val="00B0275A"/>
    <w:rsid w:val="00B0287E"/>
    <w:rsid w:val="00B02890"/>
    <w:rsid w:val="00B028E5"/>
    <w:rsid w:val="00B02A25"/>
    <w:rsid w:val="00B02A2A"/>
    <w:rsid w:val="00B02B82"/>
    <w:rsid w:val="00B02D7F"/>
    <w:rsid w:val="00B02E06"/>
    <w:rsid w:val="00B02F7B"/>
    <w:rsid w:val="00B03066"/>
    <w:rsid w:val="00B03211"/>
    <w:rsid w:val="00B03290"/>
    <w:rsid w:val="00B032D8"/>
    <w:rsid w:val="00B03389"/>
    <w:rsid w:val="00B033A1"/>
    <w:rsid w:val="00B0340C"/>
    <w:rsid w:val="00B03493"/>
    <w:rsid w:val="00B034A4"/>
    <w:rsid w:val="00B034ED"/>
    <w:rsid w:val="00B03506"/>
    <w:rsid w:val="00B035D3"/>
    <w:rsid w:val="00B0364C"/>
    <w:rsid w:val="00B03850"/>
    <w:rsid w:val="00B03978"/>
    <w:rsid w:val="00B0398B"/>
    <w:rsid w:val="00B03A38"/>
    <w:rsid w:val="00B03B76"/>
    <w:rsid w:val="00B03B7D"/>
    <w:rsid w:val="00B03BED"/>
    <w:rsid w:val="00B03CB3"/>
    <w:rsid w:val="00B03CB8"/>
    <w:rsid w:val="00B03D82"/>
    <w:rsid w:val="00B040CE"/>
    <w:rsid w:val="00B04145"/>
    <w:rsid w:val="00B041DD"/>
    <w:rsid w:val="00B0420E"/>
    <w:rsid w:val="00B04338"/>
    <w:rsid w:val="00B04489"/>
    <w:rsid w:val="00B04596"/>
    <w:rsid w:val="00B0463F"/>
    <w:rsid w:val="00B0466F"/>
    <w:rsid w:val="00B046A6"/>
    <w:rsid w:val="00B046B7"/>
    <w:rsid w:val="00B04860"/>
    <w:rsid w:val="00B04864"/>
    <w:rsid w:val="00B048DE"/>
    <w:rsid w:val="00B04ADB"/>
    <w:rsid w:val="00B04BD1"/>
    <w:rsid w:val="00B04D20"/>
    <w:rsid w:val="00B04D24"/>
    <w:rsid w:val="00B04D30"/>
    <w:rsid w:val="00B04D63"/>
    <w:rsid w:val="00B04DF3"/>
    <w:rsid w:val="00B04DFA"/>
    <w:rsid w:val="00B04F82"/>
    <w:rsid w:val="00B05062"/>
    <w:rsid w:val="00B050C9"/>
    <w:rsid w:val="00B051A9"/>
    <w:rsid w:val="00B05245"/>
    <w:rsid w:val="00B052D2"/>
    <w:rsid w:val="00B05328"/>
    <w:rsid w:val="00B053AE"/>
    <w:rsid w:val="00B05448"/>
    <w:rsid w:val="00B05501"/>
    <w:rsid w:val="00B057C6"/>
    <w:rsid w:val="00B057E1"/>
    <w:rsid w:val="00B05803"/>
    <w:rsid w:val="00B05A23"/>
    <w:rsid w:val="00B05D83"/>
    <w:rsid w:val="00B05E4B"/>
    <w:rsid w:val="00B05E4D"/>
    <w:rsid w:val="00B05F13"/>
    <w:rsid w:val="00B05FD9"/>
    <w:rsid w:val="00B062D0"/>
    <w:rsid w:val="00B06368"/>
    <w:rsid w:val="00B0638D"/>
    <w:rsid w:val="00B06492"/>
    <w:rsid w:val="00B06513"/>
    <w:rsid w:val="00B06571"/>
    <w:rsid w:val="00B066F0"/>
    <w:rsid w:val="00B068BA"/>
    <w:rsid w:val="00B068C3"/>
    <w:rsid w:val="00B06948"/>
    <w:rsid w:val="00B069E0"/>
    <w:rsid w:val="00B06A54"/>
    <w:rsid w:val="00B06BE6"/>
    <w:rsid w:val="00B06C2F"/>
    <w:rsid w:val="00B06D26"/>
    <w:rsid w:val="00B06E3D"/>
    <w:rsid w:val="00B06EF0"/>
    <w:rsid w:val="00B06FFA"/>
    <w:rsid w:val="00B070B0"/>
    <w:rsid w:val="00B0715D"/>
    <w:rsid w:val="00B071AB"/>
    <w:rsid w:val="00B07217"/>
    <w:rsid w:val="00B072A6"/>
    <w:rsid w:val="00B0734A"/>
    <w:rsid w:val="00B073D7"/>
    <w:rsid w:val="00B0741F"/>
    <w:rsid w:val="00B07534"/>
    <w:rsid w:val="00B07673"/>
    <w:rsid w:val="00B07681"/>
    <w:rsid w:val="00B076A5"/>
    <w:rsid w:val="00B078E4"/>
    <w:rsid w:val="00B079DC"/>
    <w:rsid w:val="00B07A78"/>
    <w:rsid w:val="00B07AC7"/>
    <w:rsid w:val="00B07B30"/>
    <w:rsid w:val="00B07B46"/>
    <w:rsid w:val="00B07B8A"/>
    <w:rsid w:val="00B07C0A"/>
    <w:rsid w:val="00B07D3D"/>
    <w:rsid w:val="00B07E75"/>
    <w:rsid w:val="00B10047"/>
    <w:rsid w:val="00B10053"/>
    <w:rsid w:val="00B1006A"/>
    <w:rsid w:val="00B1010D"/>
    <w:rsid w:val="00B1037F"/>
    <w:rsid w:val="00B103FE"/>
    <w:rsid w:val="00B10401"/>
    <w:rsid w:val="00B1056D"/>
    <w:rsid w:val="00B105E3"/>
    <w:rsid w:val="00B1068B"/>
    <w:rsid w:val="00B10705"/>
    <w:rsid w:val="00B107C9"/>
    <w:rsid w:val="00B107F5"/>
    <w:rsid w:val="00B10871"/>
    <w:rsid w:val="00B108FF"/>
    <w:rsid w:val="00B10B3F"/>
    <w:rsid w:val="00B10B44"/>
    <w:rsid w:val="00B10BA8"/>
    <w:rsid w:val="00B10BF5"/>
    <w:rsid w:val="00B10DBA"/>
    <w:rsid w:val="00B10EFB"/>
    <w:rsid w:val="00B10F64"/>
    <w:rsid w:val="00B11054"/>
    <w:rsid w:val="00B111A0"/>
    <w:rsid w:val="00B111B9"/>
    <w:rsid w:val="00B111E1"/>
    <w:rsid w:val="00B1125B"/>
    <w:rsid w:val="00B11488"/>
    <w:rsid w:val="00B115F3"/>
    <w:rsid w:val="00B11602"/>
    <w:rsid w:val="00B1161E"/>
    <w:rsid w:val="00B1185C"/>
    <w:rsid w:val="00B11A4B"/>
    <w:rsid w:val="00B11CFE"/>
    <w:rsid w:val="00B11E90"/>
    <w:rsid w:val="00B11F02"/>
    <w:rsid w:val="00B120C6"/>
    <w:rsid w:val="00B12338"/>
    <w:rsid w:val="00B123F3"/>
    <w:rsid w:val="00B12548"/>
    <w:rsid w:val="00B1259C"/>
    <w:rsid w:val="00B126A1"/>
    <w:rsid w:val="00B12717"/>
    <w:rsid w:val="00B12810"/>
    <w:rsid w:val="00B12921"/>
    <w:rsid w:val="00B129CE"/>
    <w:rsid w:val="00B12A0A"/>
    <w:rsid w:val="00B12A49"/>
    <w:rsid w:val="00B12A91"/>
    <w:rsid w:val="00B12B74"/>
    <w:rsid w:val="00B12BEB"/>
    <w:rsid w:val="00B12C1F"/>
    <w:rsid w:val="00B12E0A"/>
    <w:rsid w:val="00B12FF4"/>
    <w:rsid w:val="00B1307F"/>
    <w:rsid w:val="00B130F7"/>
    <w:rsid w:val="00B1311F"/>
    <w:rsid w:val="00B13246"/>
    <w:rsid w:val="00B13259"/>
    <w:rsid w:val="00B13328"/>
    <w:rsid w:val="00B133A0"/>
    <w:rsid w:val="00B133DE"/>
    <w:rsid w:val="00B13601"/>
    <w:rsid w:val="00B1365A"/>
    <w:rsid w:val="00B136F1"/>
    <w:rsid w:val="00B13851"/>
    <w:rsid w:val="00B13904"/>
    <w:rsid w:val="00B13926"/>
    <w:rsid w:val="00B139E7"/>
    <w:rsid w:val="00B13A9B"/>
    <w:rsid w:val="00B13AC2"/>
    <w:rsid w:val="00B13B1C"/>
    <w:rsid w:val="00B13B5F"/>
    <w:rsid w:val="00B13BB2"/>
    <w:rsid w:val="00B13E2A"/>
    <w:rsid w:val="00B13E35"/>
    <w:rsid w:val="00B13EF1"/>
    <w:rsid w:val="00B13FD4"/>
    <w:rsid w:val="00B14051"/>
    <w:rsid w:val="00B14105"/>
    <w:rsid w:val="00B14129"/>
    <w:rsid w:val="00B141A9"/>
    <w:rsid w:val="00B14289"/>
    <w:rsid w:val="00B14349"/>
    <w:rsid w:val="00B14494"/>
    <w:rsid w:val="00B144D8"/>
    <w:rsid w:val="00B1451F"/>
    <w:rsid w:val="00B14546"/>
    <w:rsid w:val="00B145CB"/>
    <w:rsid w:val="00B14645"/>
    <w:rsid w:val="00B1469C"/>
    <w:rsid w:val="00B148AF"/>
    <w:rsid w:val="00B148D2"/>
    <w:rsid w:val="00B1497E"/>
    <w:rsid w:val="00B14AC3"/>
    <w:rsid w:val="00B14AD6"/>
    <w:rsid w:val="00B14B3C"/>
    <w:rsid w:val="00B14B5F"/>
    <w:rsid w:val="00B14BBA"/>
    <w:rsid w:val="00B14D3F"/>
    <w:rsid w:val="00B14DAD"/>
    <w:rsid w:val="00B14DDC"/>
    <w:rsid w:val="00B14EBB"/>
    <w:rsid w:val="00B14F49"/>
    <w:rsid w:val="00B14FB0"/>
    <w:rsid w:val="00B150DB"/>
    <w:rsid w:val="00B152E2"/>
    <w:rsid w:val="00B152FE"/>
    <w:rsid w:val="00B15467"/>
    <w:rsid w:val="00B15677"/>
    <w:rsid w:val="00B15683"/>
    <w:rsid w:val="00B15A9A"/>
    <w:rsid w:val="00B15A9F"/>
    <w:rsid w:val="00B15BC0"/>
    <w:rsid w:val="00B15D15"/>
    <w:rsid w:val="00B15D2C"/>
    <w:rsid w:val="00B15D94"/>
    <w:rsid w:val="00B15E78"/>
    <w:rsid w:val="00B15F19"/>
    <w:rsid w:val="00B15F2A"/>
    <w:rsid w:val="00B15FDB"/>
    <w:rsid w:val="00B16166"/>
    <w:rsid w:val="00B163C1"/>
    <w:rsid w:val="00B16539"/>
    <w:rsid w:val="00B165F3"/>
    <w:rsid w:val="00B16695"/>
    <w:rsid w:val="00B166BF"/>
    <w:rsid w:val="00B1678A"/>
    <w:rsid w:val="00B16890"/>
    <w:rsid w:val="00B16986"/>
    <w:rsid w:val="00B16AB5"/>
    <w:rsid w:val="00B16ABC"/>
    <w:rsid w:val="00B16B05"/>
    <w:rsid w:val="00B16BA3"/>
    <w:rsid w:val="00B16BA5"/>
    <w:rsid w:val="00B16CB9"/>
    <w:rsid w:val="00B16CF6"/>
    <w:rsid w:val="00B16D84"/>
    <w:rsid w:val="00B16DDB"/>
    <w:rsid w:val="00B16E80"/>
    <w:rsid w:val="00B16EBC"/>
    <w:rsid w:val="00B170A5"/>
    <w:rsid w:val="00B1715E"/>
    <w:rsid w:val="00B17196"/>
    <w:rsid w:val="00B171E2"/>
    <w:rsid w:val="00B17354"/>
    <w:rsid w:val="00B175B3"/>
    <w:rsid w:val="00B1765D"/>
    <w:rsid w:val="00B176B1"/>
    <w:rsid w:val="00B1773D"/>
    <w:rsid w:val="00B1787B"/>
    <w:rsid w:val="00B17A12"/>
    <w:rsid w:val="00B17A34"/>
    <w:rsid w:val="00B17AEF"/>
    <w:rsid w:val="00B17C77"/>
    <w:rsid w:val="00B17CD0"/>
    <w:rsid w:val="00B17CE5"/>
    <w:rsid w:val="00B17D69"/>
    <w:rsid w:val="00B17E83"/>
    <w:rsid w:val="00B17F5C"/>
    <w:rsid w:val="00B2012C"/>
    <w:rsid w:val="00B201A5"/>
    <w:rsid w:val="00B201DB"/>
    <w:rsid w:val="00B201E3"/>
    <w:rsid w:val="00B201FC"/>
    <w:rsid w:val="00B20384"/>
    <w:rsid w:val="00B206A1"/>
    <w:rsid w:val="00B2081E"/>
    <w:rsid w:val="00B20A34"/>
    <w:rsid w:val="00B20B3C"/>
    <w:rsid w:val="00B20BDF"/>
    <w:rsid w:val="00B20BFC"/>
    <w:rsid w:val="00B20C1D"/>
    <w:rsid w:val="00B20CCC"/>
    <w:rsid w:val="00B20D92"/>
    <w:rsid w:val="00B20DB6"/>
    <w:rsid w:val="00B20E8C"/>
    <w:rsid w:val="00B21175"/>
    <w:rsid w:val="00B211AD"/>
    <w:rsid w:val="00B211E5"/>
    <w:rsid w:val="00B21229"/>
    <w:rsid w:val="00B21366"/>
    <w:rsid w:val="00B21446"/>
    <w:rsid w:val="00B216F5"/>
    <w:rsid w:val="00B217F5"/>
    <w:rsid w:val="00B21864"/>
    <w:rsid w:val="00B21A71"/>
    <w:rsid w:val="00B21BBA"/>
    <w:rsid w:val="00B21C5B"/>
    <w:rsid w:val="00B21E62"/>
    <w:rsid w:val="00B21ED5"/>
    <w:rsid w:val="00B21F19"/>
    <w:rsid w:val="00B21F90"/>
    <w:rsid w:val="00B21FE7"/>
    <w:rsid w:val="00B22188"/>
    <w:rsid w:val="00B22246"/>
    <w:rsid w:val="00B22291"/>
    <w:rsid w:val="00B22340"/>
    <w:rsid w:val="00B226F9"/>
    <w:rsid w:val="00B2287D"/>
    <w:rsid w:val="00B22DF3"/>
    <w:rsid w:val="00B22F22"/>
    <w:rsid w:val="00B22F2A"/>
    <w:rsid w:val="00B23004"/>
    <w:rsid w:val="00B2316F"/>
    <w:rsid w:val="00B231D6"/>
    <w:rsid w:val="00B231E0"/>
    <w:rsid w:val="00B2335D"/>
    <w:rsid w:val="00B233FD"/>
    <w:rsid w:val="00B2340C"/>
    <w:rsid w:val="00B234FC"/>
    <w:rsid w:val="00B235D2"/>
    <w:rsid w:val="00B23BDC"/>
    <w:rsid w:val="00B23DC2"/>
    <w:rsid w:val="00B23E03"/>
    <w:rsid w:val="00B23F9A"/>
    <w:rsid w:val="00B240B6"/>
    <w:rsid w:val="00B2417B"/>
    <w:rsid w:val="00B2420D"/>
    <w:rsid w:val="00B242EB"/>
    <w:rsid w:val="00B2433E"/>
    <w:rsid w:val="00B2455F"/>
    <w:rsid w:val="00B24591"/>
    <w:rsid w:val="00B245CA"/>
    <w:rsid w:val="00B245FD"/>
    <w:rsid w:val="00B24614"/>
    <w:rsid w:val="00B246B6"/>
    <w:rsid w:val="00B24780"/>
    <w:rsid w:val="00B24872"/>
    <w:rsid w:val="00B2488E"/>
    <w:rsid w:val="00B2499A"/>
    <w:rsid w:val="00B24A37"/>
    <w:rsid w:val="00B24ADF"/>
    <w:rsid w:val="00B24B1F"/>
    <w:rsid w:val="00B24B9D"/>
    <w:rsid w:val="00B24DD5"/>
    <w:rsid w:val="00B24E6F"/>
    <w:rsid w:val="00B24F23"/>
    <w:rsid w:val="00B2509C"/>
    <w:rsid w:val="00B25239"/>
    <w:rsid w:val="00B252C9"/>
    <w:rsid w:val="00B252E1"/>
    <w:rsid w:val="00B253F7"/>
    <w:rsid w:val="00B25549"/>
    <w:rsid w:val="00B2562B"/>
    <w:rsid w:val="00B25647"/>
    <w:rsid w:val="00B2568D"/>
    <w:rsid w:val="00B25759"/>
    <w:rsid w:val="00B25792"/>
    <w:rsid w:val="00B259A4"/>
    <w:rsid w:val="00B25A1A"/>
    <w:rsid w:val="00B25A30"/>
    <w:rsid w:val="00B25C29"/>
    <w:rsid w:val="00B25C2D"/>
    <w:rsid w:val="00B25CB8"/>
    <w:rsid w:val="00B25D9E"/>
    <w:rsid w:val="00B25E7F"/>
    <w:rsid w:val="00B25ECD"/>
    <w:rsid w:val="00B25F4C"/>
    <w:rsid w:val="00B2609D"/>
    <w:rsid w:val="00B26123"/>
    <w:rsid w:val="00B26179"/>
    <w:rsid w:val="00B261B5"/>
    <w:rsid w:val="00B2628D"/>
    <w:rsid w:val="00B262CC"/>
    <w:rsid w:val="00B262DF"/>
    <w:rsid w:val="00B2631C"/>
    <w:rsid w:val="00B263C0"/>
    <w:rsid w:val="00B263CB"/>
    <w:rsid w:val="00B26476"/>
    <w:rsid w:val="00B26601"/>
    <w:rsid w:val="00B266C7"/>
    <w:rsid w:val="00B2675B"/>
    <w:rsid w:val="00B2696B"/>
    <w:rsid w:val="00B26A00"/>
    <w:rsid w:val="00B26B51"/>
    <w:rsid w:val="00B26B70"/>
    <w:rsid w:val="00B26BEC"/>
    <w:rsid w:val="00B26CB5"/>
    <w:rsid w:val="00B26F17"/>
    <w:rsid w:val="00B2700A"/>
    <w:rsid w:val="00B27120"/>
    <w:rsid w:val="00B27145"/>
    <w:rsid w:val="00B2729D"/>
    <w:rsid w:val="00B273A4"/>
    <w:rsid w:val="00B27461"/>
    <w:rsid w:val="00B274AB"/>
    <w:rsid w:val="00B274E6"/>
    <w:rsid w:val="00B2752E"/>
    <w:rsid w:val="00B27568"/>
    <w:rsid w:val="00B27640"/>
    <w:rsid w:val="00B276AA"/>
    <w:rsid w:val="00B276F2"/>
    <w:rsid w:val="00B27981"/>
    <w:rsid w:val="00B279E8"/>
    <w:rsid w:val="00B27B3C"/>
    <w:rsid w:val="00B27BFD"/>
    <w:rsid w:val="00B27C20"/>
    <w:rsid w:val="00B27C6E"/>
    <w:rsid w:val="00B27D6A"/>
    <w:rsid w:val="00B27E5B"/>
    <w:rsid w:val="00B27F5A"/>
    <w:rsid w:val="00B3013F"/>
    <w:rsid w:val="00B3031F"/>
    <w:rsid w:val="00B304F9"/>
    <w:rsid w:val="00B307CC"/>
    <w:rsid w:val="00B3087B"/>
    <w:rsid w:val="00B309A5"/>
    <w:rsid w:val="00B30A9F"/>
    <w:rsid w:val="00B30B8C"/>
    <w:rsid w:val="00B30BA5"/>
    <w:rsid w:val="00B30BB7"/>
    <w:rsid w:val="00B30C94"/>
    <w:rsid w:val="00B30D96"/>
    <w:rsid w:val="00B30E02"/>
    <w:rsid w:val="00B30E0C"/>
    <w:rsid w:val="00B30E29"/>
    <w:rsid w:val="00B31041"/>
    <w:rsid w:val="00B3134B"/>
    <w:rsid w:val="00B314BA"/>
    <w:rsid w:val="00B31537"/>
    <w:rsid w:val="00B3164D"/>
    <w:rsid w:val="00B316AC"/>
    <w:rsid w:val="00B316DF"/>
    <w:rsid w:val="00B31718"/>
    <w:rsid w:val="00B317CC"/>
    <w:rsid w:val="00B31839"/>
    <w:rsid w:val="00B31A53"/>
    <w:rsid w:val="00B31BF2"/>
    <w:rsid w:val="00B31C47"/>
    <w:rsid w:val="00B31CEF"/>
    <w:rsid w:val="00B31D6D"/>
    <w:rsid w:val="00B31DF6"/>
    <w:rsid w:val="00B31EDA"/>
    <w:rsid w:val="00B31F3D"/>
    <w:rsid w:val="00B3206C"/>
    <w:rsid w:val="00B32142"/>
    <w:rsid w:val="00B32145"/>
    <w:rsid w:val="00B32376"/>
    <w:rsid w:val="00B3238C"/>
    <w:rsid w:val="00B323FB"/>
    <w:rsid w:val="00B32409"/>
    <w:rsid w:val="00B3250E"/>
    <w:rsid w:val="00B3261F"/>
    <w:rsid w:val="00B326B7"/>
    <w:rsid w:val="00B326E2"/>
    <w:rsid w:val="00B3270C"/>
    <w:rsid w:val="00B32757"/>
    <w:rsid w:val="00B327B6"/>
    <w:rsid w:val="00B3283A"/>
    <w:rsid w:val="00B32A1F"/>
    <w:rsid w:val="00B32C2B"/>
    <w:rsid w:val="00B32C6E"/>
    <w:rsid w:val="00B32CBC"/>
    <w:rsid w:val="00B32CFF"/>
    <w:rsid w:val="00B32D3D"/>
    <w:rsid w:val="00B32E3B"/>
    <w:rsid w:val="00B32F4D"/>
    <w:rsid w:val="00B32FD0"/>
    <w:rsid w:val="00B3300F"/>
    <w:rsid w:val="00B3323D"/>
    <w:rsid w:val="00B33286"/>
    <w:rsid w:val="00B332E5"/>
    <w:rsid w:val="00B3339F"/>
    <w:rsid w:val="00B333E3"/>
    <w:rsid w:val="00B333EC"/>
    <w:rsid w:val="00B33486"/>
    <w:rsid w:val="00B335DE"/>
    <w:rsid w:val="00B335F9"/>
    <w:rsid w:val="00B336B2"/>
    <w:rsid w:val="00B3378C"/>
    <w:rsid w:val="00B33ADF"/>
    <w:rsid w:val="00B33C8A"/>
    <w:rsid w:val="00B33D26"/>
    <w:rsid w:val="00B33DBC"/>
    <w:rsid w:val="00B33E55"/>
    <w:rsid w:val="00B33EA8"/>
    <w:rsid w:val="00B33F2D"/>
    <w:rsid w:val="00B33FD2"/>
    <w:rsid w:val="00B3400F"/>
    <w:rsid w:val="00B3410C"/>
    <w:rsid w:val="00B341D3"/>
    <w:rsid w:val="00B34658"/>
    <w:rsid w:val="00B34783"/>
    <w:rsid w:val="00B34795"/>
    <w:rsid w:val="00B34886"/>
    <w:rsid w:val="00B349CA"/>
    <w:rsid w:val="00B34A3E"/>
    <w:rsid w:val="00B34CF8"/>
    <w:rsid w:val="00B34CFD"/>
    <w:rsid w:val="00B34D13"/>
    <w:rsid w:val="00B34DC9"/>
    <w:rsid w:val="00B34F81"/>
    <w:rsid w:val="00B3503A"/>
    <w:rsid w:val="00B35053"/>
    <w:rsid w:val="00B35158"/>
    <w:rsid w:val="00B3517D"/>
    <w:rsid w:val="00B35185"/>
    <w:rsid w:val="00B351F2"/>
    <w:rsid w:val="00B35257"/>
    <w:rsid w:val="00B35401"/>
    <w:rsid w:val="00B35404"/>
    <w:rsid w:val="00B35406"/>
    <w:rsid w:val="00B35540"/>
    <w:rsid w:val="00B355DE"/>
    <w:rsid w:val="00B356F2"/>
    <w:rsid w:val="00B3588E"/>
    <w:rsid w:val="00B35986"/>
    <w:rsid w:val="00B35A51"/>
    <w:rsid w:val="00B35A5E"/>
    <w:rsid w:val="00B35ADF"/>
    <w:rsid w:val="00B35AFD"/>
    <w:rsid w:val="00B35B59"/>
    <w:rsid w:val="00B35BC3"/>
    <w:rsid w:val="00B35FB6"/>
    <w:rsid w:val="00B3607B"/>
    <w:rsid w:val="00B3613D"/>
    <w:rsid w:val="00B36157"/>
    <w:rsid w:val="00B3625A"/>
    <w:rsid w:val="00B3639D"/>
    <w:rsid w:val="00B364CB"/>
    <w:rsid w:val="00B36503"/>
    <w:rsid w:val="00B3670E"/>
    <w:rsid w:val="00B36710"/>
    <w:rsid w:val="00B36855"/>
    <w:rsid w:val="00B36BB5"/>
    <w:rsid w:val="00B36BED"/>
    <w:rsid w:val="00B36D7C"/>
    <w:rsid w:val="00B36ECB"/>
    <w:rsid w:val="00B3709A"/>
    <w:rsid w:val="00B372A2"/>
    <w:rsid w:val="00B372AE"/>
    <w:rsid w:val="00B3738B"/>
    <w:rsid w:val="00B373F0"/>
    <w:rsid w:val="00B37461"/>
    <w:rsid w:val="00B3753C"/>
    <w:rsid w:val="00B3770B"/>
    <w:rsid w:val="00B37724"/>
    <w:rsid w:val="00B37847"/>
    <w:rsid w:val="00B378FD"/>
    <w:rsid w:val="00B37A02"/>
    <w:rsid w:val="00B37A53"/>
    <w:rsid w:val="00B37A5C"/>
    <w:rsid w:val="00B37A7D"/>
    <w:rsid w:val="00B37AEE"/>
    <w:rsid w:val="00B37BD9"/>
    <w:rsid w:val="00B37BE7"/>
    <w:rsid w:val="00B37C29"/>
    <w:rsid w:val="00B37C72"/>
    <w:rsid w:val="00B37EE2"/>
    <w:rsid w:val="00B37F68"/>
    <w:rsid w:val="00B37FE2"/>
    <w:rsid w:val="00B400FA"/>
    <w:rsid w:val="00B40137"/>
    <w:rsid w:val="00B40315"/>
    <w:rsid w:val="00B4047E"/>
    <w:rsid w:val="00B405C8"/>
    <w:rsid w:val="00B40608"/>
    <w:rsid w:val="00B40685"/>
    <w:rsid w:val="00B408DB"/>
    <w:rsid w:val="00B409A0"/>
    <w:rsid w:val="00B40A67"/>
    <w:rsid w:val="00B40D9B"/>
    <w:rsid w:val="00B40E37"/>
    <w:rsid w:val="00B40F3F"/>
    <w:rsid w:val="00B4108F"/>
    <w:rsid w:val="00B41171"/>
    <w:rsid w:val="00B4119F"/>
    <w:rsid w:val="00B411F6"/>
    <w:rsid w:val="00B4121E"/>
    <w:rsid w:val="00B412D6"/>
    <w:rsid w:val="00B412F3"/>
    <w:rsid w:val="00B413BE"/>
    <w:rsid w:val="00B416CD"/>
    <w:rsid w:val="00B4176A"/>
    <w:rsid w:val="00B4196D"/>
    <w:rsid w:val="00B4198F"/>
    <w:rsid w:val="00B419F2"/>
    <w:rsid w:val="00B41AA9"/>
    <w:rsid w:val="00B41B4D"/>
    <w:rsid w:val="00B41BED"/>
    <w:rsid w:val="00B41CF0"/>
    <w:rsid w:val="00B41E84"/>
    <w:rsid w:val="00B41F3D"/>
    <w:rsid w:val="00B41F46"/>
    <w:rsid w:val="00B41FAB"/>
    <w:rsid w:val="00B42118"/>
    <w:rsid w:val="00B42213"/>
    <w:rsid w:val="00B42256"/>
    <w:rsid w:val="00B423AA"/>
    <w:rsid w:val="00B4241A"/>
    <w:rsid w:val="00B42443"/>
    <w:rsid w:val="00B4244F"/>
    <w:rsid w:val="00B42875"/>
    <w:rsid w:val="00B42880"/>
    <w:rsid w:val="00B42963"/>
    <w:rsid w:val="00B42AFE"/>
    <w:rsid w:val="00B42CA9"/>
    <w:rsid w:val="00B42EDC"/>
    <w:rsid w:val="00B42EDE"/>
    <w:rsid w:val="00B42F0F"/>
    <w:rsid w:val="00B42F1D"/>
    <w:rsid w:val="00B42FBF"/>
    <w:rsid w:val="00B43098"/>
    <w:rsid w:val="00B43161"/>
    <w:rsid w:val="00B431AC"/>
    <w:rsid w:val="00B431DD"/>
    <w:rsid w:val="00B431E8"/>
    <w:rsid w:val="00B4328A"/>
    <w:rsid w:val="00B432FB"/>
    <w:rsid w:val="00B432FC"/>
    <w:rsid w:val="00B43445"/>
    <w:rsid w:val="00B4363D"/>
    <w:rsid w:val="00B43746"/>
    <w:rsid w:val="00B4381C"/>
    <w:rsid w:val="00B4392A"/>
    <w:rsid w:val="00B439E6"/>
    <w:rsid w:val="00B43A51"/>
    <w:rsid w:val="00B43A7D"/>
    <w:rsid w:val="00B43AEB"/>
    <w:rsid w:val="00B43B2C"/>
    <w:rsid w:val="00B43E26"/>
    <w:rsid w:val="00B44229"/>
    <w:rsid w:val="00B442EB"/>
    <w:rsid w:val="00B44366"/>
    <w:rsid w:val="00B44694"/>
    <w:rsid w:val="00B446B6"/>
    <w:rsid w:val="00B4470D"/>
    <w:rsid w:val="00B44900"/>
    <w:rsid w:val="00B44914"/>
    <w:rsid w:val="00B44AA6"/>
    <w:rsid w:val="00B44ABB"/>
    <w:rsid w:val="00B44B31"/>
    <w:rsid w:val="00B44B9F"/>
    <w:rsid w:val="00B44BE2"/>
    <w:rsid w:val="00B44BE9"/>
    <w:rsid w:val="00B44C07"/>
    <w:rsid w:val="00B44C82"/>
    <w:rsid w:val="00B44F26"/>
    <w:rsid w:val="00B44F86"/>
    <w:rsid w:val="00B4509A"/>
    <w:rsid w:val="00B450FF"/>
    <w:rsid w:val="00B45141"/>
    <w:rsid w:val="00B4519A"/>
    <w:rsid w:val="00B45229"/>
    <w:rsid w:val="00B45284"/>
    <w:rsid w:val="00B45581"/>
    <w:rsid w:val="00B456CC"/>
    <w:rsid w:val="00B456EE"/>
    <w:rsid w:val="00B457B8"/>
    <w:rsid w:val="00B45B2F"/>
    <w:rsid w:val="00B45C4B"/>
    <w:rsid w:val="00B45DA5"/>
    <w:rsid w:val="00B45ECC"/>
    <w:rsid w:val="00B45F19"/>
    <w:rsid w:val="00B45F2C"/>
    <w:rsid w:val="00B46077"/>
    <w:rsid w:val="00B46184"/>
    <w:rsid w:val="00B461DE"/>
    <w:rsid w:val="00B464C6"/>
    <w:rsid w:val="00B464EA"/>
    <w:rsid w:val="00B46557"/>
    <w:rsid w:val="00B4655D"/>
    <w:rsid w:val="00B4663F"/>
    <w:rsid w:val="00B466CD"/>
    <w:rsid w:val="00B466E0"/>
    <w:rsid w:val="00B467FC"/>
    <w:rsid w:val="00B4685E"/>
    <w:rsid w:val="00B46972"/>
    <w:rsid w:val="00B46978"/>
    <w:rsid w:val="00B469AF"/>
    <w:rsid w:val="00B469C4"/>
    <w:rsid w:val="00B46B36"/>
    <w:rsid w:val="00B46B4F"/>
    <w:rsid w:val="00B46B61"/>
    <w:rsid w:val="00B46BF9"/>
    <w:rsid w:val="00B46C09"/>
    <w:rsid w:val="00B46C88"/>
    <w:rsid w:val="00B46CE5"/>
    <w:rsid w:val="00B46F3C"/>
    <w:rsid w:val="00B46F42"/>
    <w:rsid w:val="00B4705B"/>
    <w:rsid w:val="00B4714C"/>
    <w:rsid w:val="00B471DC"/>
    <w:rsid w:val="00B4728E"/>
    <w:rsid w:val="00B472D1"/>
    <w:rsid w:val="00B472F2"/>
    <w:rsid w:val="00B4746A"/>
    <w:rsid w:val="00B474DC"/>
    <w:rsid w:val="00B4754C"/>
    <w:rsid w:val="00B4772B"/>
    <w:rsid w:val="00B47779"/>
    <w:rsid w:val="00B478E5"/>
    <w:rsid w:val="00B47B5B"/>
    <w:rsid w:val="00B47D93"/>
    <w:rsid w:val="00B47DAC"/>
    <w:rsid w:val="00B47E46"/>
    <w:rsid w:val="00B47EF1"/>
    <w:rsid w:val="00B501E2"/>
    <w:rsid w:val="00B5034C"/>
    <w:rsid w:val="00B503DE"/>
    <w:rsid w:val="00B50438"/>
    <w:rsid w:val="00B50451"/>
    <w:rsid w:val="00B50509"/>
    <w:rsid w:val="00B505BD"/>
    <w:rsid w:val="00B50646"/>
    <w:rsid w:val="00B507D4"/>
    <w:rsid w:val="00B507E3"/>
    <w:rsid w:val="00B50873"/>
    <w:rsid w:val="00B508AD"/>
    <w:rsid w:val="00B509CA"/>
    <w:rsid w:val="00B50A2B"/>
    <w:rsid w:val="00B50BED"/>
    <w:rsid w:val="00B50C88"/>
    <w:rsid w:val="00B50DFC"/>
    <w:rsid w:val="00B50E06"/>
    <w:rsid w:val="00B50E2E"/>
    <w:rsid w:val="00B50E86"/>
    <w:rsid w:val="00B50F9C"/>
    <w:rsid w:val="00B50FF2"/>
    <w:rsid w:val="00B51057"/>
    <w:rsid w:val="00B51131"/>
    <w:rsid w:val="00B51136"/>
    <w:rsid w:val="00B51282"/>
    <w:rsid w:val="00B51427"/>
    <w:rsid w:val="00B5142C"/>
    <w:rsid w:val="00B5148F"/>
    <w:rsid w:val="00B514A8"/>
    <w:rsid w:val="00B51567"/>
    <w:rsid w:val="00B515ED"/>
    <w:rsid w:val="00B51698"/>
    <w:rsid w:val="00B517DE"/>
    <w:rsid w:val="00B51944"/>
    <w:rsid w:val="00B519CD"/>
    <w:rsid w:val="00B51A20"/>
    <w:rsid w:val="00B51AE3"/>
    <w:rsid w:val="00B51B4D"/>
    <w:rsid w:val="00B51C04"/>
    <w:rsid w:val="00B51CDA"/>
    <w:rsid w:val="00B51D7A"/>
    <w:rsid w:val="00B51DFE"/>
    <w:rsid w:val="00B51EAF"/>
    <w:rsid w:val="00B52077"/>
    <w:rsid w:val="00B522B7"/>
    <w:rsid w:val="00B522F2"/>
    <w:rsid w:val="00B522FB"/>
    <w:rsid w:val="00B52490"/>
    <w:rsid w:val="00B52497"/>
    <w:rsid w:val="00B5249D"/>
    <w:rsid w:val="00B524F4"/>
    <w:rsid w:val="00B5255A"/>
    <w:rsid w:val="00B52589"/>
    <w:rsid w:val="00B52654"/>
    <w:rsid w:val="00B526A9"/>
    <w:rsid w:val="00B526AE"/>
    <w:rsid w:val="00B526F9"/>
    <w:rsid w:val="00B5273A"/>
    <w:rsid w:val="00B52862"/>
    <w:rsid w:val="00B5287E"/>
    <w:rsid w:val="00B528C8"/>
    <w:rsid w:val="00B52943"/>
    <w:rsid w:val="00B529D8"/>
    <w:rsid w:val="00B52B62"/>
    <w:rsid w:val="00B52DE7"/>
    <w:rsid w:val="00B53043"/>
    <w:rsid w:val="00B532A8"/>
    <w:rsid w:val="00B53366"/>
    <w:rsid w:val="00B533DA"/>
    <w:rsid w:val="00B53585"/>
    <w:rsid w:val="00B536BC"/>
    <w:rsid w:val="00B536DC"/>
    <w:rsid w:val="00B53797"/>
    <w:rsid w:val="00B53A00"/>
    <w:rsid w:val="00B53C0B"/>
    <w:rsid w:val="00B53D11"/>
    <w:rsid w:val="00B53D18"/>
    <w:rsid w:val="00B53D66"/>
    <w:rsid w:val="00B53DA6"/>
    <w:rsid w:val="00B53DCE"/>
    <w:rsid w:val="00B53E6E"/>
    <w:rsid w:val="00B53F30"/>
    <w:rsid w:val="00B540FC"/>
    <w:rsid w:val="00B541BF"/>
    <w:rsid w:val="00B5438C"/>
    <w:rsid w:val="00B543DD"/>
    <w:rsid w:val="00B54498"/>
    <w:rsid w:val="00B54531"/>
    <w:rsid w:val="00B5453D"/>
    <w:rsid w:val="00B5478A"/>
    <w:rsid w:val="00B548A0"/>
    <w:rsid w:val="00B5499F"/>
    <w:rsid w:val="00B54AC0"/>
    <w:rsid w:val="00B54B38"/>
    <w:rsid w:val="00B54C0D"/>
    <w:rsid w:val="00B54C99"/>
    <w:rsid w:val="00B54E13"/>
    <w:rsid w:val="00B54E51"/>
    <w:rsid w:val="00B54E6B"/>
    <w:rsid w:val="00B5503A"/>
    <w:rsid w:val="00B55102"/>
    <w:rsid w:val="00B55166"/>
    <w:rsid w:val="00B551FF"/>
    <w:rsid w:val="00B5535B"/>
    <w:rsid w:val="00B555ED"/>
    <w:rsid w:val="00B5568C"/>
    <w:rsid w:val="00B5570A"/>
    <w:rsid w:val="00B55781"/>
    <w:rsid w:val="00B55911"/>
    <w:rsid w:val="00B559E1"/>
    <w:rsid w:val="00B55E97"/>
    <w:rsid w:val="00B56152"/>
    <w:rsid w:val="00B5621B"/>
    <w:rsid w:val="00B563C7"/>
    <w:rsid w:val="00B563FC"/>
    <w:rsid w:val="00B564F5"/>
    <w:rsid w:val="00B565A5"/>
    <w:rsid w:val="00B56617"/>
    <w:rsid w:val="00B568DA"/>
    <w:rsid w:val="00B56969"/>
    <w:rsid w:val="00B56B1C"/>
    <w:rsid w:val="00B56D6A"/>
    <w:rsid w:val="00B56D92"/>
    <w:rsid w:val="00B56D98"/>
    <w:rsid w:val="00B56FF3"/>
    <w:rsid w:val="00B56FF8"/>
    <w:rsid w:val="00B5704A"/>
    <w:rsid w:val="00B5713E"/>
    <w:rsid w:val="00B571FD"/>
    <w:rsid w:val="00B57226"/>
    <w:rsid w:val="00B572AA"/>
    <w:rsid w:val="00B57320"/>
    <w:rsid w:val="00B57321"/>
    <w:rsid w:val="00B57329"/>
    <w:rsid w:val="00B576BF"/>
    <w:rsid w:val="00B5790E"/>
    <w:rsid w:val="00B5791D"/>
    <w:rsid w:val="00B57A73"/>
    <w:rsid w:val="00B57A85"/>
    <w:rsid w:val="00B57A95"/>
    <w:rsid w:val="00B57AD3"/>
    <w:rsid w:val="00B57B66"/>
    <w:rsid w:val="00B57B6F"/>
    <w:rsid w:val="00B57C4C"/>
    <w:rsid w:val="00B57E00"/>
    <w:rsid w:val="00B57E3F"/>
    <w:rsid w:val="00B57F15"/>
    <w:rsid w:val="00B60022"/>
    <w:rsid w:val="00B600BF"/>
    <w:rsid w:val="00B6016A"/>
    <w:rsid w:val="00B60315"/>
    <w:rsid w:val="00B6057C"/>
    <w:rsid w:val="00B605AF"/>
    <w:rsid w:val="00B606AB"/>
    <w:rsid w:val="00B60705"/>
    <w:rsid w:val="00B60791"/>
    <w:rsid w:val="00B607E9"/>
    <w:rsid w:val="00B609E1"/>
    <w:rsid w:val="00B609F2"/>
    <w:rsid w:val="00B60A6E"/>
    <w:rsid w:val="00B60BC3"/>
    <w:rsid w:val="00B60D0B"/>
    <w:rsid w:val="00B60D24"/>
    <w:rsid w:val="00B60E25"/>
    <w:rsid w:val="00B60E61"/>
    <w:rsid w:val="00B60EA1"/>
    <w:rsid w:val="00B60F68"/>
    <w:rsid w:val="00B610A1"/>
    <w:rsid w:val="00B6113A"/>
    <w:rsid w:val="00B611FA"/>
    <w:rsid w:val="00B612EB"/>
    <w:rsid w:val="00B61374"/>
    <w:rsid w:val="00B613C8"/>
    <w:rsid w:val="00B61543"/>
    <w:rsid w:val="00B6156D"/>
    <w:rsid w:val="00B6157D"/>
    <w:rsid w:val="00B61605"/>
    <w:rsid w:val="00B616D0"/>
    <w:rsid w:val="00B61A29"/>
    <w:rsid w:val="00B61A6D"/>
    <w:rsid w:val="00B61AF6"/>
    <w:rsid w:val="00B61B5F"/>
    <w:rsid w:val="00B61B98"/>
    <w:rsid w:val="00B61C19"/>
    <w:rsid w:val="00B61F80"/>
    <w:rsid w:val="00B6206E"/>
    <w:rsid w:val="00B62168"/>
    <w:rsid w:val="00B62320"/>
    <w:rsid w:val="00B62372"/>
    <w:rsid w:val="00B623BA"/>
    <w:rsid w:val="00B62402"/>
    <w:rsid w:val="00B62589"/>
    <w:rsid w:val="00B62598"/>
    <w:rsid w:val="00B62615"/>
    <w:rsid w:val="00B6264C"/>
    <w:rsid w:val="00B62770"/>
    <w:rsid w:val="00B6280E"/>
    <w:rsid w:val="00B628DE"/>
    <w:rsid w:val="00B6290C"/>
    <w:rsid w:val="00B62979"/>
    <w:rsid w:val="00B62B05"/>
    <w:rsid w:val="00B62B50"/>
    <w:rsid w:val="00B62BD2"/>
    <w:rsid w:val="00B62C0A"/>
    <w:rsid w:val="00B62D57"/>
    <w:rsid w:val="00B62E8A"/>
    <w:rsid w:val="00B62F3D"/>
    <w:rsid w:val="00B6300B"/>
    <w:rsid w:val="00B631A4"/>
    <w:rsid w:val="00B6324B"/>
    <w:rsid w:val="00B635B7"/>
    <w:rsid w:val="00B636A6"/>
    <w:rsid w:val="00B63740"/>
    <w:rsid w:val="00B6393C"/>
    <w:rsid w:val="00B639B9"/>
    <w:rsid w:val="00B63AE8"/>
    <w:rsid w:val="00B63AF4"/>
    <w:rsid w:val="00B63CCC"/>
    <w:rsid w:val="00B63DD8"/>
    <w:rsid w:val="00B63E02"/>
    <w:rsid w:val="00B63F67"/>
    <w:rsid w:val="00B640C3"/>
    <w:rsid w:val="00B6429C"/>
    <w:rsid w:val="00B6431B"/>
    <w:rsid w:val="00B6434B"/>
    <w:rsid w:val="00B64358"/>
    <w:rsid w:val="00B644C1"/>
    <w:rsid w:val="00B644CB"/>
    <w:rsid w:val="00B6453F"/>
    <w:rsid w:val="00B6467B"/>
    <w:rsid w:val="00B646A7"/>
    <w:rsid w:val="00B646BF"/>
    <w:rsid w:val="00B6473C"/>
    <w:rsid w:val="00B64771"/>
    <w:rsid w:val="00B64A8B"/>
    <w:rsid w:val="00B64AA2"/>
    <w:rsid w:val="00B64B28"/>
    <w:rsid w:val="00B64B3B"/>
    <w:rsid w:val="00B64BA8"/>
    <w:rsid w:val="00B64CAB"/>
    <w:rsid w:val="00B64EC7"/>
    <w:rsid w:val="00B64F2F"/>
    <w:rsid w:val="00B64FC2"/>
    <w:rsid w:val="00B65114"/>
    <w:rsid w:val="00B65219"/>
    <w:rsid w:val="00B65407"/>
    <w:rsid w:val="00B65438"/>
    <w:rsid w:val="00B65460"/>
    <w:rsid w:val="00B654BB"/>
    <w:rsid w:val="00B655E3"/>
    <w:rsid w:val="00B658C3"/>
    <w:rsid w:val="00B65950"/>
    <w:rsid w:val="00B65991"/>
    <w:rsid w:val="00B65A5B"/>
    <w:rsid w:val="00B65A99"/>
    <w:rsid w:val="00B65B3F"/>
    <w:rsid w:val="00B65B5B"/>
    <w:rsid w:val="00B65C19"/>
    <w:rsid w:val="00B65DBA"/>
    <w:rsid w:val="00B65DE8"/>
    <w:rsid w:val="00B660ED"/>
    <w:rsid w:val="00B6618F"/>
    <w:rsid w:val="00B661C6"/>
    <w:rsid w:val="00B66497"/>
    <w:rsid w:val="00B666AE"/>
    <w:rsid w:val="00B666CF"/>
    <w:rsid w:val="00B668EF"/>
    <w:rsid w:val="00B66A19"/>
    <w:rsid w:val="00B66AA1"/>
    <w:rsid w:val="00B66D2A"/>
    <w:rsid w:val="00B66D6D"/>
    <w:rsid w:val="00B66D83"/>
    <w:rsid w:val="00B66DCB"/>
    <w:rsid w:val="00B66DD2"/>
    <w:rsid w:val="00B66E59"/>
    <w:rsid w:val="00B66E7F"/>
    <w:rsid w:val="00B66F38"/>
    <w:rsid w:val="00B67030"/>
    <w:rsid w:val="00B671E1"/>
    <w:rsid w:val="00B67291"/>
    <w:rsid w:val="00B672C0"/>
    <w:rsid w:val="00B67321"/>
    <w:rsid w:val="00B675F2"/>
    <w:rsid w:val="00B6765B"/>
    <w:rsid w:val="00B676FD"/>
    <w:rsid w:val="00B67766"/>
    <w:rsid w:val="00B677C4"/>
    <w:rsid w:val="00B677CE"/>
    <w:rsid w:val="00B678B6"/>
    <w:rsid w:val="00B67AE2"/>
    <w:rsid w:val="00B67AF9"/>
    <w:rsid w:val="00B67B14"/>
    <w:rsid w:val="00B67B58"/>
    <w:rsid w:val="00B67B99"/>
    <w:rsid w:val="00B67BE6"/>
    <w:rsid w:val="00B67D61"/>
    <w:rsid w:val="00B67FE5"/>
    <w:rsid w:val="00B70280"/>
    <w:rsid w:val="00B7029C"/>
    <w:rsid w:val="00B702D5"/>
    <w:rsid w:val="00B70457"/>
    <w:rsid w:val="00B70652"/>
    <w:rsid w:val="00B70741"/>
    <w:rsid w:val="00B7086F"/>
    <w:rsid w:val="00B7088E"/>
    <w:rsid w:val="00B70A50"/>
    <w:rsid w:val="00B70F88"/>
    <w:rsid w:val="00B7104B"/>
    <w:rsid w:val="00B71067"/>
    <w:rsid w:val="00B711C4"/>
    <w:rsid w:val="00B711EB"/>
    <w:rsid w:val="00B711F6"/>
    <w:rsid w:val="00B71212"/>
    <w:rsid w:val="00B712F8"/>
    <w:rsid w:val="00B71328"/>
    <w:rsid w:val="00B713FD"/>
    <w:rsid w:val="00B71402"/>
    <w:rsid w:val="00B71425"/>
    <w:rsid w:val="00B71560"/>
    <w:rsid w:val="00B71710"/>
    <w:rsid w:val="00B71926"/>
    <w:rsid w:val="00B719C4"/>
    <w:rsid w:val="00B71AE5"/>
    <w:rsid w:val="00B71B11"/>
    <w:rsid w:val="00B71C1A"/>
    <w:rsid w:val="00B71F59"/>
    <w:rsid w:val="00B71FE7"/>
    <w:rsid w:val="00B72126"/>
    <w:rsid w:val="00B721B9"/>
    <w:rsid w:val="00B721C6"/>
    <w:rsid w:val="00B722EE"/>
    <w:rsid w:val="00B72455"/>
    <w:rsid w:val="00B72461"/>
    <w:rsid w:val="00B724E7"/>
    <w:rsid w:val="00B72682"/>
    <w:rsid w:val="00B72766"/>
    <w:rsid w:val="00B72A05"/>
    <w:rsid w:val="00B72AC6"/>
    <w:rsid w:val="00B72AF1"/>
    <w:rsid w:val="00B72B4D"/>
    <w:rsid w:val="00B72C39"/>
    <w:rsid w:val="00B72CDD"/>
    <w:rsid w:val="00B72D11"/>
    <w:rsid w:val="00B72DC4"/>
    <w:rsid w:val="00B72DE2"/>
    <w:rsid w:val="00B72E17"/>
    <w:rsid w:val="00B72E48"/>
    <w:rsid w:val="00B72EE7"/>
    <w:rsid w:val="00B72FF9"/>
    <w:rsid w:val="00B730EF"/>
    <w:rsid w:val="00B73128"/>
    <w:rsid w:val="00B73139"/>
    <w:rsid w:val="00B731D0"/>
    <w:rsid w:val="00B73230"/>
    <w:rsid w:val="00B733B1"/>
    <w:rsid w:val="00B73505"/>
    <w:rsid w:val="00B735A2"/>
    <w:rsid w:val="00B735CF"/>
    <w:rsid w:val="00B736A4"/>
    <w:rsid w:val="00B737C7"/>
    <w:rsid w:val="00B7386F"/>
    <w:rsid w:val="00B738AB"/>
    <w:rsid w:val="00B739B7"/>
    <w:rsid w:val="00B739BF"/>
    <w:rsid w:val="00B73A16"/>
    <w:rsid w:val="00B73CB0"/>
    <w:rsid w:val="00B73CE8"/>
    <w:rsid w:val="00B73F49"/>
    <w:rsid w:val="00B740C8"/>
    <w:rsid w:val="00B740FB"/>
    <w:rsid w:val="00B7410B"/>
    <w:rsid w:val="00B74207"/>
    <w:rsid w:val="00B7420F"/>
    <w:rsid w:val="00B7424B"/>
    <w:rsid w:val="00B74288"/>
    <w:rsid w:val="00B742A3"/>
    <w:rsid w:val="00B742E9"/>
    <w:rsid w:val="00B743FA"/>
    <w:rsid w:val="00B74403"/>
    <w:rsid w:val="00B74632"/>
    <w:rsid w:val="00B747A6"/>
    <w:rsid w:val="00B74870"/>
    <w:rsid w:val="00B74928"/>
    <w:rsid w:val="00B74988"/>
    <w:rsid w:val="00B74A8E"/>
    <w:rsid w:val="00B74C00"/>
    <w:rsid w:val="00B74C74"/>
    <w:rsid w:val="00B74DE7"/>
    <w:rsid w:val="00B74E7A"/>
    <w:rsid w:val="00B74FA3"/>
    <w:rsid w:val="00B75232"/>
    <w:rsid w:val="00B75288"/>
    <w:rsid w:val="00B75298"/>
    <w:rsid w:val="00B754B5"/>
    <w:rsid w:val="00B75628"/>
    <w:rsid w:val="00B75646"/>
    <w:rsid w:val="00B7567F"/>
    <w:rsid w:val="00B7575B"/>
    <w:rsid w:val="00B75763"/>
    <w:rsid w:val="00B7579A"/>
    <w:rsid w:val="00B75840"/>
    <w:rsid w:val="00B75948"/>
    <w:rsid w:val="00B759A9"/>
    <w:rsid w:val="00B75ACC"/>
    <w:rsid w:val="00B75AF7"/>
    <w:rsid w:val="00B75E54"/>
    <w:rsid w:val="00B75F20"/>
    <w:rsid w:val="00B7615B"/>
    <w:rsid w:val="00B76287"/>
    <w:rsid w:val="00B7629E"/>
    <w:rsid w:val="00B762BD"/>
    <w:rsid w:val="00B763AB"/>
    <w:rsid w:val="00B76454"/>
    <w:rsid w:val="00B76533"/>
    <w:rsid w:val="00B76583"/>
    <w:rsid w:val="00B76630"/>
    <w:rsid w:val="00B766D6"/>
    <w:rsid w:val="00B76723"/>
    <w:rsid w:val="00B768F8"/>
    <w:rsid w:val="00B7696D"/>
    <w:rsid w:val="00B76A54"/>
    <w:rsid w:val="00B76B20"/>
    <w:rsid w:val="00B76B8B"/>
    <w:rsid w:val="00B76CC0"/>
    <w:rsid w:val="00B76CFA"/>
    <w:rsid w:val="00B76E53"/>
    <w:rsid w:val="00B76EAF"/>
    <w:rsid w:val="00B7718A"/>
    <w:rsid w:val="00B77373"/>
    <w:rsid w:val="00B77379"/>
    <w:rsid w:val="00B77582"/>
    <w:rsid w:val="00B7762B"/>
    <w:rsid w:val="00B7765B"/>
    <w:rsid w:val="00B777E7"/>
    <w:rsid w:val="00B778A2"/>
    <w:rsid w:val="00B778C8"/>
    <w:rsid w:val="00B778DB"/>
    <w:rsid w:val="00B77961"/>
    <w:rsid w:val="00B779FB"/>
    <w:rsid w:val="00B77A61"/>
    <w:rsid w:val="00B77A6E"/>
    <w:rsid w:val="00B77AE8"/>
    <w:rsid w:val="00B77B5F"/>
    <w:rsid w:val="00B77DBE"/>
    <w:rsid w:val="00B77DED"/>
    <w:rsid w:val="00B77EF6"/>
    <w:rsid w:val="00B77FEA"/>
    <w:rsid w:val="00B80064"/>
    <w:rsid w:val="00B80335"/>
    <w:rsid w:val="00B80384"/>
    <w:rsid w:val="00B803F2"/>
    <w:rsid w:val="00B80406"/>
    <w:rsid w:val="00B80431"/>
    <w:rsid w:val="00B804A3"/>
    <w:rsid w:val="00B8057B"/>
    <w:rsid w:val="00B805E2"/>
    <w:rsid w:val="00B806B1"/>
    <w:rsid w:val="00B8087C"/>
    <w:rsid w:val="00B808B2"/>
    <w:rsid w:val="00B808EE"/>
    <w:rsid w:val="00B80986"/>
    <w:rsid w:val="00B80B62"/>
    <w:rsid w:val="00B80C25"/>
    <w:rsid w:val="00B80E1E"/>
    <w:rsid w:val="00B8103A"/>
    <w:rsid w:val="00B81091"/>
    <w:rsid w:val="00B8113D"/>
    <w:rsid w:val="00B81166"/>
    <w:rsid w:val="00B81187"/>
    <w:rsid w:val="00B811DF"/>
    <w:rsid w:val="00B812C3"/>
    <w:rsid w:val="00B81306"/>
    <w:rsid w:val="00B8140C"/>
    <w:rsid w:val="00B8142B"/>
    <w:rsid w:val="00B81526"/>
    <w:rsid w:val="00B8153E"/>
    <w:rsid w:val="00B81654"/>
    <w:rsid w:val="00B817F8"/>
    <w:rsid w:val="00B81930"/>
    <w:rsid w:val="00B81937"/>
    <w:rsid w:val="00B819BB"/>
    <w:rsid w:val="00B819EB"/>
    <w:rsid w:val="00B81A63"/>
    <w:rsid w:val="00B81A69"/>
    <w:rsid w:val="00B81AA5"/>
    <w:rsid w:val="00B81AC9"/>
    <w:rsid w:val="00B81BED"/>
    <w:rsid w:val="00B81C0C"/>
    <w:rsid w:val="00B81CC3"/>
    <w:rsid w:val="00B81E30"/>
    <w:rsid w:val="00B81E74"/>
    <w:rsid w:val="00B81E95"/>
    <w:rsid w:val="00B81EBD"/>
    <w:rsid w:val="00B81ED6"/>
    <w:rsid w:val="00B81F06"/>
    <w:rsid w:val="00B81F19"/>
    <w:rsid w:val="00B81F2D"/>
    <w:rsid w:val="00B820F0"/>
    <w:rsid w:val="00B82150"/>
    <w:rsid w:val="00B82207"/>
    <w:rsid w:val="00B825B9"/>
    <w:rsid w:val="00B82623"/>
    <w:rsid w:val="00B82721"/>
    <w:rsid w:val="00B8275F"/>
    <w:rsid w:val="00B82767"/>
    <w:rsid w:val="00B82862"/>
    <w:rsid w:val="00B828FA"/>
    <w:rsid w:val="00B82B34"/>
    <w:rsid w:val="00B82C1A"/>
    <w:rsid w:val="00B82DF8"/>
    <w:rsid w:val="00B82FB1"/>
    <w:rsid w:val="00B830B2"/>
    <w:rsid w:val="00B83422"/>
    <w:rsid w:val="00B83569"/>
    <w:rsid w:val="00B8360A"/>
    <w:rsid w:val="00B83675"/>
    <w:rsid w:val="00B83739"/>
    <w:rsid w:val="00B837A9"/>
    <w:rsid w:val="00B8382B"/>
    <w:rsid w:val="00B838F8"/>
    <w:rsid w:val="00B83986"/>
    <w:rsid w:val="00B839F9"/>
    <w:rsid w:val="00B83A18"/>
    <w:rsid w:val="00B83C22"/>
    <w:rsid w:val="00B83EF0"/>
    <w:rsid w:val="00B84104"/>
    <w:rsid w:val="00B8411E"/>
    <w:rsid w:val="00B842C4"/>
    <w:rsid w:val="00B8442D"/>
    <w:rsid w:val="00B84462"/>
    <w:rsid w:val="00B8456B"/>
    <w:rsid w:val="00B84675"/>
    <w:rsid w:val="00B84721"/>
    <w:rsid w:val="00B8476E"/>
    <w:rsid w:val="00B84771"/>
    <w:rsid w:val="00B847BB"/>
    <w:rsid w:val="00B848B6"/>
    <w:rsid w:val="00B84B64"/>
    <w:rsid w:val="00B84D7D"/>
    <w:rsid w:val="00B84EF5"/>
    <w:rsid w:val="00B84F2A"/>
    <w:rsid w:val="00B851E5"/>
    <w:rsid w:val="00B852E5"/>
    <w:rsid w:val="00B8538B"/>
    <w:rsid w:val="00B854C5"/>
    <w:rsid w:val="00B85549"/>
    <w:rsid w:val="00B856B5"/>
    <w:rsid w:val="00B8593B"/>
    <w:rsid w:val="00B85946"/>
    <w:rsid w:val="00B85BEE"/>
    <w:rsid w:val="00B85D48"/>
    <w:rsid w:val="00B85E41"/>
    <w:rsid w:val="00B85E89"/>
    <w:rsid w:val="00B85F46"/>
    <w:rsid w:val="00B8605C"/>
    <w:rsid w:val="00B860E0"/>
    <w:rsid w:val="00B860F8"/>
    <w:rsid w:val="00B8644A"/>
    <w:rsid w:val="00B868F5"/>
    <w:rsid w:val="00B86905"/>
    <w:rsid w:val="00B8693D"/>
    <w:rsid w:val="00B869FD"/>
    <w:rsid w:val="00B86A3F"/>
    <w:rsid w:val="00B86F0B"/>
    <w:rsid w:val="00B870C6"/>
    <w:rsid w:val="00B870EE"/>
    <w:rsid w:val="00B8711D"/>
    <w:rsid w:val="00B8714A"/>
    <w:rsid w:val="00B87163"/>
    <w:rsid w:val="00B8746D"/>
    <w:rsid w:val="00B8755B"/>
    <w:rsid w:val="00B875EE"/>
    <w:rsid w:val="00B87619"/>
    <w:rsid w:val="00B87775"/>
    <w:rsid w:val="00B8784B"/>
    <w:rsid w:val="00B87903"/>
    <w:rsid w:val="00B879F3"/>
    <w:rsid w:val="00B879F8"/>
    <w:rsid w:val="00B87B67"/>
    <w:rsid w:val="00B87D4C"/>
    <w:rsid w:val="00B87DC7"/>
    <w:rsid w:val="00B87E1D"/>
    <w:rsid w:val="00B87FC7"/>
    <w:rsid w:val="00B87FCA"/>
    <w:rsid w:val="00B90001"/>
    <w:rsid w:val="00B901A4"/>
    <w:rsid w:val="00B90258"/>
    <w:rsid w:val="00B902BA"/>
    <w:rsid w:val="00B90397"/>
    <w:rsid w:val="00B90514"/>
    <w:rsid w:val="00B90729"/>
    <w:rsid w:val="00B907DA"/>
    <w:rsid w:val="00B90908"/>
    <w:rsid w:val="00B90ABD"/>
    <w:rsid w:val="00B90AF5"/>
    <w:rsid w:val="00B90ED8"/>
    <w:rsid w:val="00B9105A"/>
    <w:rsid w:val="00B910D6"/>
    <w:rsid w:val="00B91226"/>
    <w:rsid w:val="00B912CA"/>
    <w:rsid w:val="00B913C4"/>
    <w:rsid w:val="00B91629"/>
    <w:rsid w:val="00B9163F"/>
    <w:rsid w:val="00B91667"/>
    <w:rsid w:val="00B91823"/>
    <w:rsid w:val="00B91881"/>
    <w:rsid w:val="00B919BE"/>
    <w:rsid w:val="00B91A08"/>
    <w:rsid w:val="00B91C05"/>
    <w:rsid w:val="00B91C69"/>
    <w:rsid w:val="00B91C96"/>
    <w:rsid w:val="00B91D7D"/>
    <w:rsid w:val="00B91E89"/>
    <w:rsid w:val="00B91FFB"/>
    <w:rsid w:val="00B920FE"/>
    <w:rsid w:val="00B9220B"/>
    <w:rsid w:val="00B92313"/>
    <w:rsid w:val="00B9235A"/>
    <w:rsid w:val="00B923C5"/>
    <w:rsid w:val="00B9252E"/>
    <w:rsid w:val="00B9260B"/>
    <w:rsid w:val="00B92677"/>
    <w:rsid w:val="00B9278F"/>
    <w:rsid w:val="00B92801"/>
    <w:rsid w:val="00B928BA"/>
    <w:rsid w:val="00B9296C"/>
    <w:rsid w:val="00B9298B"/>
    <w:rsid w:val="00B92AEE"/>
    <w:rsid w:val="00B92B17"/>
    <w:rsid w:val="00B92C0D"/>
    <w:rsid w:val="00B92E13"/>
    <w:rsid w:val="00B92EE6"/>
    <w:rsid w:val="00B92F35"/>
    <w:rsid w:val="00B92FB0"/>
    <w:rsid w:val="00B92FBE"/>
    <w:rsid w:val="00B930C4"/>
    <w:rsid w:val="00B9317E"/>
    <w:rsid w:val="00B931FF"/>
    <w:rsid w:val="00B93289"/>
    <w:rsid w:val="00B93306"/>
    <w:rsid w:val="00B93420"/>
    <w:rsid w:val="00B93567"/>
    <w:rsid w:val="00B935B8"/>
    <w:rsid w:val="00B9377B"/>
    <w:rsid w:val="00B938A1"/>
    <w:rsid w:val="00B93A2A"/>
    <w:rsid w:val="00B93A34"/>
    <w:rsid w:val="00B93A6B"/>
    <w:rsid w:val="00B93B18"/>
    <w:rsid w:val="00B93D7A"/>
    <w:rsid w:val="00B93EC8"/>
    <w:rsid w:val="00B93ED4"/>
    <w:rsid w:val="00B93F78"/>
    <w:rsid w:val="00B93F9C"/>
    <w:rsid w:val="00B9400E"/>
    <w:rsid w:val="00B9403E"/>
    <w:rsid w:val="00B9405F"/>
    <w:rsid w:val="00B94114"/>
    <w:rsid w:val="00B9422F"/>
    <w:rsid w:val="00B942C7"/>
    <w:rsid w:val="00B942EB"/>
    <w:rsid w:val="00B94342"/>
    <w:rsid w:val="00B94676"/>
    <w:rsid w:val="00B9468F"/>
    <w:rsid w:val="00B946E5"/>
    <w:rsid w:val="00B94AB7"/>
    <w:rsid w:val="00B94C1D"/>
    <w:rsid w:val="00B94C27"/>
    <w:rsid w:val="00B94C5E"/>
    <w:rsid w:val="00B94C8D"/>
    <w:rsid w:val="00B94CA0"/>
    <w:rsid w:val="00B94F3E"/>
    <w:rsid w:val="00B94F70"/>
    <w:rsid w:val="00B95054"/>
    <w:rsid w:val="00B95063"/>
    <w:rsid w:val="00B95071"/>
    <w:rsid w:val="00B950BC"/>
    <w:rsid w:val="00B952CD"/>
    <w:rsid w:val="00B952DB"/>
    <w:rsid w:val="00B9536D"/>
    <w:rsid w:val="00B95457"/>
    <w:rsid w:val="00B95498"/>
    <w:rsid w:val="00B95753"/>
    <w:rsid w:val="00B9583E"/>
    <w:rsid w:val="00B9590B"/>
    <w:rsid w:val="00B9593D"/>
    <w:rsid w:val="00B95950"/>
    <w:rsid w:val="00B95951"/>
    <w:rsid w:val="00B95978"/>
    <w:rsid w:val="00B959A2"/>
    <w:rsid w:val="00B95A40"/>
    <w:rsid w:val="00B95A8A"/>
    <w:rsid w:val="00B95B39"/>
    <w:rsid w:val="00B95B67"/>
    <w:rsid w:val="00B95D69"/>
    <w:rsid w:val="00B95FDB"/>
    <w:rsid w:val="00B95FF6"/>
    <w:rsid w:val="00B960AD"/>
    <w:rsid w:val="00B961AB"/>
    <w:rsid w:val="00B961D6"/>
    <w:rsid w:val="00B9624C"/>
    <w:rsid w:val="00B962AB"/>
    <w:rsid w:val="00B9644D"/>
    <w:rsid w:val="00B965A2"/>
    <w:rsid w:val="00B9675A"/>
    <w:rsid w:val="00B96877"/>
    <w:rsid w:val="00B96975"/>
    <w:rsid w:val="00B96B0F"/>
    <w:rsid w:val="00B96C7B"/>
    <w:rsid w:val="00B96C85"/>
    <w:rsid w:val="00B96C93"/>
    <w:rsid w:val="00B96D25"/>
    <w:rsid w:val="00B96E03"/>
    <w:rsid w:val="00B96EB2"/>
    <w:rsid w:val="00B96EFE"/>
    <w:rsid w:val="00B96F4F"/>
    <w:rsid w:val="00B96FDC"/>
    <w:rsid w:val="00B970D7"/>
    <w:rsid w:val="00B9714C"/>
    <w:rsid w:val="00B971B8"/>
    <w:rsid w:val="00B97234"/>
    <w:rsid w:val="00B9740C"/>
    <w:rsid w:val="00B974CE"/>
    <w:rsid w:val="00B97639"/>
    <w:rsid w:val="00B97646"/>
    <w:rsid w:val="00B97672"/>
    <w:rsid w:val="00B97739"/>
    <w:rsid w:val="00B97942"/>
    <w:rsid w:val="00B97976"/>
    <w:rsid w:val="00B97A32"/>
    <w:rsid w:val="00B97B33"/>
    <w:rsid w:val="00B97BBD"/>
    <w:rsid w:val="00B97D84"/>
    <w:rsid w:val="00B97E52"/>
    <w:rsid w:val="00B97F52"/>
    <w:rsid w:val="00B97F6E"/>
    <w:rsid w:val="00B97FA1"/>
    <w:rsid w:val="00B97FF1"/>
    <w:rsid w:val="00BA01FE"/>
    <w:rsid w:val="00BA02DA"/>
    <w:rsid w:val="00BA053F"/>
    <w:rsid w:val="00BA06FD"/>
    <w:rsid w:val="00BA0730"/>
    <w:rsid w:val="00BA07D8"/>
    <w:rsid w:val="00BA08A6"/>
    <w:rsid w:val="00BA08BA"/>
    <w:rsid w:val="00BA095F"/>
    <w:rsid w:val="00BA0A37"/>
    <w:rsid w:val="00BA0AA9"/>
    <w:rsid w:val="00BA0B2D"/>
    <w:rsid w:val="00BA0BBE"/>
    <w:rsid w:val="00BA0C70"/>
    <w:rsid w:val="00BA0D40"/>
    <w:rsid w:val="00BA0E08"/>
    <w:rsid w:val="00BA0F6A"/>
    <w:rsid w:val="00BA0F74"/>
    <w:rsid w:val="00BA1065"/>
    <w:rsid w:val="00BA108A"/>
    <w:rsid w:val="00BA10D5"/>
    <w:rsid w:val="00BA11B1"/>
    <w:rsid w:val="00BA11D9"/>
    <w:rsid w:val="00BA125D"/>
    <w:rsid w:val="00BA1547"/>
    <w:rsid w:val="00BA16C5"/>
    <w:rsid w:val="00BA176B"/>
    <w:rsid w:val="00BA17A5"/>
    <w:rsid w:val="00BA18F4"/>
    <w:rsid w:val="00BA1ACF"/>
    <w:rsid w:val="00BA1C99"/>
    <w:rsid w:val="00BA1CF7"/>
    <w:rsid w:val="00BA1CFE"/>
    <w:rsid w:val="00BA1DB2"/>
    <w:rsid w:val="00BA1E7A"/>
    <w:rsid w:val="00BA1F72"/>
    <w:rsid w:val="00BA1F76"/>
    <w:rsid w:val="00BA1FFB"/>
    <w:rsid w:val="00BA211E"/>
    <w:rsid w:val="00BA228E"/>
    <w:rsid w:val="00BA22DF"/>
    <w:rsid w:val="00BA236B"/>
    <w:rsid w:val="00BA2489"/>
    <w:rsid w:val="00BA24A3"/>
    <w:rsid w:val="00BA2664"/>
    <w:rsid w:val="00BA277E"/>
    <w:rsid w:val="00BA2838"/>
    <w:rsid w:val="00BA2871"/>
    <w:rsid w:val="00BA28A9"/>
    <w:rsid w:val="00BA290A"/>
    <w:rsid w:val="00BA2955"/>
    <w:rsid w:val="00BA29AD"/>
    <w:rsid w:val="00BA2BA7"/>
    <w:rsid w:val="00BA2C8F"/>
    <w:rsid w:val="00BA2DE2"/>
    <w:rsid w:val="00BA2E50"/>
    <w:rsid w:val="00BA2EF9"/>
    <w:rsid w:val="00BA2FD8"/>
    <w:rsid w:val="00BA3193"/>
    <w:rsid w:val="00BA3356"/>
    <w:rsid w:val="00BA33CF"/>
    <w:rsid w:val="00BA35DF"/>
    <w:rsid w:val="00BA3693"/>
    <w:rsid w:val="00BA37F7"/>
    <w:rsid w:val="00BA3921"/>
    <w:rsid w:val="00BA3B31"/>
    <w:rsid w:val="00BA3BA7"/>
    <w:rsid w:val="00BA3CB8"/>
    <w:rsid w:val="00BA3E3F"/>
    <w:rsid w:val="00BA3E84"/>
    <w:rsid w:val="00BA3EEE"/>
    <w:rsid w:val="00BA3F5C"/>
    <w:rsid w:val="00BA3F8D"/>
    <w:rsid w:val="00BA3FA5"/>
    <w:rsid w:val="00BA3FBC"/>
    <w:rsid w:val="00BA3FC6"/>
    <w:rsid w:val="00BA4089"/>
    <w:rsid w:val="00BA409F"/>
    <w:rsid w:val="00BA4229"/>
    <w:rsid w:val="00BA42F4"/>
    <w:rsid w:val="00BA44C0"/>
    <w:rsid w:val="00BA44FF"/>
    <w:rsid w:val="00BA46A7"/>
    <w:rsid w:val="00BA4AD6"/>
    <w:rsid w:val="00BA4B71"/>
    <w:rsid w:val="00BA4C11"/>
    <w:rsid w:val="00BA4CA8"/>
    <w:rsid w:val="00BA4D10"/>
    <w:rsid w:val="00BA4D2E"/>
    <w:rsid w:val="00BA4DB2"/>
    <w:rsid w:val="00BA4ECD"/>
    <w:rsid w:val="00BA4F39"/>
    <w:rsid w:val="00BA4F61"/>
    <w:rsid w:val="00BA4FE4"/>
    <w:rsid w:val="00BA52C8"/>
    <w:rsid w:val="00BA5331"/>
    <w:rsid w:val="00BA5408"/>
    <w:rsid w:val="00BA5482"/>
    <w:rsid w:val="00BA5520"/>
    <w:rsid w:val="00BA55C4"/>
    <w:rsid w:val="00BA563F"/>
    <w:rsid w:val="00BA567E"/>
    <w:rsid w:val="00BA5754"/>
    <w:rsid w:val="00BA576D"/>
    <w:rsid w:val="00BA5808"/>
    <w:rsid w:val="00BA595E"/>
    <w:rsid w:val="00BA59CB"/>
    <w:rsid w:val="00BA5B12"/>
    <w:rsid w:val="00BA5CC8"/>
    <w:rsid w:val="00BA5CDF"/>
    <w:rsid w:val="00BA5DF4"/>
    <w:rsid w:val="00BA5FBE"/>
    <w:rsid w:val="00BA6122"/>
    <w:rsid w:val="00BA6423"/>
    <w:rsid w:val="00BA6551"/>
    <w:rsid w:val="00BA6572"/>
    <w:rsid w:val="00BA6807"/>
    <w:rsid w:val="00BA6838"/>
    <w:rsid w:val="00BA6924"/>
    <w:rsid w:val="00BA6A71"/>
    <w:rsid w:val="00BA6B5A"/>
    <w:rsid w:val="00BA6D59"/>
    <w:rsid w:val="00BA6DC4"/>
    <w:rsid w:val="00BA6ECB"/>
    <w:rsid w:val="00BA6F8D"/>
    <w:rsid w:val="00BA6FF0"/>
    <w:rsid w:val="00BA721B"/>
    <w:rsid w:val="00BA7240"/>
    <w:rsid w:val="00BA72E0"/>
    <w:rsid w:val="00BA7314"/>
    <w:rsid w:val="00BA732B"/>
    <w:rsid w:val="00BA747B"/>
    <w:rsid w:val="00BA7685"/>
    <w:rsid w:val="00BA7707"/>
    <w:rsid w:val="00BA7763"/>
    <w:rsid w:val="00BA7774"/>
    <w:rsid w:val="00BA7835"/>
    <w:rsid w:val="00BA78E8"/>
    <w:rsid w:val="00BA7935"/>
    <w:rsid w:val="00BA7945"/>
    <w:rsid w:val="00BA7A68"/>
    <w:rsid w:val="00BA7B81"/>
    <w:rsid w:val="00BA7C14"/>
    <w:rsid w:val="00BA7C17"/>
    <w:rsid w:val="00BA7F2C"/>
    <w:rsid w:val="00BA7F93"/>
    <w:rsid w:val="00BB0079"/>
    <w:rsid w:val="00BB009E"/>
    <w:rsid w:val="00BB059A"/>
    <w:rsid w:val="00BB05CB"/>
    <w:rsid w:val="00BB066B"/>
    <w:rsid w:val="00BB0835"/>
    <w:rsid w:val="00BB083B"/>
    <w:rsid w:val="00BB08E1"/>
    <w:rsid w:val="00BB0918"/>
    <w:rsid w:val="00BB0965"/>
    <w:rsid w:val="00BB09F4"/>
    <w:rsid w:val="00BB0A0A"/>
    <w:rsid w:val="00BB0B41"/>
    <w:rsid w:val="00BB0BC7"/>
    <w:rsid w:val="00BB0BD5"/>
    <w:rsid w:val="00BB0F63"/>
    <w:rsid w:val="00BB0FEE"/>
    <w:rsid w:val="00BB10BA"/>
    <w:rsid w:val="00BB10BE"/>
    <w:rsid w:val="00BB11EE"/>
    <w:rsid w:val="00BB13FA"/>
    <w:rsid w:val="00BB155D"/>
    <w:rsid w:val="00BB15DE"/>
    <w:rsid w:val="00BB164E"/>
    <w:rsid w:val="00BB16A0"/>
    <w:rsid w:val="00BB1725"/>
    <w:rsid w:val="00BB19E3"/>
    <w:rsid w:val="00BB1A41"/>
    <w:rsid w:val="00BB1A6C"/>
    <w:rsid w:val="00BB1A7A"/>
    <w:rsid w:val="00BB1B15"/>
    <w:rsid w:val="00BB1DA7"/>
    <w:rsid w:val="00BB1FCD"/>
    <w:rsid w:val="00BB20E2"/>
    <w:rsid w:val="00BB20F1"/>
    <w:rsid w:val="00BB21D7"/>
    <w:rsid w:val="00BB21DE"/>
    <w:rsid w:val="00BB225B"/>
    <w:rsid w:val="00BB2340"/>
    <w:rsid w:val="00BB2346"/>
    <w:rsid w:val="00BB2351"/>
    <w:rsid w:val="00BB25A2"/>
    <w:rsid w:val="00BB260E"/>
    <w:rsid w:val="00BB26C0"/>
    <w:rsid w:val="00BB276C"/>
    <w:rsid w:val="00BB2772"/>
    <w:rsid w:val="00BB27CB"/>
    <w:rsid w:val="00BB2835"/>
    <w:rsid w:val="00BB2964"/>
    <w:rsid w:val="00BB29A8"/>
    <w:rsid w:val="00BB2C72"/>
    <w:rsid w:val="00BB2C7C"/>
    <w:rsid w:val="00BB2D50"/>
    <w:rsid w:val="00BB2F18"/>
    <w:rsid w:val="00BB2F51"/>
    <w:rsid w:val="00BB3187"/>
    <w:rsid w:val="00BB3220"/>
    <w:rsid w:val="00BB3288"/>
    <w:rsid w:val="00BB32F3"/>
    <w:rsid w:val="00BB3443"/>
    <w:rsid w:val="00BB3514"/>
    <w:rsid w:val="00BB357F"/>
    <w:rsid w:val="00BB3716"/>
    <w:rsid w:val="00BB37E3"/>
    <w:rsid w:val="00BB39DB"/>
    <w:rsid w:val="00BB3A14"/>
    <w:rsid w:val="00BB3AC1"/>
    <w:rsid w:val="00BB3AF1"/>
    <w:rsid w:val="00BB4110"/>
    <w:rsid w:val="00BB419F"/>
    <w:rsid w:val="00BB41BC"/>
    <w:rsid w:val="00BB42AF"/>
    <w:rsid w:val="00BB4300"/>
    <w:rsid w:val="00BB43BF"/>
    <w:rsid w:val="00BB44A4"/>
    <w:rsid w:val="00BB4589"/>
    <w:rsid w:val="00BB4593"/>
    <w:rsid w:val="00BB46CE"/>
    <w:rsid w:val="00BB47E2"/>
    <w:rsid w:val="00BB47F6"/>
    <w:rsid w:val="00BB481F"/>
    <w:rsid w:val="00BB484E"/>
    <w:rsid w:val="00BB48CE"/>
    <w:rsid w:val="00BB4920"/>
    <w:rsid w:val="00BB49BB"/>
    <w:rsid w:val="00BB4B0A"/>
    <w:rsid w:val="00BB4B59"/>
    <w:rsid w:val="00BB4BE9"/>
    <w:rsid w:val="00BB4DDA"/>
    <w:rsid w:val="00BB4EAD"/>
    <w:rsid w:val="00BB4EB2"/>
    <w:rsid w:val="00BB506D"/>
    <w:rsid w:val="00BB5210"/>
    <w:rsid w:val="00BB5261"/>
    <w:rsid w:val="00BB52A6"/>
    <w:rsid w:val="00BB5561"/>
    <w:rsid w:val="00BB56F7"/>
    <w:rsid w:val="00BB57C2"/>
    <w:rsid w:val="00BB591F"/>
    <w:rsid w:val="00BB59FF"/>
    <w:rsid w:val="00BB5B95"/>
    <w:rsid w:val="00BB5B9A"/>
    <w:rsid w:val="00BB5C86"/>
    <w:rsid w:val="00BB5CC3"/>
    <w:rsid w:val="00BB5CED"/>
    <w:rsid w:val="00BB5D55"/>
    <w:rsid w:val="00BB5D9C"/>
    <w:rsid w:val="00BB5ED8"/>
    <w:rsid w:val="00BB5F2D"/>
    <w:rsid w:val="00BB5F42"/>
    <w:rsid w:val="00BB6118"/>
    <w:rsid w:val="00BB6125"/>
    <w:rsid w:val="00BB65AA"/>
    <w:rsid w:val="00BB66AD"/>
    <w:rsid w:val="00BB6842"/>
    <w:rsid w:val="00BB6950"/>
    <w:rsid w:val="00BB6A92"/>
    <w:rsid w:val="00BB6AFC"/>
    <w:rsid w:val="00BB6B1F"/>
    <w:rsid w:val="00BB6B73"/>
    <w:rsid w:val="00BB6C8C"/>
    <w:rsid w:val="00BB6CC6"/>
    <w:rsid w:val="00BB6CD0"/>
    <w:rsid w:val="00BB6D2F"/>
    <w:rsid w:val="00BB6DD3"/>
    <w:rsid w:val="00BB6E7D"/>
    <w:rsid w:val="00BB7020"/>
    <w:rsid w:val="00BB702C"/>
    <w:rsid w:val="00BB70B2"/>
    <w:rsid w:val="00BB710B"/>
    <w:rsid w:val="00BB72F8"/>
    <w:rsid w:val="00BB737B"/>
    <w:rsid w:val="00BB7418"/>
    <w:rsid w:val="00BB7501"/>
    <w:rsid w:val="00BB76CC"/>
    <w:rsid w:val="00BB7712"/>
    <w:rsid w:val="00BB7724"/>
    <w:rsid w:val="00BB7935"/>
    <w:rsid w:val="00BB7994"/>
    <w:rsid w:val="00BB7A10"/>
    <w:rsid w:val="00BB7AE4"/>
    <w:rsid w:val="00BB7B64"/>
    <w:rsid w:val="00BB7C61"/>
    <w:rsid w:val="00BB7D47"/>
    <w:rsid w:val="00BB7F0F"/>
    <w:rsid w:val="00BB7FEE"/>
    <w:rsid w:val="00BC016E"/>
    <w:rsid w:val="00BC0216"/>
    <w:rsid w:val="00BC0314"/>
    <w:rsid w:val="00BC049B"/>
    <w:rsid w:val="00BC04B6"/>
    <w:rsid w:val="00BC0524"/>
    <w:rsid w:val="00BC059D"/>
    <w:rsid w:val="00BC071C"/>
    <w:rsid w:val="00BC0753"/>
    <w:rsid w:val="00BC07E2"/>
    <w:rsid w:val="00BC084B"/>
    <w:rsid w:val="00BC085E"/>
    <w:rsid w:val="00BC0982"/>
    <w:rsid w:val="00BC09D4"/>
    <w:rsid w:val="00BC0A19"/>
    <w:rsid w:val="00BC0A25"/>
    <w:rsid w:val="00BC0B04"/>
    <w:rsid w:val="00BC0B37"/>
    <w:rsid w:val="00BC0B39"/>
    <w:rsid w:val="00BC0BA9"/>
    <w:rsid w:val="00BC0C10"/>
    <w:rsid w:val="00BC0C55"/>
    <w:rsid w:val="00BC0D85"/>
    <w:rsid w:val="00BC0D9F"/>
    <w:rsid w:val="00BC0F13"/>
    <w:rsid w:val="00BC0F79"/>
    <w:rsid w:val="00BC112D"/>
    <w:rsid w:val="00BC11D9"/>
    <w:rsid w:val="00BC11EF"/>
    <w:rsid w:val="00BC11F8"/>
    <w:rsid w:val="00BC1244"/>
    <w:rsid w:val="00BC135D"/>
    <w:rsid w:val="00BC1621"/>
    <w:rsid w:val="00BC166D"/>
    <w:rsid w:val="00BC16A4"/>
    <w:rsid w:val="00BC1768"/>
    <w:rsid w:val="00BC1975"/>
    <w:rsid w:val="00BC1B1F"/>
    <w:rsid w:val="00BC1B6E"/>
    <w:rsid w:val="00BC1BE5"/>
    <w:rsid w:val="00BC1C05"/>
    <w:rsid w:val="00BC1FD7"/>
    <w:rsid w:val="00BC2046"/>
    <w:rsid w:val="00BC21DB"/>
    <w:rsid w:val="00BC22B7"/>
    <w:rsid w:val="00BC22C0"/>
    <w:rsid w:val="00BC2332"/>
    <w:rsid w:val="00BC23C0"/>
    <w:rsid w:val="00BC23F9"/>
    <w:rsid w:val="00BC2702"/>
    <w:rsid w:val="00BC2768"/>
    <w:rsid w:val="00BC277C"/>
    <w:rsid w:val="00BC2831"/>
    <w:rsid w:val="00BC2848"/>
    <w:rsid w:val="00BC29CC"/>
    <w:rsid w:val="00BC29D6"/>
    <w:rsid w:val="00BC29FC"/>
    <w:rsid w:val="00BC2C08"/>
    <w:rsid w:val="00BC2CCB"/>
    <w:rsid w:val="00BC2DC8"/>
    <w:rsid w:val="00BC2E68"/>
    <w:rsid w:val="00BC2E92"/>
    <w:rsid w:val="00BC328A"/>
    <w:rsid w:val="00BC32B3"/>
    <w:rsid w:val="00BC32CB"/>
    <w:rsid w:val="00BC3351"/>
    <w:rsid w:val="00BC33DB"/>
    <w:rsid w:val="00BC3535"/>
    <w:rsid w:val="00BC373C"/>
    <w:rsid w:val="00BC37A9"/>
    <w:rsid w:val="00BC3857"/>
    <w:rsid w:val="00BC3BC1"/>
    <w:rsid w:val="00BC3C89"/>
    <w:rsid w:val="00BC3C93"/>
    <w:rsid w:val="00BC3CBC"/>
    <w:rsid w:val="00BC3D61"/>
    <w:rsid w:val="00BC3E5F"/>
    <w:rsid w:val="00BC3E61"/>
    <w:rsid w:val="00BC40F3"/>
    <w:rsid w:val="00BC40F8"/>
    <w:rsid w:val="00BC41F4"/>
    <w:rsid w:val="00BC42CC"/>
    <w:rsid w:val="00BC42CF"/>
    <w:rsid w:val="00BC43E5"/>
    <w:rsid w:val="00BC44A6"/>
    <w:rsid w:val="00BC457C"/>
    <w:rsid w:val="00BC47D9"/>
    <w:rsid w:val="00BC481D"/>
    <w:rsid w:val="00BC4ABD"/>
    <w:rsid w:val="00BC4B06"/>
    <w:rsid w:val="00BC4C02"/>
    <w:rsid w:val="00BC4E5B"/>
    <w:rsid w:val="00BC4ED1"/>
    <w:rsid w:val="00BC4F06"/>
    <w:rsid w:val="00BC4F2E"/>
    <w:rsid w:val="00BC502F"/>
    <w:rsid w:val="00BC5033"/>
    <w:rsid w:val="00BC5073"/>
    <w:rsid w:val="00BC50E9"/>
    <w:rsid w:val="00BC50F7"/>
    <w:rsid w:val="00BC5534"/>
    <w:rsid w:val="00BC563D"/>
    <w:rsid w:val="00BC584C"/>
    <w:rsid w:val="00BC58C6"/>
    <w:rsid w:val="00BC595C"/>
    <w:rsid w:val="00BC5988"/>
    <w:rsid w:val="00BC5A99"/>
    <w:rsid w:val="00BC5BE1"/>
    <w:rsid w:val="00BC5E30"/>
    <w:rsid w:val="00BC5EA0"/>
    <w:rsid w:val="00BC60BE"/>
    <w:rsid w:val="00BC622C"/>
    <w:rsid w:val="00BC628E"/>
    <w:rsid w:val="00BC6335"/>
    <w:rsid w:val="00BC6591"/>
    <w:rsid w:val="00BC6633"/>
    <w:rsid w:val="00BC66A7"/>
    <w:rsid w:val="00BC682B"/>
    <w:rsid w:val="00BC68BF"/>
    <w:rsid w:val="00BC6A07"/>
    <w:rsid w:val="00BC6A97"/>
    <w:rsid w:val="00BC6D55"/>
    <w:rsid w:val="00BC7114"/>
    <w:rsid w:val="00BC71F5"/>
    <w:rsid w:val="00BC7254"/>
    <w:rsid w:val="00BC7465"/>
    <w:rsid w:val="00BC7468"/>
    <w:rsid w:val="00BC753E"/>
    <w:rsid w:val="00BC75FE"/>
    <w:rsid w:val="00BC76E1"/>
    <w:rsid w:val="00BC7746"/>
    <w:rsid w:val="00BC77F7"/>
    <w:rsid w:val="00BC7926"/>
    <w:rsid w:val="00BC79ED"/>
    <w:rsid w:val="00BC79FC"/>
    <w:rsid w:val="00BC7AFD"/>
    <w:rsid w:val="00BC7B30"/>
    <w:rsid w:val="00BC7B6C"/>
    <w:rsid w:val="00BC7CC4"/>
    <w:rsid w:val="00BC7D4F"/>
    <w:rsid w:val="00BC7E7E"/>
    <w:rsid w:val="00BC7EA4"/>
    <w:rsid w:val="00BC7ED7"/>
    <w:rsid w:val="00BD00F2"/>
    <w:rsid w:val="00BD0137"/>
    <w:rsid w:val="00BD01BE"/>
    <w:rsid w:val="00BD01C6"/>
    <w:rsid w:val="00BD039F"/>
    <w:rsid w:val="00BD0409"/>
    <w:rsid w:val="00BD05E2"/>
    <w:rsid w:val="00BD068F"/>
    <w:rsid w:val="00BD085D"/>
    <w:rsid w:val="00BD08BF"/>
    <w:rsid w:val="00BD0A56"/>
    <w:rsid w:val="00BD0AAA"/>
    <w:rsid w:val="00BD0F36"/>
    <w:rsid w:val="00BD11B7"/>
    <w:rsid w:val="00BD125B"/>
    <w:rsid w:val="00BD12A5"/>
    <w:rsid w:val="00BD141D"/>
    <w:rsid w:val="00BD14F9"/>
    <w:rsid w:val="00BD1572"/>
    <w:rsid w:val="00BD1576"/>
    <w:rsid w:val="00BD159F"/>
    <w:rsid w:val="00BD15B9"/>
    <w:rsid w:val="00BD1632"/>
    <w:rsid w:val="00BD1646"/>
    <w:rsid w:val="00BD1653"/>
    <w:rsid w:val="00BD16FF"/>
    <w:rsid w:val="00BD1744"/>
    <w:rsid w:val="00BD18C1"/>
    <w:rsid w:val="00BD198E"/>
    <w:rsid w:val="00BD19A8"/>
    <w:rsid w:val="00BD1A7D"/>
    <w:rsid w:val="00BD1ACB"/>
    <w:rsid w:val="00BD1B4C"/>
    <w:rsid w:val="00BD1B90"/>
    <w:rsid w:val="00BD1BE3"/>
    <w:rsid w:val="00BD1C98"/>
    <w:rsid w:val="00BD1CAC"/>
    <w:rsid w:val="00BD1CCF"/>
    <w:rsid w:val="00BD1CE6"/>
    <w:rsid w:val="00BD1D72"/>
    <w:rsid w:val="00BD1DC2"/>
    <w:rsid w:val="00BD1ED3"/>
    <w:rsid w:val="00BD1F78"/>
    <w:rsid w:val="00BD1FEF"/>
    <w:rsid w:val="00BD20C7"/>
    <w:rsid w:val="00BD20EE"/>
    <w:rsid w:val="00BD20F0"/>
    <w:rsid w:val="00BD2164"/>
    <w:rsid w:val="00BD2192"/>
    <w:rsid w:val="00BD22F7"/>
    <w:rsid w:val="00BD2379"/>
    <w:rsid w:val="00BD23DB"/>
    <w:rsid w:val="00BD24DE"/>
    <w:rsid w:val="00BD24E9"/>
    <w:rsid w:val="00BD2600"/>
    <w:rsid w:val="00BD2644"/>
    <w:rsid w:val="00BD26B1"/>
    <w:rsid w:val="00BD2780"/>
    <w:rsid w:val="00BD2801"/>
    <w:rsid w:val="00BD2850"/>
    <w:rsid w:val="00BD28C2"/>
    <w:rsid w:val="00BD2A91"/>
    <w:rsid w:val="00BD2B0C"/>
    <w:rsid w:val="00BD2B8A"/>
    <w:rsid w:val="00BD2CFF"/>
    <w:rsid w:val="00BD2D6F"/>
    <w:rsid w:val="00BD2D8A"/>
    <w:rsid w:val="00BD2E90"/>
    <w:rsid w:val="00BD2EF1"/>
    <w:rsid w:val="00BD30AB"/>
    <w:rsid w:val="00BD30D7"/>
    <w:rsid w:val="00BD30EC"/>
    <w:rsid w:val="00BD3105"/>
    <w:rsid w:val="00BD3203"/>
    <w:rsid w:val="00BD35CF"/>
    <w:rsid w:val="00BD36A3"/>
    <w:rsid w:val="00BD36A6"/>
    <w:rsid w:val="00BD37AF"/>
    <w:rsid w:val="00BD37E4"/>
    <w:rsid w:val="00BD3B4F"/>
    <w:rsid w:val="00BD3BB6"/>
    <w:rsid w:val="00BD3BD8"/>
    <w:rsid w:val="00BD3BDC"/>
    <w:rsid w:val="00BD3E8E"/>
    <w:rsid w:val="00BD3FDD"/>
    <w:rsid w:val="00BD404E"/>
    <w:rsid w:val="00BD4111"/>
    <w:rsid w:val="00BD459E"/>
    <w:rsid w:val="00BD4642"/>
    <w:rsid w:val="00BD4693"/>
    <w:rsid w:val="00BD471B"/>
    <w:rsid w:val="00BD47FB"/>
    <w:rsid w:val="00BD4830"/>
    <w:rsid w:val="00BD4976"/>
    <w:rsid w:val="00BD49E0"/>
    <w:rsid w:val="00BD4A3F"/>
    <w:rsid w:val="00BD4A5B"/>
    <w:rsid w:val="00BD4B65"/>
    <w:rsid w:val="00BD4B80"/>
    <w:rsid w:val="00BD4BEE"/>
    <w:rsid w:val="00BD4BF4"/>
    <w:rsid w:val="00BD4C25"/>
    <w:rsid w:val="00BD4C2D"/>
    <w:rsid w:val="00BD4C5E"/>
    <w:rsid w:val="00BD4C71"/>
    <w:rsid w:val="00BD4EF9"/>
    <w:rsid w:val="00BD4F55"/>
    <w:rsid w:val="00BD4FA7"/>
    <w:rsid w:val="00BD525C"/>
    <w:rsid w:val="00BD5341"/>
    <w:rsid w:val="00BD544A"/>
    <w:rsid w:val="00BD5483"/>
    <w:rsid w:val="00BD55DA"/>
    <w:rsid w:val="00BD55FA"/>
    <w:rsid w:val="00BD565E"/>
    <w:rsid w:val="00BD5739"/>
    <w:rsid w:val="00BD5A12"/>
    <w:rsid w:val="00BD5A8D"/>
    <w:rsid w:val="00BD5D1A"/>
    <w:rsid w:val="00BD5DD0"/>
    <w:rsid w:val="00BD5FA8"/>
    <w:rsid w:val="00BD610E"/>
    <w:rsid w:val="00BD6404"/>
    <w:rsid w:val="00BD6405"/>
    <w:rsid w:val="00BD6540"/>
    <w:rsid w:val="00BD6607"/>
    <w:rsid w:val="00BD6692"/>
    <w:rsid w:val="00BD66B6"/>
    <w:rsid w:val="00BD68A5"/>
    <w:rsid w:val="00BD68A7"/>
    <w:rsid w:val="00BD68D1"/>
    <w:rsid w:val="00BD6962"/>
    <w:rsid w:val="00BD6F53"/>
    <w:rsid w:val="00BD6F78"/>
    <w:rsid w:val="00BD70D6"/>
    <w:rsid w:val="00BD71CF"/>
    <w:rsid w:val="00BD7301"/>
    <w:rsid w:val="00BD7310"/>
    <w:rsid w:val="00BD7327"/>
    <w:rsid w:val="00BD732F"/>
    <w:rsid w:val="00BD7372"/>
    <w:rsid w:val="00BD7464"/>
    <w:rsid w:val="00BD7490"/>
    <w:rsid w:val="00BD75B5"/>
    <w:rsid w:val="00BD75CA"/>
    <w:rsid w:val="00BD7701"/>
    <w:rsid w:val="00BD7707"/>
    <w:rsid w:val="00BD7918"/>
    <w:rsid w:val="00BD791E"/>
    <w:rsid w:val="00BD79C8"/>
    <w:rsid w:val="00BD7A26"/>
    <w:rsid w:val="00BD7CB1"/>
    <w:rsid w:val="00BD7E88"/>
    <w:rsid w:val="00BE0035"/>
    <w:rsid w:val="00BE00BF"/>
    <w:rsid w:val="00BE01F2"/>
    <w:rsid w:val="00BE020D"/>
    <w:rsid w:val="00BE0294"/>
    <w:rsid w:val="00BE0301"/>
    <w:rsid w:val="00BE034F"/>
    <w:rsid w:val="00BE03CB"/>
    <w:rsid w:val="00BE049C"/>
    <w:rsid w:val="00BE04C5"/>
    <w:rsid w:val="00BE0578"/>
    <w:rsid w:val="00BE05B8"/>
    <w:rsid w:val="00BE06B4"/>
    <w:rsid w:val="00BE08B4"/>
    <w:rsid w:val="00BE08FC"/>
    <w:rsid w:val="00BE096E"/>
    <w:rsid w:val="00BE0A7A"/>
    <w:rsid w:val="00BE0AC6"/>
    <w:rsid w:val="00BE0BDF"/>
    <w:rsid w:val="00BE0BFC"/>
    <w:rsid w:val="00BE0C92"/>
    <w:rsid w:val="00BE0CC7"/>
    <w:rsid w:val="00BE0DE6"/>
    <w:rsid w:val="00BE0E67"/>
    <w:rsid w:val="00BE0F7A"/>
    <w:rsid w:val="00BE10E8"/>
    <w:rsid w:val="00BE13E2"/>
    <w:rsid w:val="00BE140B"/>
    <w:rsid w:val="00BE140F"/>
    <w:rsid w:val="00BE1430"/>
    <w:rsid w:val="00BE14A3"/>
    <w:rsid w:val="00BE157D"/>
    <w:rsid w:val="00BE160C"/>
    <w:rsid w:val="00BE163D"/>
    <w:rsid w:val="00BE1702"/>
    <w:rsid w:val="00BE1794"/>
    <w:rsid w:val="00BE1853"/>
    <w:rsid w:val="00BE1896"/>
    <w:rsid w:val="00BE1973"/>
    <w:rsid w:val="00BE197E"/>
    <w:rsid w:val="00BE19AE"/>
    <w:rsid w:val="00BE19C2"/>
    <w:rsid w:val="00BE1A80"/>
    <w:rsid w:val="00BE1ABA"/>
    <w:rsid w:val="00BE1B99"/>
    <w:rsid w:val="00BE1D64"/>
    <w:rsid w:val="00BE1E38"/>
    <w:rsid w:val="00BE1F8C"/>
    <w:rsid w:val="00BE207F"/>
    <w:rsid w:val="00BE20D4"/>
    <w:rsid w:val="00BE23BF"/>
    <w:rsid w:val="00BE2434"/>
    <w:rsid w:val="00BE2464"/>
    <w:rsid w:val="00BE2486"/>
    <w:rsid w:val="00BE24D6"/>
    <w:rsid w:val="00BE2634"/>
    <w:rsid w:val="00BE28D2"/>
    <w:rsid w:val="00BE295A"/>
    <w:rsid w:val="00BE2A4B"/>
    <w:rsid w:val="00BE2B4B"/>
    <w:rsid w:val="00BE2B7F"/>
    <w:rsid w:val="00BE2CDE"/>
    <w:rsid w:val="00BE2DDD"/>
    <w:rsid w:val="00BE2E12"/>
    <w:rsid w:val="00BE2E2C"/>
    <w:rsid w:val="00BE2FA6"/>
    <w:rsid w:val="00BE31B2"/>
    <w:rsid w:val="00BE333C"/>
    <w:rsid w:val="00BE33A2"/>
    <w:rsid w:val="00BE3548"/>
    <w:rsid w:val="00BE359D"/>
    <w:rsid w:val="00BE35D6"/>
    <w:rsid w:val="00BE360E"/>
    <w:rsid w:val="00BE3658"/>
    <w:rsid w:val="00BE376B"/>
    <w:rsid w:val="00BE38CE"/>
    <w:rsid w:val="00BE39A1"/>
    <w:rsid w:val="00BE3A09"/>
    <w:rsid w:val="00BE3A5B"/>
    <w:rsid w:val="00BE3AD6"/>
    <w:rsid w:val="00BE3B20"/>
    <w:rsid w:val="00BE3B2B"/>
    <w:rsid w:val="00BE3CA2"/>
    <w:rsid w:val="00BE3CAC"/>
    <w:rsid w:val="00BE3FC0"/>
    <w:rsid w:val="00BE3FDD"/>
    <w:rsid w:val="00BE406B"/>
    <w:rsid w:val="00BE4141"/>
    <w:rsid w:val="00BE4191"/>
    <w:rsid w:val="00BE41FC"/>
    <w:rsid w:val="00BE44FE"/>
    <w:rsid w:val="00BE45B4"/>
    <w:rsid w:val="00BE45B9"/>
    <w:rsid w:val="00BE45BD"/>
    <w:rsid w:val="00BE4607"/>
    <w:rsid w:val="00BE46C0"/>
    <w:rsid w:val="00BE477A"/>
    <w:rsid w:val="00BE48B6"/>
    <w:rsid w:val="00BE49B7"/>
    <w:rsid w:val="00BE4A64"/>
    <w:rsid w:val="00BE4BED"/>
    <w:rsid w:val="00BE4BFC"/>
    <w:rsid w:val="00BE4E8C"/>
    <w:rsid w:val="00BE4F78"/>
    <w:rsid w:val="00BE500C"/>
    <w:rsid w:val="00BE5024"/>
    <w:rsid w:val="00BE5074"/>
    <w:rsid w:val="00BE5242"/>
    <w:rsid w:val="00BE5298"/>
    <w:rsid w:val="00BE53D5"/>
    <w:rsid w:val="00BE54CC"/>
    <w:rsid w:val="00BE58B4"/>
    <w:rsid w:val="00BE5941"/>
    <w:rsid w:val="00BE5A82"/>
    <w:rsid w:val="00BE5AD6"/>
    <w:rsid w:val="00BE5DBC"/>
    <w:rsid w:val="00BE5DE1"/>
    <w:rsid w:val="00BE5E43"/>
    <w:rsid w:val="00BE5E83"/>
    <w:rsid w:val="00BE5ED8"/>
    <w:rsid w:val="00BE5F90"/>
    <w:rsid w:val="00BE615D"/>
    <w:rsid w:val="00BE62D4"/>
    <w:rsid w:val="00BE6327"/>
    <w:rsid w:val="00BE6336"/>
    <w:rsid w:val="00BE63C3"/>
    <w:rsid w:val="00BE654C"/>
    <w:rsid w:val="00BE659C"/>
    <w:rsid w:val="00BE6695"/>
    <w:rsid w:val="00BE677C"/>
    <w:rsid w:val="00BE6821"/>
    <w:rsid w:val="00BE6983"/>
    <w:rsid w:val="00BE6A07"/>
    <w:rsid w:val="00BE6A77"/>
    <w:rsid w:val="00BE6C36"/>
    <w:rsid w:val="00BE6E1F"/>
    <w:rsid w:val="00BE6E69"/>
    <w:rsid w:val="00BE6EA3"/>
    <w:rsid w:val="00BE6EAF"/>
    <w:rsid w:val="00BE7096"/>
    <w:rsid w:val="00BE7110"/>
    <w:rsid w:val="00BE7137"/>
    <w:rsid w:val="00BE7144"/>
    <w:rsid w:val="00BE727D"/>
    <w:rsid w:val="00BE72C2"/>
    <w:rsid w:val="00BE73BE"/>
    <w:rsid w:val="00BE7427"/>
    <w:rsid w:val="00BE75AE"/>
    <w:rsid w:val="00BE7632"/>
    <w:rsid w:val="00BE779B"/>
    <w:rsid w:val="00BE78A5"/>
    <w:rsid w:val="00BE78D2"/>
    <w:rsid w:val="00BE7959"/>
    <w:rsid w:val="00BE7A9C"/>
    <w:rsid w:val="00BE7AF5"/>
    <w:rsid w:val="00BE7B21"/>
    <w:rsid w:val="00BE7B4E"/>
    <w:rsid w:val="00BE7BA1"/>
    <w:rsid w:val="00BE7DF0"/>
    <w:rsid w:val="00BE7EEA"/>
    <w:rsid w:val="00BE7FF7"/>
    <w:rsid w:val="00BF009C"/>
    <w:rsid w:val="00BF018F"/>
    <w:rsid w:val="00BF01D1"/>
    <w:rsid w:val="00BF027A"/>
    <w:rsid w:val="00BF02C8"/>
    <w:rsid w:val="00BF035F"/>
    <w:rsid w:val="00BF0387"/>
    <w:rsid w:val="00BF038C"/>
    <w:rsid w:val="00BF0474"/>
    <w:rsid w:val="00BF053A"/>
    <w:rsid w:val="00BF0544"/>
    <w:rsid w:val="00BF05A4"/>
    <w:rsid w:val="00BF05E9"/>
    <w:rsid w:val="00BF0888"/>
    <w:rsid w:val="00BF09D6"/>
    <w:rsid w:val="00BF0A05"/>
    <w:rsid w:val="00BF0B70"/>
    <w:rsid w:val="00BF0BEC"/>
    <w:rsid w:val="00BF0D3D"/>
    <w:rsid w:val="00BF0DBB"/>
    <w:rsid w:val="00BF0E4B"/>
    <w:rsid w:val="00BF0EA8"/>
    <w:rsid w:val="00BF0F0C"/>
    <w:rsid w:val="00BF0F26"/>
    <w:rsid w:val="00BF10C7"/>
    <w:rsid w:val="00BF1237"/>
    <w:rsid w:val="00BF1339"/>
    <w:rsid w:val="00BF1428"/>
    <w:rsid w:val="00BF14EE"/>
    <w:rsid w:val="00BF1501"/>
    <w:rsid w:val="00BF1578"/>
    <w:rsid w:val="00BF1619"/>
    <w:rsid w:val="00BF1666"/>
    <w:rsid w:val="00BF1675"/>
    <w:rsid w:val="00BF174E"/>
    <w:rsid w:val="00BF17AF"/>
    <w:rsid w:val="00BF19B7"/>
    <w:rsid w:val="00BF1AFE"/>
    <w:rsid w:val="00BF1B65"/>
    <w:rsid w:val="00BF1BB4"/>
    <w:rsid w:val="00BF1BE4"/>
    <w:rsid w:val="00BF1DE8"/>
    <w:rsid w:val="00BF1E7D"/>
    <w:rsid w:val="00BF1F3F"/>
    <w:rsid w:val="00BF20C3"/>
    <w:rsid w:val="00BF20FA"/>
    <w:rsid w:val="00BF22B2"/>
    <w:rsid w:val="00BF2348"/>
    <w:rsid w:val="00BF2355"/>
    <w:rsid w:val="00BF23C7"/>
    <w:rsid w:val="00BF2687"/>
    <w:rsid w:val="00BF26AA"/>
    <w:rsid w:val="00BF2819"/>
    <w:rsid w:val="00BF281D"/>
    <w:rsid w:val="00BF2841"/>
    <w:rsid w:val="00BF28F4"/>
    <w:rsid w:val="00BF29B0"/>
    <w:rsid w:val="00BF29D0"/>
    <w:rsid w:val="00BF29E5"/>
    <w:rsid w:val="00BF2B34"/>
    <w:rsid w:val="00BF2C70"/>
    <w:rsid w:val="00BF2C80"/>
    <w:rsid w:val="00BF2E77"/>
    <w:rsid w:val="00BF2EA9"/>
    <w:rsid w:val="00BF30B5"/>
    <w:rsid w:val="00BF3104"/>
    <w:rsid w:val="00BF3153"/>
    <w:rsid w:val="00BF31D7"/>
    <w:rsid w:val="00BF31D8"/>
    <w:rsid w:val="00BF3226"/>
    <w:rsid w:val="00BF3247"/>
    <w:rsid w:val="00BF32D9"/>
    <w:rsid w:val="00BF3347"/>
    <w:rsid w:val="00BF33FA"/>
    <w:rsid w:val="00BF3472"/>
    <w:rsid w:val="00BF3657"/>
    <w:rsid w:val="00BF36DA"/>
    <w:rsid w:val="00BF3788"/>
    <w:rsid w:val="00BF383E"/>
    <w:rsid w:val="00BF3846"/>
    <w:rsid w:val="00BF388A"/>
    <w:rsid w:val="00BF3ADD"/>
    <w:rsid w:val="00BF3B47"/>
    <w:rsid w:val="00BF3BD9"/>
    <w:rsid w:val="00BF3BE0"/>
    <w:rsid w:val="00BF3CDE"/>
    <w:rsid w:val="00BF3D4D"/>
    <w:rsid w:val="00BF3D80"/>
    <w:rsid w:val="00BF3F15"/>
    <w:rsid w:val="00BF401D"/>
    <w:rsid w:val="00BF4179"/>
    <w:rsid w:val="00BF4184"/>
    <w:rsid w:val="00BF41A4"/>
    <w:rsid w:val="00BF4262"/>
    <w:rsid w:val="00BF42E2"/>
    <w:rsid w:val="00BF453E"/>
    <w:rsid w:val="00BF45C9"/>
    <w:rsid w:val="00BF46B1"/>
    <w:rsid w:val="00BF46FC"/>
    <w:rsid w:val="00BF47B5"/>
    <w:rsid w:val="00BF4849"/>
    <w:rsid w:val="00BF48EE"/>
    <w:rsid w:val="00BF4958"/>
    <w:rsid w:val="00BF49A4"/>
    <w:rsid w:val="00BF4AFB"/>
    <w:rsid w:val="00BF4B3A"/>
    <w:rsid w:val="00BF4B75"/>
    <w:rsid w:val="00BF4B7B"/>
    <w:rsid w:val="00BF4C02"/>
    <w:rsid w:val="00BF4C37"/>
    <w:rsid w:val="00BF4D8E"/>
    <w:rsid w:val="00BF4EEB"/>
    <w:rsid w:val="00BF5073"/>
    <w:rsid w:val="00BF50CE"/>
    <w:rsid w:val="00BF51C2"/>
    <w:rsid w:val="00BF52D9"/>
    <w:rsid w:val="00BF5329"/>
    <w:rsid w:val="00BF53AA"/>
    <w:rsid w:val="00BF548F"/>
    <w:rsid w:val="00BF557D"/>
    <w:rsid w:val="00BF5619"/>
    <w:rsid w:val="00BF572D"/>
    <w:rsid w:val="00BF5794"/>
    <w:rsid w:val="00BF59D1"/>
    <w:rsid w:val="00BF5A38"/>
    <w:rsid w:val="00BF5C0D"/>
    <w:rsid w:val="00BF5D56"/>
    <w:rsid w:val="00BF5DAC"/>
    <w:rsid w:val="00BF5E3E"/>
    <w:rsid w:val="00BF5E95"/>
    <w:rsid w:val="00BF5FA3"/>
    <w:rsid w:val="00BF614A"/>
    <w:rsid w:val="00BF619F"/>
    <w:rsid w:val="00BF6265"/>
    <w:rsid w:val="00BF64EC"/>
    <w:rsid w:val="00BF64ED"/>
    <w:rsid w:val="00BF658D"/>
    <w:rsid w:val="00BF6705"/>
    <w:rsid w:val="00BF6882"/>
    <w:rsid w:val="00BF68F4"/>
    <w:rsid w:val="00BF69AD"/>
    <w:rsid w:val="00BF69F4"/>
    <w:rsid w:val="00BF6A8B"/>
    <w:rsid w:val="00BF6ACE"/>
    <w:rsid w:val="00BF6B9B"/>
    <w:rsid w:val="00BF6D5B"/>
    <w:rsid w:val="00BF6E9E"/>
    <w:rsid w:val="00BF70BF"/>
    <w:rsid w:val="00BF70E3"/>
    <w:rsid w:val="00BF730A"/>
    <w:rsid w:val="00BF7427"/>
    <w:rsid w:val="00BF7540"/>
    <w:rsid w:val="00BF7568"/>
    <w:rsid w:val="00BF7583"/>
    <w:rsid w:val="00BF75A7"/>
    <w:rsid w:val="00BF7695"/>
    <w:rsid w:val="00BF76A4"/>
    <w:rsid w:val="00BF79D7"/>
    <w:rsid w:val="00BF7AB4"/>
    <w:rsid w:val="00BF7AE6"/>
    <w:rsid w:val="00BF7B3A"/>
    <w:rsid w:val="00BF7CB4"/>
    <w:rsid w:val="00BF7CDE"/>
    <w:rsid w:val="00BF7D63"/>
    <w:rsid w:val="00BF7D67"/>
    <w:rsid w:val="00BF7E09"/>
    <w:rsid w:val="00BF7F58"/>
    <w:rsid w:val="00BF7FA2"/>
    <w:rsid w:val="00BF7FE1"/>
    <w:rsid w:val="00C000CD"/>
    <w:rsid w:val="00C00242"/>
    <w:rsid w:val="00C003B9"/>
    <w:rsid w:val="00C003CF"/>
    <w:rsid w:val="00C0044E"/>
    <w:rsid w:val="00C00469"/>
    <w:rsid w:val="00C00493"/>
    <w:rsid w:val="00C004AF"/>
    <w:rsid w:val="00C0057A"/>
    <w:rsid w:val="00C005AD"/>
    <w:rsid w:val="00C0072A"/>
    <w:rsid w:val="00C00778"/>
    <w:rsid w:val="00C008C6"/>
    <w:rsid w:val="00C00945"/>
    <w:rsid w:val="00C00B2D"/>
    <w:rsid w:val="00C00B63"/>
    <w:rsid w:val="00C00BB2"/>
    <w:rsid w:val="00C01076"/>
    <w:rsid w:val="00C01189"/>
    <w:rsid w:val="00C012E7"/>
    <w:rsid w:val="00C01381"/>
    <w:rsid w:val="00C0144B"/>
    <w:rsid w:val="00C0147C"/>
    <w:rsid w:val="00C015DC"/>
    <w:rsid w:val="00C016EB"/>
    <w:rsid w:val="00C01765"/>
    <w:rsid w:val="00C0187F"/>
    <w:rsid w:val="00C01883"/>
    <w:rsid w:val="00C018C3"/>
    <w:rsid w:val="00C019F5"/>
    <w:rsid w:val="00C01AA5"/>
    <w:rsid w:val="00C01AB1"/>
    <w:rsid w:val="00C01CA6"/>
    <w:rsid w:val="00C01F68"/>
    <w:rsid w:val="00C01F7F"/>
    <w:rsid w:val="00C020D2"/>
    <w:rsid w:val="00C021B2"/>
    <w:rsid w:val="00C02228"/>
    <w:rsid w:val="00C02280"/>
    <w:rsid w:val="00C022E3"/>
    <w:rsid w:val="00C022EE"/>
    <w:rsid w:val="00C0248E"/>
    <w:rsid w:val="00C02490"/>
    <w:rsid w:val="00C0249E"/>
    <w:rsid w:val="00C024EC"/>
    <w:rsid w:val="00C02565"/>
    <w:rsid w:val="00C025C6"/>
    <w:rsid w:val="00C026A0"/>
    <w:rsid w:val="00C02855"/>
    <w:rsid w:val="00C02973"/>
    <w:rsid w:val="00C02A18"/>
    <w:rsid w:val="00C02C83"/>
    <w:rsid w:val="00C02CFC"/>
    <w:rsid w:val="00C02DBA"/>
    <w:rsid w:val="00C02FDD"/>
    <w:rsid w:val="00C030F1"/>
    <w:rsid w:val="00C03146"/>
    <w:rsid w:val="00C03205"/>
    <w:rsid w:val="00C0323F"/>
    <w:rsid w:val="00C03341"/>
    <w:rsid w:val="00C034D1"/>
    <w:rsid w:val="00C0350D"/>
    <w:rsid w:val="00C03593"/>
    <w:rsid w:val="00C03AA0"/>
    <w:rsid w:val="00C03BAF"/>
    <w:rsid w:val="00C03BC8"/>
    <w:rsid w:val="00C03C68"/>
    <w:rsid w:val="00C03D16"/>
    <w:rsid w:val="00C03D20"/>
    <w:rsid w:val="00C03DC1"/>
    <w:rsid w:val="00C03DF9"/>
    <w:rsid w:val="00C04042"/>
    <w:rsid w:val="00C040B5"/>
    <w:rsid w:val="00C04145"/>
    <w:rsid w:val="00C04218"/>
    <w:rsid w:val="00C042C4"/>
    <w:rsid w:val="00C04394"/>
    <w:rsid w:val="00C04527"/>
    <w:rsid w:val="00C04586"/>
    <w:rsid w:val="00C046CB"/>
    <w:rsid w:val="00C046CC"/>
    <w:rsid w:val="00C046D2"/>
    <w:rsid w:val="00C04787"/>
    <w:rsid w:val="00C04802"/>
    <w:rsid w:val="00C0493C"/>
    <w:rsid w:val="00C0493F"/>
    <w:rsid w:val="00C04A44"/>
    <w:rsid w:val="00C04B1A"/>
    <w:rsid w:val="00C04CC4"/>
    <w:rsid w:val="00C04EAC"/>
    <w:rsid w:val="00C04EF4"/>
    <w:rsid w:val="00C04F81"/>
    <w:rsid w:val="00C04FDD"/>
    <w:rsid w:val="00C04FEB"/>
    <w:rsid w:val="00C050CB"/>
    <w:rsid w:val="00C050ED"/>
    <w:rsid w:val="00C0510F"/>
    <w:rsid w:val="00C05291"/>
    <w:rsid w:val="00C052DB"/>
    <w:rsid w:val="00C053BD"/>
    <w:rsid w:val="00C05454"/>
    <w:rsid w:val="00C05465"/>
    <w:rsid w:val="00C05476"/>
    <w:rsid w:val="00C056CF"/>
    <w:rsid w:val="00C0579E"/>
    <w:rsid w:val="00C0580E"/>
    <w:rsid w:val="00C05812"/>
    <w:rsid w:val="00C05875"/>
    <w:rsid w:val="00C05924"/>
    <w:rsid w:val="00C05980"/>
    <w:rsid w:val="00C059DD"/>
    <w:rsid w:val="00C05BE6"/>
    <w:rsid w:val="00C05C24"/>
    <w:rsid w:val="00C05D1A"/>
    <w:rsid w:val="00C05D6F"/>
    <w:rsid w:val="00C05DAA"/>
    <w:rsid w:val="00C05EA8"/>
    <w:rsid w:val="00C060E9"/>
    <w:rsid w:val="00C060F2"/>
    <w:rsid w:val="00C06137"/>
    <w:rsid w:val="00C06195"/>
    <w:rsid w:val="00C06293"/>
    <w:rsid w:val="00C062B5"/>
    <w:rsid w:val="00C062C1"/>
    <w:rsid w:val="00C06310"/>
    <w:rsid w:val="00C06384"/>
    <w:rsid w:val="00C064C2"/>
    <w:rsid w:val="00C064CB"/>
    <w:rsid w:val="00C06622"/>
    <w:rsid w:val="00C066D9"/>
    <w:rsid w:val="00C067F0"/>
    <w:rsid w:val="00C0680C"/>
    <w:rsid w:val="00C06825"/>
    <w:rsid w:val="00C068F7"/>
    <w:rsid w:val="00C06929"/>
    <w:rsid w:val="00C06B29"/>
    <w:rsid w:val="00C06BB9"/>
    <w:rsid w:val="00C06C25"/>
    <w:rsid w:val="00C06CDA"/>
    <w:rsid w:val="00C06D2D"/>
    <w:rsid w:val="00C06EF6"/>
    <w:rsid w:val="00C06F56"/>
    <w:rsid w:val="00C06F74"/>
    <w:rsid w:val="00C06FBE"/>
    <w:rsid w:val="00C07083"/>
    <w:rsid w:val="00C0728C"/>
    <w:rsid w:val="00C073A5"/>
    <w:rsid w:val="00C07414"/>
    <w:rsid w:val="00C07587"/>
    <w:rsid w:val="00C07593"/>
    <w:rsid w:val="00C0760D"/>
    <w:rsid w:val="00C076EE"/>
    <w:rsid w:val="00C0783E"/>
    <w:rsid w:val="00C078F0"/>
    <w:rsid w:val="00C079B8"/>
    <w:rsid w:val="00C07B48"/>
    <w:rsid w:val="00C07B9B"/>
    <w:rsid w:val="00C07BA2"/>
    <w:rsid w:val="00C07C36"/>
    <w:rsid w:val="00C07CD3"/>
    <w:rsid w:val="00C07D5E"/>
    <w:rsid w:val="00C07D9B"/>
    <w:rsid w:val="00C07ECB"/>
    <w:rsid w:val="00C07F2F"/>
    <w:rsid w:val="00C10037"/>
    <w:rsid w:val="00C102C6"/>
    <w:rsid w:val="00C1047E"/>
    <w:rsid w:val="00C104DB"/>
    <w:rsid w:val="00C107FF"/>
    <w:rsid w:val="00C10801"/>
    <w:rsid w:val="00C10987"/>
    <w:rsid w:val="00C109D9"/>
    <w:rsid w:val="00C10A83"/>
    <w:rsid w:val="00C10B0B"/>
    <w:rsid w:val="00C10B6C"/>
    <w:rsid w:val="00C10C2F"/>
    <w:rsid w:val="00C10C89"/>
    <w:rsid w:val="00C10D3C"/>
    <w:rsid w:val="00C10E05"/>
    <w:rsid w:val="00C10E54"/>
    <w:rsid w:val="00C10F2C"/>
    <w:rsid w:val="00C10F89"/>
    <w:rsid w:val="00C11020"/>
    <w:rsid w:val="00C1102F"/>
    <w:rsid w:val="00C11172"/>
    <w:rsid w:val="00C1130E"/>
    <w:rsid w:val="00C114C1"/>
    <w:rsid w:val="00C114CC"/>
    <w:rsid w:val="00C115E1"/>
    <w:rsid w:val="00C11624"/>
    <w:rsid w:val="00C11740"/>
    <w:rsid w:val="00C11854"/>
    <w:rsid w:val="00C1188E"/>
    <w:rsid w:val="00C118A8"/>
    <w:rsid w:val="00C11AB6"/>
    <w:rsid w:val="00C11BCC"/>
    <w:rsid w:val="00C11C3C"/>
    <w:rsid w:val="00C11E35"/>
    <w:rsid w:val="00C11F30"/>
    <w:rsid w:val="00C1201A"/>
    <w:rsid w:val="00C120CA"/>
    <w:rsid w:val="00C1215E"/>
    <w:rsid w:val="00C123EA"/>
    <w:rsid w:val="00C1250E"/>
    <w:rsid w:val="00C1253C"/>
    <w:rsid w:val="00C1257D"/>
    <w:rsid w:val="00C12596"/>
    <w:rsid w:val="00C12605"/>
    <w:rsid w:val="00C126B5"/>
    <w:rsid w:val="00C1271C"/>
    <w:rsid w:val="00C1271D"/>
    <w:rsid w:val="00C1283F"/>
    <w:rsid w:val="00C128ED"/>
    <w:rsid w:val="00C12903"/>
    <w:rsid w:val="00C12953"/>
    <w:rsid w:val="00C12A1D"/>
    <w:rsid w:val="00C12A32"/>
    <w:rsid w:val="00C12A49"/>
    <w:rsid w:val="00C12B48"/>
    <w:rsid w:val="00C12E51"/>
    <w:rsid w:val="00C12FCF"/>
    <w:rsid w:val="00C130E2"/>
    <w:rsid w:val="00C133EE"/>
    <w:rsid w:val="00C13479"/>
    <w:rsid w:val="00C1355C"/>
    <w:rsid w:val="00C137C8"/>
    <w:rsid w:val="00C13929"/>
    <w:rsid w:val="00C139DE"/>
    <w:rsid w:val="00C139E3"/>
    <w:rsid w:val="00C13A2D"/>
    <w:rsid w:val="00C13C47"/>
    <w:rsid w:val="00C13CD9"/>
    <w:rsid w:val="00C13D2F"/>
    <w:rsid w:val="00C13EEE"/>
    <w:rsid w:val="00C140E9"/>
    <w:rsid w:val="00C1427F"/>
    <w:rsid w:val="00C142DA"/>
    <w:rsid w:val="00C14383"/>
    <w:rsid w:val="00C14425"/>
    <w:rsid w:val="00C14531"/>
    <w:rsid w:val="00C14689"/>
    <w:rsid w:val="00C146C3"/>
    <w:rsid w:val="00C14710"/>
    <w:rsid w:val="00C14748"/>
    <w:rsid w:val="00C1479D"/>
    <w:rsid w:val="00C149D0"/>
    <w:rsid w:val="00C149FA"/>
    <w:rsid w:val="00C14C97"/>
    <w:rsid w:val="00C14C9C"/>
    <w:rsid w:val="00C14DFB"/>
    <w:rsid w:val="00C14E36"/>
    <w:rsid w:val="00C14F40"/>
    <w:rsid w:val="00C14F65"/>
    <w:rsid w:val="00C15062"/>
    <w:rsid w:val="00C1519A"/>
    <w:rsid w:val="00C151DD"/>
    <w:rsid w:val="00C153AF"/>
    <w:rsid w:val="00C153D0"/>
    <w:rsid w:val="00C15444"/>
    <w:rsid w:val="00C156DD"/>
    <w:rsid w:val="00C15815"/>
    <w:rsid w:val="00C15843"/>
    <w:rsid w:val="00C15A68"/>
    <w:rsid w:val="00C15B6B"/>
    <w:rsid w:val="00C15D95"/>
    <w:rsid w:val="00C15E08"/>
    <w:rsid w:val="00C15EA0"/>
    <w:rsid w:val="00C16101"/>
    <w:rsid w:val="00C16303"/>
    <w:rsid w:val="00C163E0"/>
    <w:rsid w:val="00C163EE"/>
    <w:rsid w:val="00C16445"/>
    <w:rsid w:val="00C164CA"/>
    <w:rsid w:val="00C164E9"/>
    <w:rsid w:val="00C1650C"/>
    <w:rsid w:val="00C165C6"/>
    <w:rsid w:val="00C165F3"/>
    <w:rsid w:val="00C165F9"/>
    <w:rsid w:val="00C166E1"/>
    <w:rsid w:val="00C16832"/>
    <w:rsid w:val="00C1690A"/>
    <w:rsid w:val="00C16A51"/>
    <w:rsid w:val="00C16A68"/>
    <w:rsid w:val="00C16B86"/>
    <w:rsid w:val="00C16CD8"/>
    <w:rsid w:val="00C16D07"/>
    <w:rsid w:val="00C16E50"/>
    <w:rsid w:val="00C16E81"/>
    <w:rsid w:val="00C16F18"/>
    <w:rsid w:val="00C16F79"/>
    <w:rsid w:val="00C170EF"/>
    <w:rsid w:val="00C17142"/>
    <w:rsid w:val="00C17188"/>
    <w:rsid w:val="00C172B3"/>
    <w:rsid w:val="00C17389"/>
    <w:rsid w:val="00C17444"/>
    <w:rsid w:val="00C17619"/>
    <w:rsid w:val="00C17868"/>
    <w:rsid w:val="00C17873"/>
    <w:rsid w:val="00C17892"/>
    <w:rsid w:val="00C178BC"/>
    <w:rsid w:val="00C17917"/>
    <w:rsid w:val="00C17948"/>
    <w:rsid w:val="00C17AE6"/>
    <w:rsid w:val="00C17CBC"/>
    <w:rsid w:val="00C17CCD"/>
    <w:rsid w:val="00C17E67"/>
    <w:rsid w:val="00C200C2"/>
    <w:rsid w:val="00C201EB"/>
    <w:rsid w:val="00C2038A"/>
    <w:rsid w:val="00C20413"/>
    <w:rsid w:val="00C205F8"/>
    <w:rsid w:val="00C2085A"/>
    <w:rsid w:val="00C20879"/>
    <w:rsid w:val="00C2095C"/>
    <w:rsid w:val="00C20A05"/>
    <w:rsid w:val="00C20B06"/>
    <w:rsid w:val="00C20C38"/>
    <w:rsid w:val="00C20D06"/>
    <w:rsid w:val="00C20DA6"/>
    <w:rsid w:val="00C20DEF"/>
    <w:rsid w:val="00C20E96"/>
    <w:rsid w:val="00C20FCD"/>
    <w:rsid w:val="00C21148"/>
    <w:rsid w:val="00C211EA"/>
    <w:rsid w:val="00C21272"/>
    <w:rsid w:val="00C21411"/>
    <w:rsid w:val="00C21510"/>
    <w:rsid w:val="00C215EA"/>
    <w:rsid w:val="00C2162E"/>
    <w:rsid w:val="00C21704"/>
    <w:rsid w:val="00C217FC"/>
    <w:rsid w:val="00C2193A"/>
    <w:rsid w:val="00C2199A"/>
    <w:rsid w:val="00C219B6"/>
    <w:rsid w:val="00C219CA"/>
    <w:rsid w:val="00C219E3"/>
    <w:rsid w:val="00C21A17"/>
    <w:rsid w:val="00C21D78"/>
    <w:rsid w:val="00C21DC8"/>
    <w:rsid w:val="00C21DE0"/>
    <w:rsid w:val="00C21EEA"/>
    <w:rsid w:val="00C220E3"/>
    <w:rsid w:val="00C2211F"/>
    <w:rsid w:val="00C22165"/>
    <w:rsid w:val="00C222E0"/>
    <w:rsid w:val="00C224D1"/>
    <w:rsid w:val="00C2257D"/>
    <w:rsid w:val="00C22597"/>
    <w:rsid w:val="00C2259A"/>
    <w:rsid w:val="00C225BE"/>
    <w:rsid w:val="00C227FA"/>
    <w:rsid w:val="00C228F5"/>
    <w:rsid w:val="00C229CF"/>
    <w:rsid w:val="00C22A8C"/>
    <w:rsid w:val="00C22B44"/>
    <w:rsid w:val="00C22B46"/>
    <w:rsid w:val="00C22C8A"/>
    <w:rsid w:val="00C22CE6"/>
    <w:rsid w:val="00C22E39"/>
    <w:rsid w:val="00C22E5E"/>
    <w:rsid w:val="00C22F22"/>
    <w:rsid w:val="00C23019"/>
    <w:rsid w:val="00C2301E"/>
    <w:rsid w:val="00C2338B"/>
    <w:rsid w:val="00C2373E"/>
    <w:rsid w:val="00C237FC"/>
    <w:rsid w:val="00C23874"/>
    <w:rsid w:val="00C2389E"/>
    <w:rsid w:val="00C23A2F"/>
    <w:rsid w:val="00C23AE0"/>
    <w:rsid w:val="00C23B80"/>
    <w:rsid w:val="00C23BA3"/>
    <w:rsid w:val="00C23CCF"/>
    <w:rsid w:val="00C23D03"/>
    <w:rsid w:val="00C23D99"/>
    <w:rsid w:val="00C23E21"/>
    <w:rsid w:val="00C23F38"/>
    <w:rsid w:val="00C24190"/>
    <w:rsid w:val="00C241C0"/>
    <w:rsid w:val="00C2422B"/>
    <w:rsid w:val="00C243AA"/>
    <w:rsid w:val="00C244FD"/>
    <w:rsid w:val="00C245E4"/>
    <w:rsid w:val="00C24636"/>
    <w:rsid w:val="00C24940"/>
    <w:rsid w:val="00C24A02"/>
    <w:rsid w:val="00C24AA5"/>
    <w:rsid w:val="00C24C8C"/>
    <w:rsid w:val="00C24D12"/>
    <w:rsid w:val="00C24E12"/>
    <w:rsid w:val="00C24E57"/>
    <w:rsid w:val="00C24FBF"/>
    <w:rsid w:val="00C2509F"/>
    <w:rsid w:val="00C25282"/>
    <w:rsid w:val="00C253A2"/>
    <w:rsid w:val="00C253EA"/>
    <w:rsid w:val="00C25434"/>
    <w:rsid w:val="00C255D3"/>
    <w:rsid w:val="00C25654"/>
    <w:rsid w:val="00C257B5"/>
    <w:rsid w:val="00C257F1"/>
    <w:rsid w:val="00C25810"/>
    <w:rsid w:val="00C258FB"/>
    <w:rsid w:val="00C25937"/>
    <w:rsid w:val="00C25A02"/>
    <w:rsid w:val="00C25A32"/>
    <w:rsid w:val="00C25AAA"/>
    <w:rsid w:val="00C25AD6"/>
    <w:rsid w:val="00C25DC6"/>
    <w:rsid w:val="00C25F15"/>
    <w:rsid w:val="00C25F96"/>
    <w:rsid w:val="00C2601C"/>
    <w:rsid w:val="00C26026"/>
    <w:rsid w:val="00C2606F"/>
    <w:rsid w:val="00C26098"/>
    <w:rsid w:val="00C260B5"/>
    <w:rsid w:val="00C2614D"/>
    <w:rsid w:val="00C261E2"/>
    <w:rsid w:val="00C26245"/>
    <w:rsid w:val="00C2638F"/>
    <w:rsid w:val="00C263E5"/>
    <w:rsid w:val="00C26458"/>
    <w:rsid w:val="00C26588"/>
    <w:rsid w:val="00C266FA"/>
    <w:rsid w:val="00C2673E"/>
    <w:rsid w:val="00C268D6"/>
    <w:rsid w:val="00C26917"/>
    <w:rsid w:val="00C26932"/>
    <w:rsid w:val="00C26A4C"/>
    <w:rsid w:val="00C26BEB"/>
    <w:rsid w:val="00C26C2D"/>
    <w:rsid w:val="00C26D75"/>
    <w:rsid w:val="00C26DC5"/>
    <w:rsid w:val="00C26E33"/>
    <w:rsid w:val="00C270F3"/>
    <w:rsid w:val="00C271CF"/>
    <w:rsid w:val="00C27278"/>
    <w:rsid w:val="00C27397"/>
    <w:rsid w:val="00C273F0"/>
    <w:rsid w:val="00C27410"/>
    <w:rsid w:val="00C27578"/>
    <w:rsid w:val="00C2767C"/>
    <w:rsid w:val="00C277BA"/>
    <w:rsid w:val="00C277DE"/>
    <w:rsid w:val="00C2799D"/>
    <w:rsid w:val="00C27DE9"/>
    <w:rsid w:val="00C27E21"/>
    <w:rsid w:val="00C27E6B"/>
    <w:rsid w:val="00C27FBE"/>
    <w:rsid w:val="00C3010A"/>
    <w:rsid w:val="00C30142"/>
    <w:rsid w:val="00C3019F"/>
    <w:rsid w:val="00C30239"/>
    <w:rsid w:val="00C30300"/>
    <w:rsid w:val="00C30432"/>
    <w:rsid w:val="00C3046D"/>
    <w:rsid w:val="00C30884"/>
    <w:rsid w:val="00C308E4"/>
    <w:rsid w:val="00C3094C"/>
    <w:rsid w:val="00C30ABA"/>
    <w:rsid w:val="00C30BBF"/>
    <w:rsid w:val="00C30C21"/>
    <w:rsid w:val="00C30C96"/>
    <w:rsid w:val="00C30CFF"/>
    <w:rsid w:val="00C30D02"/>
    <w:rsid w:val="00C30D8F"/>
    <w:rsid w:val="00C30DB5"/>
    <w:rsid w:val="00C30F24"/>
    <w:rsid w:val="00C3113D"/>
    <w:rsid w:val="00C31144"/>
    <w:rsid w:val="00C31226"/>
    <w:rsid w:val="00C31254"/>
    <w:rsid w:val="00C312DC"/>
    <w:rsid w:val="00C31353"/>
    <w:rsid w:val="00C31435"/>
    <w:rsid w:val="00C314BB"/>
    <w:rsid w:val="00C31685"/>
    <w:rsid w:val="00C31720"/>
    <w:rsid w:val="00C31841"/>
    <w:rsid w:val="00C3192A"/>
    <w:rsid w:val="00C31A52"/>
    <w:rsid w:val="00C31A76"/>
    <w:rsid w:val="00C31A95"/>
    <w:rsid w:val="00C31AD9"/>
    <w:rsid w:val="00C31AF4"/>
    <w:rsid w:val="00C31BA3"/>
    <w:rsid w:val="00C31CA2"/>
    <w:rsid w:val="00C31D21"/>
    <w:rsid w:val="00C31D74"/>
    <w:rsid w:val="00C31F99"/>
    <w:rsid w:val="00C321FE"/>
    <w:rsid w:val="00C32319"/>
    <w:rsid w:val="00C324C4"/>
    <w:rsid w:val="00C325B9"/>
    <w:rsid w:val="00C32675"/>
    <w:rsid w:val="00C326B2"/>
    <w:rsid w:val="00C326F6"/>
    <w:rsid w:val="00C32737"/>
    <w:rsid w:val="00C32901"/>
    <w:rsid w:val="00C32989"/>
    <w:rsid w:val="00C329C5"/>
    <w:rsid w:val="00C32AFE"/>
    <w:rsid w:val="00C32B1B"/>
    <w:rsid w:val="00C32B8D"/>
    <w:rsid w:val="00C32B91"/>
    <w:rsid w:val="00C32CCE"/>
    <w:rsid w:val="00C32E55"/>
    <w:rsid w:val="00C32FE7"/>
    <w:rsid w:val="00C33320"/>
    <w:rsid w:val="00C33388"/>
    <w:rsid w:val="00C3349D"/>
    <w:rsid w:val="00C334DF"/>
    <w:rsid w:val="00C3351B"/>
    <w:rsid w:val="00C33578"/>
    <w:rsid w:val="00C336F4"/>
    <w:rsid w:val="00C3376F"/>
    <w:rsid w:val="00C33775"/>
    <w:rsid w:val="00C33784"/>
    <w:rsid w:val="00C33809"/>
    <w:rsid w:val="00C33871"/>
    <w:rsid w:val="00C33AD1"/>
    <w:rsid w:val="00C33BB9"/>
    <w:rsid w:val="00C33F6B"/>
    <w:rsid w:val="00C3416E"/>
    <w:rsid w:val="00C341A5"/>
    <w:rsid w:val="00C3422C"/>
    <w:rsid w:val="00C3422E"/>
    <w:rsid w:val="00C343C7"/>
    <w:rsid w:val="00C344AA"/>
    <w:rsid w:val="00C34531"/>
    <w:rsid w:val="00C34660"/>
    <w:rsid w:val="00C3469B"/>
    <w:rsid w:val="00C346D1"/>
    <w:rsid w:val="00C347BB"/>
    <w:rsid w:val="00C347BC"/>
    <w:rsid w:val="00C347E7"/>
    <w:rsid w:val="00C348E6"/>
    <w:rsid w:val="00C34958"/>
    <w:rsid w:val="00C34A3E"/>
    <w:rsid w:val="00C34AC7"/>
    <w:rsid w:val="00C34ACB"/>
    <w:rsid w:val="00C34BEC"/>
    <w:rsid w:val="00C34C45"/>
    <w:rsid w:val="00C34C70"/>
    <w:rsid w:val="00C34C92"/>
    <w:rsid w:val="00C34D21"/>
    <w:rsid w:val="00C34D60"/>
    <w:rsid w:val="00C34DE3"/>
    <w:rsid w:val="00C34FA2"/>
    <w:rsid w:val="00C350C9"/>
    <w:rsid w:val="00C350CF"/>
    <w:rsid w:val="00C350E0"/>
    <w:rsid w:val="00C351FA"/>
    <w:rsid w:val="00C352FC"/>
    <w:rsid w:val="00C35445"/>
    <w:rsid w:val="00C35484"/>
    <w:rsid w:val="00C354FF"/>
    <w:rsid w:val="00C355AA"/>
    <w:rsid w:val="00C358DA"/>
    <w:rsid w:val="00C3592F"/>
    <w:rsid w:val="00C35934"/>
    <w:rsid w:val="00C35B06"/>
    <w:rsid w:val="00C35B1E"/>
    <w:rsid w:val="00C35C56"/>
    <w:rsid w:val="00C35EB7"/>
    <w:rsid w:val="00C35F21"/>
    <w:rsid w:val="00C36052"/>
    <w:rsid w:val="00C3620E"/>
    <w:rsid w:val="00C36221"/>
    <w:rsid w:val="00C362DC"/>
    <w:rsid w:val="00C3638F"/>
    <w:rsid w:val="00C363F1"/>
    <w:rsid w:val="00C364C5"/>
    <w:rsid w:val="00C364E5"/>
    <w:rsid w:val="00C36507"/>
    <w:rsid w:val="00C36543"/>
    <w:rsid w:val="00C365A6"/>
    <w:rsid w:val="00C367A1"/>
    <w:rsid w:val="00C36875"/>
    <w:rsid w:val="00C3689B"/>
    <w:rsid w:val="00C368FA"/>
    <w:rsid w:val="00C3693B"/>
    <w:rsid w:val="00C36A56"/>
    <w:rsid w:val="00C36BA6"/>
    <w:rsid w:val="00C36C2B"/>
    <w:rsid w:val="00C36C36"/>
    <w:rsid w:val="00C36C3A"/>
    <w:rsid w:val="00C36C4A"/>
    <w:rsid w:val="00C36CBF"/>
    <w:rsid w:val="00C36DF3"/>
    <w:rsid w:val="00C37050"/>
    <w:rsid w:val="00C37124"/>
    <w:rsid w:val="00C37126"/>
    <w:rsid w:val="00C37128"/>
    <w:rsid w:val="00C372B8"/>
    <w:rsid w:val="00C37453"/>
    <w:rsid w:val="00C3752E"/>
    <w:rsid w:val="00C3768A"/>
    <w:rsid w:val="00C376E6"/>
    <w:rsid w:val="00C3771B"/>
    <w:rsid w:val="00C3777F"/>
    <w:rsid w:val="00C377C9"/>
    <w:rsid w:val="00C377D7"/>
    <w:rsid w:val="00C37859"/>
    <w:rsid w:val="00C3787E"/>
    <w:rsid w:val="00C37B3E"/>
    <w:rsid w:val="00C37B81"/>
    <w:rsid w:val="00C37B89"/>
    <w:rsid w:val="00C37BC6"/>
    <w:rsid w:val="00C37CB2"/>
    <w:rsid w:val="00C37CEA"/>
    <w:rsid w:val="00C37D46"/>
    <w:rsid w:val="00C37D85"/>
    <w:rsid w:val="00C40056"/>
    <w:rsid w:val="00C4009A"/>
    <w:rsid w:val="00C40211"/>
    <w:rsid w:val="00C4021A"/>
    <w:rsid w:val="00C407D5"/>
    <w:rsid w:val="00C40807"/>
    <w:rsid w:val="00C408F9"/>
    <w:rsid w:val="00C40904"/>
    <w:rsid w:val="00C4091D"/>
    <w:rsid w:val="00C40B82"/>
    <w:rsid w:val="00C40BFF"/>
    <w:rsid w:val="00C40DD9"/>
    <w:rsid w:val="00C40E1E"/>
    <w:rsid w:val="00C40EC4"/>
    <w:rsid w:val="00C40F48"/>
    <w:rsid w:val="00C40FB0"/>
    <w:rsid w:val="00C40FF2"/>
    <w:rsid w:val="00C40FF6"/>
    <w:rsid w:val="00C4114C"/>
    <w:rsid w:val="00C413E5"/>
    <w:rsid w:val="00C4143B"/>
    <w:rsid w:val="00C4173A"/>
    <w:rsid w:val="00C4178D"/>
    <w:rsid w:val="00C417B0"/>
    <w:rsid w:val="00C418AA"/>
    <w:rsid w:val="00C418CC"/>
    <w:rsid w:val="00C418F6"/>
    <w:rsid w:val="00C41933"/>
    <w:rsid w:val="00C419AF"/>
    <w:rsid w:val="00C41D29"/>
    <w:rsid w:val="00C41E03"/>
    <w:rsid w:val="00C41FAA"/>
    <w:rsid w:val="00C42091"/>
    <w:rsid w:val="00C420C6"/>
    <w:rsid w:val="00C4218C"/>
    <w:rsid w:val="00C421B1"/>
    <w:rsid w:val="00C423C3"/>
    <w:rsid w:val="00C42553"/>
    <w:rsid w:val="00C4256A"/>
    <w:rsid w:val="00C42590"/>
    <w:rsid w:val="00C42636"/>
    <w:rsid w:val="00C42861"/>
    <w:rsid w:val="00C428E0"/>
    <w:rsid w:val="00C429EE"/>
    <w:rsid w:val="00C42AAB"/>
    <w:rsid w:val="00C42C13"/>
    <w:rsid w:val="00C42C1E"/>
    <w:rsid w:val="00C42CF0"/>
    <w:rsid w:val="00C42CFA"/>
    <w:rsid w:val="00C42D35"/>
    <w:rsid w:val="00C42E16"/>
    <w:rsid w:val="00C42EC3"/>
    <w:rsid w:val="00C42FA2"/>
    <w:rsid w:val="00C430F0"/>
    <w:rsid w:val="00C4310A"/>
    <w:rsid w:val="00C43184"/>
    <w:rsid w:val="00C433CC"/>
    <w:rsid w:val="00C43403"/>
    <w:rsid w:val="00C434F8"/>
    <w:rsid w:val="00C43502"/>
    <w:rsid w:val="00C43514"/>
    <w:rsid w:val="00C43638"/>
    <w:rsid w:val="00C436B6"/>
    <w:rsid w:val="00C436D0"/>
    <w:rsid w:val="00C436EE"/>
    <w:rsid w:val="00C4386D"/>
    <w:rsid w:val="00C43937"/>
    <w:rsid w:val="00C43987"/>
    <w:rsid w:val="00C439EB"/>
    <w:rsid w:val="00C43B1B"/>
    <w:rsid w:val="00C43CA6"/>
    <w:rsid w:val="00C43D0D"/>
    <w:rsid w:val="00C43E5C"/>
    <w:rsid w:val="00C43FD0"/>
    <w:rsid w:val="00C4426B"/>
    <w:rsid w:val="00C44363"/>
    <w:rsid w:val="00C44368"/>
    <w:rsid w:val="00C444DC"/>
    <w:rsid w:val="00C44556"/>
    <w:rsid w:val="00C44610"/>
    <w:rsid w:val="00C4462C"/>
    <w:rsid w:val="00C4468F"/>
    <w:rsid w:val="00C4474A"/>
    <w:rsid w:val="00C44755"/>
    <w:rsid w:val="00C447CD"/>
    <w:rsid w:val="00C44925"/>
    <w:rsid w:val="00C44979"/>
    <w:rsid w:val="00C44A3D"/>
    <w:rsid w:val="00C44AA6"/>
    <w:rsid w:val="00C44B89"/>
    <w:rsid w:val="00C44BAE"/>
    <w:rsid w:val="00C44D3A"/>
    <w:rsid w:val="00C44F7E"/>
    <w:rsid w:val="00C450E1"/>
    <w:rsid w:val="00C450E8"/>
    <w:rsid w:val="00C45297"/>
    <w:rsid w:val="00C452A5"/>
    <w:rsid w:val="00C453FF"/>
    <w:rsid w:val="00C4541E"/>
    <w:rsid w:val="00C454F5"/>
    <w:rsid w:val="00C455E2"/>
    <w:rsid w:val="00C4569C"/>
    <w:rsid w:val="00C459BE"/>
    <w:rsid w:val="00C45C06"/>
    <w:rsid w:val="00C45D93"/>
    <w:rsid w:val="00C45DAC"/>
    <w:rsid w:val="00C45E56"/>
    <w:rsid w:val="00C4618F"/>
    <w:rsid w:val="00C461DD"/>
    <w:rsid w:val="00C46275"/>
    <w:rsid w:val="00C46397"/>
    <w:rsid w:val="00C46686"/>
    <w:rsid w:val="00C46689"/>
    <w:rsid w:val="00C46701"/>
    <w:rsid w:val="00C46902"/>
    <w:rsid w:val="00C46AF2"/>
    <w:rsid w:val="00C46BFD"/>
    <w:rsid w:val="00C46F42"/>
    <w:rsid w:val="00C46FF2"/>
    <w:rsid w:val="00C47161"/>
    <w:rsid w:val="00C471A6"/>
    <w:rsid w:val="00C472D7"/>
    <w:rsid w:val="00C4759F"/>
    <w:rsid w:val="00C47663"/>
    <w:rsid w:val="00C476C8"/>
    <w:rsid w:val="00C477F8"/>
    <w:rsid w:val="00C4780C"/>
    <w:rsid w:val="00C479C5"/>
    <w:rsid w:val="00C47B0D"/>
    <w:rsid w:val="00C47B33"/>
    <w:rsid w:val="00C47B93"/>
    <w:rsid w:val="00C47C76"/>
    <w:rsid w:val="00C47D13"/>
    <w:rsid w:val="00C47E2D"/>
    <w:rsid w:val="00C47E60"/>
    <w:rsid w:val="00C47ECF"/>
    <w:rsid w:val="00C501F9"/>
    <w:rsid w:val="00C50277"/>
    <w:rsid w:val="00C505BF"/>
    <w:rsid w:val="00C505DF"/>
    <w:rsid w:val="00C50753"/>
    <w:rsid w:val="00C50784"/>
    <w:rsid w:val="00C50949"/>
    <w:rsid w:val="00C50A04"/>
    <w:rsid w:val="00C50C8F"/>
    <w:rsid w:val="00C50CAA"/>
    <w:rsid w:val="00C50CEF"/>
    <w:rsid w:val="00C50D64"/>
    <w:rsid w:val="00C50DDA"/>
    <w:rsid w:val="00C50DED"/>
    <w:rsid w:val="00C50E8D"/>
    <w:rsid w:val="00C50F30"/>
    <w:rsid w:val="00C511EB"/>
    <w:rsid w:val="00C51317"/>
    <w:rsid w:val="00C5144A"/>
    <w:rsid w:val="00C514F1"/>
    <w:rsid w:val="00C51698"/>
    <w:rsid w:val="00C517BE"/>
    <w:rsid w:val="00C518CD"/>
    <w:rsid w:val="00C518D6"/>
    <w:rsid w:val="00C51989"/>
    <w:rsid w:val="00C5199F"/>
    <w:rsid w:val="00C519B5"/>
    <w:rsid w:val="00C519DC"/>
    <w:rsid w:val="00C519F3"/>
    <w:rsid w:val="00C51A05"/>
    <w:rsid w:val="00C51B29"/>
    <w:rsid w:val="00C51C6E"/>
    <w:rsid w:val="00C51D0A"/>
    <w:rsid w:val="00C51EE9"/>
    <w:rsid w:val="00C51F50"/>
    <w:rsid w:val="00C5219A"/>
    <w:rsid w:val="00C52217"/>
    <w:rsid w:val="00C522B3"/>
    <w:rsid w:val="00C522FE"/>
    <w:rsid w:val="00C52334"/>
    <w:rsid w:val="00C52566"/>
    <w:rsid w:val="00C527FC"/>
    <w:rsid w:val="00C52824"/>
    <w:rsid w:val="00C52888"/>
    <w:rsid w:val="00C52A20"/>
    <w:rsid w:val="00C52A98"/>
    <w:rsid w:val="00C52B92"/>
    <w:rsid w:val="00C52BC9"/>
    <w:rsid w:val="00C52CFA"/>
    <w:rsid w:val="00C52DE2"/>
    <w:rsid w:val="00C5305A"/>
    <w:rsid w:val="00C53079"/>
    <w:rsid w:val="00C53165"/>
    <w:rsid w:val="00C53347"/>
    <w:rsid w:val="00C535CB"/>
    <w:rsid w:val="00C5375A"/>
    <w:rsid w:val="00C5375E"/>
    <w:rsid w:val="00C53943"/>
    <w:rsid w:val="00C53A61"/>
    <w:rsid w:val="00C53D75"/>
    <w:rsid w:val="00C53F9B"/>
    <w:rsid w:val="00C54168"/>
    <w:rsid w:val="00C542B4"/>
    <w:rsid w:val="00C54336"/>
    <w:rsid w:val="00C54374"/>
    <w:rsid w:val="00C544A2"/>
    <w:rsid w:val="00C544F3"/>
    <w:rsid w:val="00C5465A"/>
    <w:rsid w:val="00C5468B"/>
    <w:rsid w:val="00C5469E"/>
    <w:rsid w:val="00C546BC"/>
    <w:rsid w:val="00C54746"/>
    <w:rsid w:val="00C5482F"/>
    <w:rsid w:val="00C54849"/>
    <w:rsid w:val="00C54889"/>
    <w:rsid w:val="00C54D17"/>
    <w:rsid w:val="00C54D38"/>
    <w:rsid w:val="00C54D79"/>
    <w:rsid w:val="00C54E97"/>
    <w:rsid w:val="00C54F7F"/>
    <w:rsid w:val="00C5504F"/>
    <w:rsid w:val="00C55121"/>
    <w:rsid w:val="00C55526"/>
    <w:rsid w:val="00C55636"/>
    <w:rsid w:val="00C556F1"/>
    <w:rsid w:val="00C557D5"/>
    <w:rsid w:val="00C557E8"/>
    <w:rsid w:val="00C55996"/>
    <w:rsid w:val="00C55997"/>
    <w:rsid w:val="00C55AF0"/>
    <w:rsid w:val="00C55DE8"/>
    <w:rsid w:val="00C56312"/>
    <w:rsid w:val="00C565D0"/>
    <w:rsid w:val="00C56626"/>
    <w:rsid w:val="00C5662E"/>
    <w:rsid w:val="00C56810"/>
    <w:rsid w:val="00C56823"/>
    <w:rsid w:val="00C569CB"/>
    <w:rsid w:val="00C569F8"/>
    <w:rsid w:val="00C569FB"/>
    <w:rsid w:val="00C56D6C"/>
    <w:rsid w:val="00C56E1E"/>
    <w:rsid w:val="00C56E3A"/>
    <w:rsid w:val="00C56EB1"/>
    <w:rsid w:val="00C56F65"/>
    <w:rsid w:val="00C5702A"/>
    <w:rsid w:val="00C571A0"/>
    <w:rsid w:val="00C57206"/>
    <w:rsid w:val="00C572A5"/>
    <w:rsid w:val="00C572FD"/>
    <w:rsid w:val="00C57304"/>
    <w:rsid w:val="00C57333"/>
    <w:rsid w:val="00C573D0"/>
    <w:rsid w:val="00C575E0"/>
    <w:rsid w:val="00C575E5"/>
    <w:rsid w:val="00C57616"/>
    <w:rsid w:val="00C57628"/>
    <w:rsid w:val="00C576E1"/>
    <w:rsid w:val="00C57715"/>
    <w:rsid w:val="00C57783"/>
    <w:rsid w:val="00C577FD"/>
    <w:rsid w:val="00C57871"/>
    <w:rsid w:val="00C57922"/>
    <w:rsid w:val="00C57944"/>
    <w:rsid w:val="00C579C1"/>
    <w:rsid w:val="00C579C3"/>
    <w:rsid w:val="00C57A6D"/>
    <w:rsid w:val="00C57B90"/>
    <w:rsid w:val="00C57BCB"/>
    <w:rsid w:val="00C60113"/>
    <w:rsid w:val="00C6020B"/>
    <w:rsid w:val="00C602FF"/>
    <w:rsid w:val="00C60411"/>
    <w:rsid w:val="00C6059B"/>
    <w:rsid w:val="00C605A5"/>
    <w:rsid w:val="00C605C1"/>
    <w:rsid w:val="00C606B4"/>
    <w:rsid w:val="00C60918"/>
    <w:rsid w:val="00C60B29"/>
    <w:rsid w:val="00C60B3A"/>
    <w:rsid w:val="00C60B51"/>
    <w:rsid w:val="00C60B6B"/>
    <w:rsid w:val="00C6100F"/>
    <w:rsid w:val="00C6110E"/>
    <w:rsid w:val="00C6111B"/>
    <w:rsid w:val="00C61174"/>
    <w:rsid w:val="00C611A8"/>
    <w:rsid w:val="00C61265"/>
    <w:rsid w:val="00C61316"/>
    <w:rsid w:val="00C61387"/>
    <w:rsid w:val="00C61434"/>
    <w:rsid w:val="00C6148F"/>
    <w:rsid w:val="00C61709"/>
    <w:rsid w:val="00C6175F"/>
    <w:rsid w:val="00C61839"/>
    <w:rsid w:val="00C61964"/>
    <w:rsid w:val="00C61ACB"/>
    <w:rsid w:val="00C61C07"/>
    <w:rsid w:val="00C61D8F"/>
    <w:rsid w:val="00C61ED0"/>
    <w:rsid w:val="00C6202D"/>
    <w:rsid w:val="00C621B1"/>
    <w:rsid w:val="00C621C1"/>
    <w:rsid w:val="00C62357"/>
    <w:rsid w:val="00C623AF"/>
    <w:rsid w:val="00C623EA"/>
    <w:rsid w:val="00C62415"/>
    <w:rsid w:val="00C624B0"/>
    <w:rsid w:val="00C62649"/>
    <w:rsid w:val="00C62866"/>
    <w:rsid w:val="00C62A9E"/>
    <w:rsid w:val="00C62B8C"/>
    <w:rsid w:val="00C62C2A"/>
    <w:rsid w:val="00C62C4F"/>
    <w:rsid w:val="00C62D7C"/>
    <w:rsid w:val="00C62E41"/>
    <w:rsid w:val="00C62E57"/>
    <w:rsid w:val="00C62F7A"/>
    <w:rsid w:val="00C6339C"/>
    <w:rsid w:val="00C63453"/>
    <w:rsid w:val="00C6360C"/>
    <w:rsid w:val="00C6365A"/>
    <w:rsid w:val="00C6380A"/>
    <w:rsid w:val="00C63933"/>
    <w:rsid w:val="00C63961"/>
    <w:rsid w:val="00C63A4B"/>
    <w:rsid w:val="00C63ADE"/>
    <w:rsid w:val="00C63B9C"/>
    <w:rsid w:val="00C63E0D"/>
    <w:rsid w:val="00C6405A"/>
    <w:rsid w:val="00C6406F"/>
    <w:rsid w:val="00C6408E"/>
    <w:rsid w:val="00C6418C"/>
    <w:rsid w:val="00C643C7"/>
    <w:rsid w:val="00C6442F"/>
    <w:rsid w:val="00C6444C"/>
    <w:rsid w:val="00C644E5"/>
    <w:rsid w:val="00C64704"/>
    <w:rsid w:val="00C64A31"/>
    <w:rsid w:val="00C64B51"/>
    <w:rsid w:val="00C64C89"/>
    <w:rsid w:val="00C64D45"/>
    <w:rsid w:val="00C64FE8"/>
    <w:rsid w:val="00C64FF0"/>
    <w:rsid w:val="00C64FF9"/>
    <w:rsid w:val="00C650F4"/>
    <w:rsid w:val="00C651A3"/>
    <w:rsid w:val="00C652F7"/>
    <w:rsid w:val="00C65321"/>
    <w:rsid w:val="00C653D6"/>
    <w:rsid w:val="00C65500"/>
    <w:rsid w:val="00C65698"/>
    <w:rsid w:val="00C6572B"/>
    <w:rsid w:val="00C65956"/>
    <w:rsid w:val="00C65962"/>
    <w:rsid w:val="00C65BB3"/>
    <w:rsid w:val="00C65CA8"/>
    <w:rsid w:val="00C65EA8"/>
    <w:rsid w:val="00C65EAF"/>
    <w:rsid w:val="00C65EC3"/>
    <w:rsid w:val="00C65F73"/>
    <w:rsid w:val="00C6608F"/>
    <w:rsid w:val="00C66096"/>
    <w:rsid w:val="00C660CF"/>
    <w:rsid w:val="00C662FB"/>
    <w:rsid w:val="00C66444"/>
    <w:rsid w:val="00C6657A"/>
    <w:rsid w:val="00C66591"/>
    <w:rsid w:val="00C665D8"/>
    <w:rsid w:val="00C6682F"/>
    <w:rsid w:val="00C66932"/>
    <w:rsid w:val="00C66935"/>
    <w:rsid w:val="00C669DC"/>
    <w:rsid w:val="00C66B1B"/>
    <w:rsid w:val="00C66D1D"/>
    <w:rsid w:val="00C66EC9"/>
    <w:rsid w:val="00C6715B"/>
    <w:rsid w:val="00C671BE"/>
    <w:rsid w:val="00C6721F"/>
    <w:rsid w:val="00C67400"/>
    <w:rsid w:val="00C67401"/>
    <w:rsid w:val="00C675C7"/>
    <w:rsid w:val="00C67619"/>
    <w:rsid w:val="00C676CD"/>
    <w:rsid w:val="00C676E9"/>
    <w:rsid w:val="00C67883"/>
    <w:rsid w:val="00C679AE"/>
    <w:rsid w:val="00C67A21"/>
    <w:rsid w:val="00C67AFA"/>
    <w:rsid w:val="00C67BB7"/>
    <w:rsid w:val="00C67BF4"/>
    <w:rsid w:val="00C67E84"/>
    <w:rsid w:val="00C67EF9"/>
    <w:rsid w:val="00C67F75"/>
    <w:rsid w:val="00C70015"/>
    <w:rsid w:val="00C701A6"/>
    <w:rsid w:val="00C701FA"/>
    <w:rsid w:val="00C70206"/>
    <w:rsid w:val="00C70217"/>
    <w:rsid w:val="00C70357"/>
    <w:rsid w:val="00C70414"/>
    <w:rsid w:val="00C7044E"/>
    <w:rsid w:val="00C70695"/>
    <w:rsid w:val="00C706C0"/>
    <w:rsid w:val="00C70739"/>
    <w:rsid w:val="00C70789"/>
    <w:rsid w:val="00C708F4"/>
    <w:rsid w:val="00C7091F"/>
    <w:rsid w:val="00C70A33"/>
    <w:rsid w:val="00C70B07"/>
    <w:rsid w:val="00C70B7C"/>
    <w:rsid w:val="00C70B8A"/>
    <w:rsid w:val="00C70D34"/>
    <w:rsid w:val="00C70D44"/>
    <w:rsid w:val="00C70F1E"/>
    <w:rsid w:val="00C71000"/>
    <w:rsid w:val="00C7115B"/>
    <w:rsid w:val="00C71247"/>
    <w:rsid w:val="00C715A4"/>
    <w:rsid w:val="00C715C9"/>
    <w:rsid w:val="00C715DF"/>
    <w:rsid w:val="00C7160C"/>
    <w:rsid w:val="00C71641"/>
    <w:rsid w:val="00C718AD"/>
    <w:rsid w:val="00C718F4"/>
    <w:rsid w:val="00C7197D"/>
    <w:rsid w:val="00C719D0"/>
    <w:rsid w:val="00C719E2"/>
    <w:rsid w:val="00C719FF"/>
    <w:rsid w:val="00C71AAB"/>
    <w:rsid w:val="00C71AC6"/>
    <w:rsid w:val="00C71AFF"/>
    <w:rsid w:val="00C71B94"/>
    <w:rsid w:val="00C71C87"/>
    <w:rsid w:val="00C71C9B"/>
    <w:rsid w:val="00C71E31"/>
    <w:rsid w:val="00C721A1"/>
    <w:rsid w:val="00C7222A"/>
    <w:rsid w:val="00C722FA"/>
    <w:rsid w:val="00C72364"/>
    <w:rsid w:val="00C7259D"/>
    <w:rsid w:val="00C726F2"/>
    <w:rsid w:val="00C7275E"/>
    <w:rsid w:val="00C728B8"/>
    <w:rsid w:val="00C729EA"/>
    <w:rsid w:val="00C72A60"/>
    <w:rsid w:val="00C72A63"/>
    <w:rsid w:val="00C72B63"/>
    <w:rsid w:val="00C72B7C"/>
    <w:rsid w:val="00C72BB1"/>
    <w:rsid w:val="00C72CC3"/>
    <w:rsid w:val="00C72CCC"/>
    <w:rsid w:val="00C72CD7"/>
    <w:rsid w:val="00C72D3F"/>
    <w:rsid w:val="00C72E23"/>
    <w:rsid w:val="00C72E2C"/>
    <w:rsid w:val="00C73055"/>
    <w:rsid w:val="00C73090"/>
    <w:rsid w:val="00C731AF"/>
    <w:rsid w:val="00C73289"/>
    <w:rsid w:val="00C73290"/>
    <w:rsid w:val="00C73428"/>
    <w:rsid w:val="00C7359D"/>
    <w:rsid w:val="00C73714"/>
    <w:rsid w:val="00C73741"/>
    <w:rsid w:val="00C737E8"/>
    <w:rsid w:val="00C7383A"/>
    <w:rsid w:val="00C738EF"/>
    <w:rsid w:val="00C7393C"/>
    <w:rsid w:val="00C7396D"/>
    <w:rsid w:val="00C739F2"/>
    <w:rsid w:val="00C73B83"/>
    <w:rsid w:val="00C73B8E"/>
    <w:rsid w:val="00C73BE6"/>
    <w:rsid w:val="00C73C45"/>
    <w:rsid w:val="00C73FBD"/>
    <w:rsid w:val="00C741B6"/>
    <w:rsid w:val="00C7445B"/>
    <w:rsid w:val="00C7455D"/>
    <w:rsid w:val="00C74582"/>
    <w:rsid w:val="00C746CE"/>
    <w:rsid w:val="00C74726"/>
    <w:rsid w:val="00C747DF"/>
    <w:rsid w:val="00C748B2"/>
    <w:rsid w:val="00C749FB"/>
    <w:rsid w:val="00C749FF"/>
    <w:rsid w:val="00C74AB7"/>
    <w:rsid w:val="00C74C5D"/>
    <w:rsid w:val="00C74D6C"/>
    <w:rsid w:val="00C74E2C"/>
    <w:rsid w:val="00C74E9A"/>
    <w:rsid w:val="00C75120"/>
    <w:rsid w:val="00C7514B"/>
    <w:rsid w:val="00C7522A"/>
    <w:rsid w:val="00C75272"/>
    <w:rsid w:val="00C75283"/>
    <w:rsid w:val="00C752F0"/>
    <w:rsid w:val="00C753BA"/>
    <w:rsid w:val="00C754CB"/>
    <w:rsid w:val="00C75732"/>
    <w:rsid w:val="00C757D8"/>
    <w:rsid w:val="00C7585C"/>
    <w:rsid w:val="00C75892"/>
    <w:rsid w:val="00C758FD"/>
    <w:rsid w:val="00C75922"/>
    <w:rsid w:val="00C75996"/>
    <w:rsid w:val="00C75AEE"/>
    <w:rsid w:val="00C75B39"/>
    <w:rsid w:val="00C75BB8"/>
    <w:rsid w:val="00C75CFF"/>
    <w:rsid w:val="00C75E35"/>
    <w:rsid w:val="00C75F08"/>
    <w:rsid w:val="00C75F8E"/>
    <w:rsid w:val="00C76071"/>
    <w:rsid w:val="00C7615B"/>
    <w:rsid w:val="00C761CD"/>
    <w:rsid w:val="00C763C6"/>
    <w:rsid w:val="00C76524"/>
    <w:rsid w:val="00C765C4"/>
    <w:rsid w:val="00C765E9"/>
    <w:rsid w:val="00C76659"/>
    <w:rsid w:val="00C7671C"/>
    <w:rsid w:val="00C767A4"/>
    <w:rsid w:val="00C7682C"/>
    <w:rsid w:val="00C76959"/>
    <w:rsid w:val="00C76A91"/>
    <w:rsid w:val="00C76BB0"/>
    <w:rsid w:val="00C76CA6"/>
    <w:rsid w:val="00C76F22"/>
    <w:rsid w:val="00C7715C"/>
    <w:rsid w:val="00C77215"/>
    <w:rsid w:val="00C772A3"/>
    <w:rsid w:val="00C772FA"/>
    <w:rsid w:val="00C77313"/>
    <w:rsid w:val="00C77384"/>
    <w:rsid w:val="00C77470"/>
    <w:rsid w:val="00C774B7"/>
    <w:rsid w:val="00C77850"/>
    <w:rsid w:val="00C7785E"/>
    <w:rsid w:val="00C7788F"/>
    <w:rsid w:val="00C77971"/>
    <w:rsid w:val="00C779C6"/>
    <w:rsid w:val="00C77C39"/>
    <w:rsid w:val="00C77CB7"/>
    <w:rsid w:val="00C77CC4"/>
    <w:rsid w:val="00C77D56"/>
    <w:rsid w:val="00C77D67"/>
    <w:rsid w:val="00C801B1"/>
    <w:rsid w:val="00C801CF"/>
    <w:rsid w:val="00C80250"/>
    <w:rsid w:val="00C8026B"/>
    <w:rsid w:val="00C80720"/>
    <w:rsid w:val="00C807BD"/>
    <w:rsid w:val="00C809DC"/>
    <w:rsid w:val="00C80ACD"/>
    <w:rsid w:val="00C80BDB"/>
    <w:rsid w:val="00C80D6D"/>
    <w:rsid w:val="00C80D93"/>
    <w:rsid w:val="00C80E4A"/>
    <w:rsid w:val="00C80EB0"/>
    <w:rsid w:val="00C80F73"/>
    <w:rsid w:val="00C810D2"/>
    <w:rsid w:val="00C811C4"/>
    <w:rsid w:val="00C811DB"/>
    <w:rsid w:val="00C811EC"/>
    <w:rsid w:val="00C8136E"/>
    <w:rsid w:val="00C8152A"/>
    <w:rsid w:val="00C8155E"/>
    <w:rsid w:val="00C81580"/>
    <w:rsid w:val="00C81684"/>
    <w:rsid w:val="00C81777"/>
    <w:rsid w:val="00C81853"/>
    <w:rsid w:val="00C81A3D"/>
    <w:rsid w:val="00C81AC1"/>
    <w:rsid w:val="00C81D72"/>
    <w:rsid w:val="00C81DE2"/>
    <w:rsid w:val="00C81DEF"/>
    <w:rsid w:val="00C81E02"/>
    <w:rsid w:val="00C8203C"/>
    <w:rsid w:val="00C82056"/>
    <w:rsid w:val="00C8207F"/>
    <w:rsid w:val="00C8208B"/>
    <w:rsid w:val="00C8211B"/>
    <w:rsid w:val="00C821B1"/>
    <w:rsid w:val="00C822C9"/>
    <w:rsid w:val="00C8231A"/>
    <w:rsid w:val="00C8231C"/>
    <w:rsid w:val="00C82498"/>
    <w:rsid w:val="00C824B4"/>
    <w:rsid w:val="00C82513"/>
    <w:rsid w:val="00C82666"/>
    <w:rsid w:val="00C8269D"/>
    <w:rsid w:val="00C826A5"/>
    <w:rsid w:val="00C8270A"/>
    <w:rsid w:val="00C82824"/>
    <w:rsid w:val="00C82886"/>
    <w:rsid w:val="00C82AE3"/>
    <w:rsid w:val="00C82B9E"/>
    <w:rsid w:val="00C82C73"/>
    <w:rsid w:val="00C82E45"/>
    <w:rsid w:val="00C82E50"/>
    <w:rsid w:val="00C82EDC"/>
    <w:rsid w:val="00C82FA9"/>
    <w:rsid w:val="00C83059"/>
    <w:rsid w:val="00C8310C"/>
    <w:rsid w:val="00C831E3"/>
    <w:rsid w:val="00C8328F"/>
    <w:rsid w:val="00C832DE"/>
    <w:rsid w:val="00C833FC"/>
    <w:rsid w:val="00C8370F"/>
    <w:rsid w:val="00C839A0"/>
    <w:rsid w:val="00C83B69"/>
    <w:rsid w:val="00C83B73"/>
    <w:rsid w:val="00C83B78"/>
    <w:rsid w:val="00C83C08"/>
    <w:rsid w:val="00C83C16"/>
    <w:rsid w:val="00C83C8B"/>
    <w:rsid w:val="00C83D2D"/>
    <w:rsid w:val="00C83D4E"/>
    <w:rsid w:val="00C83F32"/>
    <w:rsid w:val="00C84205"/>
    <w:rsid w:val="00C8432C"/>
    <w:rsid w:val="00C8433B"/>
    <w:rsid w:val="00C84478"/>
    <w:rsid w:val="00C84A2A"/>
    <w:rsid w:val="00C84B33"/>
    <w:rsid w:val="00C84BAA"/>
    <w:rsid w:val="00C84D79"/>
    <w:rsid w:val="00C84E5C"/>
    <w:rsid w:val="00C84FB9"/>
    <w:rsid w:val="00C84FEB"/>
    <w:rsid w:val="00C85032"/>
    <w:rsid w:val="00C851BC"/>
    <w:rsid w:val="00C852C5"/>
    <w:rsid w:val="00C852EC"/>
    <w:rsid w:val="00C85380"/>
    <w:rsid w:val="00C853E7"/>
    <w:rsid w:val="00C85594"/>
    <w:rsid w:val="00C85905"/>
    <w:rsid w:val="00C8592E"/>
    <w:rsid w:val="00C85932"/>
    <w:rsid w:val="00C85A23"/>
    <w:rsid w:val="00C85AC1"/>
    <w:rsid w:val="00C85BDE"/>
    <w:rsid w:val="00C85BF4"/>
    <w:rsid w:val="00C85C20"/>
    <w:rsid w:val="00C85C87"/>
    <w:rsid w:val="00C85C9D"/>
    <w:rsid w:val="00C85CA5"/>
    <w:rsid w:val="00C85D44"/>
    <w:rsid w:val="00C85E07"/>
    <w:rsid w:val="00C85EAA"/>
    <w:rsid w:val="00C85EB6"/>
    <w:rsid w:val="00C85FBF"/>
    <w:rsid w:val="00C86015"/>
    <w:rsid w:val="00C86048"/>
    <w:rsid w:val="00C86109"/>
    <w:rsid w:val="00C8612D"/>
    <w:rsid w:val="00C86225"/>
    <w:rsid w:val="00C862D0"/>
    <w:rsid w:val="00C86349"/>
    <w:rsid w:val="00C863C4"/>
    <w:rsid w:val="00C8642E"/>
    <w:rsid w:val="00C864EE"/>
    <w:rsid w:val="00C867A1"/>
    <w:rsid w:val="00C8680F"/>
    <w:rsid w:val="00C868DE"/>
    <w:rsid w:val="00C869A9"/>
    <w:rsid w:val="00C86A6D"/>
    <w:rsid w:val="00C86A89"/>
    <w:rsid w:val="00C86C8E"/>
    <w:rsid w:val="00C86DCB"/>
    <w:rsid w:val="00C87030"/>
    <w:rsid w:val="00C8704C"/>
    <w:rsid w:val="00C87119"/>
    <w:rsid w:val="00C87472"/>
    <w:rsid w:val="00C87578"/>
    <w:rsid w:val="00C875D1"/>
    <w:rsid w:val="00C875E3"/>
    <w:rsid w:val="00C876A8"/>
    <w:rsid w:val="00C877DA"/>
    <w:rsid w:val="00C87805"/>
    <w:rsid w:val="00C878B2"/>
    <w:rsid w:val="00C878EB"/>
    <w:rsid w:val="00C87C4D"/>
    <w:rsid w:val="00C87D0B"/>
    <w:rsid w:val="00C87D71"/>
    <w:rsid w:val="00C87F65"/>
    <w:rsid w:val="00C87F68"/>
    <w:rsid w:val="00C87FDE"/>
    <w:rsid w:val="00C87FE3"/>
    <w:rsid w:val="00C90099"/>
    <w:rsid w:val="00C901AF"/>
    <w:rsid w:val="00C903BF"/>
    <w:rsid w:val="00C903EF"/>
    <w:rsid w:val="00C9064C"/>
    <w:rsid w:val="00C90708"/>
    <w:rsid w:val="00C90726"/>
    <w:rsid w:val="00C90748"/>
    <w:rsid w:val="00C9074D"/>
    <w:rsid w:val="00C90874"/>
    <w:rsid w:val="00C90A23"/>
    <w:rsid w:val="00C90CD9"/>
    <w:rsid w:val="00C90DAB"/>
    <w:rsid w:val="00C90DBA"/>
    <w:rsid w:val="00C90EB5"/>
    <w:rsid w:val="00C90F2D"/>
    <w:rsid w:val="00C90FD1"/>
    <w:rsid w:val="00C9101F"/>
    <w:rsid w:val="00C912F7"/>
    <w:rsid w:val="00C913D2"/>
    <w:rsid w:val="00C913E0"/>
    <w:rsid w:val="00C9143E"/>
    <w:rsid w:val="00C916C8"/>
    <w:rsid w:val="00C916EF"/>
    <w:rsid w:val="00C917EB"/>
    <w:rsid w:val="00C9193B"/>
    <w:rsid w:val="00C91942"/>
    <w:rsid w:val="00C91966"/>
    <w:rsid w:val="00C9198D"/>
    <w:rsid w:val="00C91B19"/>
    <w:rsid w:val="00C91B92"/>
    <w:rsid w:val="00C91BF4"/>
    <w:rsid w:val="00C91C5A"/>
    <w:rsid w:val="00C91C5D"/>
    <w:rsid w:val="00C91D65"/>
    <w:rsid w:val="00C91F48"/>
    <w:rsid w:val="00C92062"/>
    <w:rsid w:val="00C920EA"/>
    <w:rsid w:val="00C921B7"/>
    <w:rsid w:val="00C9225F"/>
    <w:rsid w:val="00C922F0"/>
    <w:rsid w:val="00C92323"/>
    <w:rsid w:val="00C92603"/>
    <w:rsid w:val="00C92674"/>
    <w:rsid w:val="00C92697"/>
    <w:rsid w:val="00C92817"/>
    <w:rsid w:val="00C92906"/>
    <w:rsid w:val="00C92A3F"/>
    <w:rsid w:val="00C92AFE"/>
    <w:rsid w:val="00C92BE5"/>
    <w:rsid w:val="00C92BE7"/>
    <w:rsid w:val="00C92C09"/>
    <w:rsid w:val="00C92C9D"/>
    <w:rsid w:val="00C92CE0"/>
    <w:rsid w:val="00C92D99"/>
    <w:rsid w:val="00C92E92"/>
    <w:rsid w:val="00C92F72"/>
    <w:rsid w:val="00C93001"/>
    <w:rsid w:val="00C93052"/>
    <w:rsid w:val="00C9338A"/>
    <w:rsid w:val="00C933FD"/>
    <w:rsid w:val="00C93434"/>
    <w:rsid w:val="00C934B5"/>
    <w:rsid w:val="00C936CD"/>
    <w:rsid w:val="00C9370B"/>
    <w:rsid w:val="00C93800"/>
    <w:rsid w:val="00C938DB"/>
    <w:rsid w:val="00C9391B"/>
    <w:rsid w:val="00C93924"/>
    <w:rsid w:val="00C9399E"/>
    <w:rsid w:val="00C93C3E"/>
    <w:rsid w:val="00C93E40"/>
    <w:rsid w:val="00C93F0E"/>
    <w:rsid w:val="00C93FA8"/>
    <w:rsid w:val="00C940C8"/>
    <w:rsid w:val="00C94295"/>
    <w:rsid w:val="00C942A2"/>
    <w:rsid w:val="00C942B4"/>
    <w:rsid w:val="00C94499"/>
    <w:rsid w:val="00C9449C"/>
    <w:rsid w:val="00C94531"/>
    <w:rsid w:val="00C945E3"/>
    <w:rsid w:val="00C946FB"/>
    <w:rsid w:val="00C9478E"/>
    <w:rsid w:val="00C94879"/>
    <w:rsid w:val="00C9498D"/>
    <w:rsid w:val="00C94CDB"/>
    <w:rsid w:val="00C94DBD"/>
    <w:rsid w:val="00C94F44"/>
    <w:rsid w:val="00C94FC8"/>
    <w:rsid w:val="00C95047"/>
    <w:rsid w:val="00C95160"/>
    <w:rsid w:val="00C95323"/>
    <w:rsid w:val="00C95352"/>
    <w:rsid w:val="00C95392"/>
    <w:rsid w:val="00C954D7"/>
    <w:rsid w:val="00C9558D"/>
    <w:rsid w:val="00C9564E"/>
    <w:rsid w:val="00C9578B"/>
    <w:rsid w:val="00C95888"/>
    <w:rsid w:val="00C958D1"/>
    <w:rsid w:val="00C95A7C"/>
    <w:rsid w:val="00C95A83"/>
    <w:rsid w:val="00C95AD5"/>
    <w:rsid w:val="00C95B80"/>
    <w:rsid w:val="00C95C3F"/>
    <w:rsid w:val="00C95C7B"/>
    <w:rsid w:val="00C95CDE"/>
    <w:rsid w:val="00C95D7C"/>
    <w:rsid w:val="00C95F8E"/>
    <w:rsid w:val="00C9610A"/>
    <w:rsid w:val="00C9617D"/>
    <w:rsid w:val="00C961C6"/>
    <w:rsid w:val="00C962B1"/>
    <w:rsid w:val="00C962E6"/>
    <w:rsid w:val="00C96347"/>
    <w:rsid w:val="00C9640E"/>
    <w:rsid w:val="00C9642B"/>
    <w:rsid w:val="00C964EF"/>
    <w:rsid w:val="00C9657E"/>
    <w:rsid w:val="00C9671D"/>
    <w:rsid w:val="00C969F4"/>
    <w:rsid w:val="00C96B12"/>
    <w:rsid w:val="00C96BCC"/>
    <w:rsid w:val="00C96EB6"/>
    <w:rsid w:val="00C96EE0"/>
    <w:rsid w:val="00C97230"/>
    <w:rsid w:val="00C97241"/>
    <w:rsid w:val="00C972C0"/>
    <w:rsid w:val="00C97306"/>
    <w:rsid w:val="00C97438"/>
    <w:rsid w:val="00C97440"/>
    <w:rsid w:val="00C97537"/>
    <w:rsid w:val="00C975CF"/>
    <w:rsid w:val="00C9765B"/>
    <w:rsid w:val="00C976F0"/>
    <w:rsid w:val="00C97858"/>
    <w:rsid w:val="00C979B3"/>
    <w:rsid w:val="00C97A76"/>
    <w:rsid w:val="00C97AE7"/>
    <w:rsid w:val="00C97AEF"/>
    <w:rsid w:val="00C97C87"/>
    <w:rsid w:val="00C97C8D"/>
    <w:rsid w:val="00CA036B"/>
    <w:rsid w:val="00CA05A6"/>
    <w:rsid w:val="00CA0827"/>
    <w:rsid w:val="00CA08B7"/>
    <w:rsid w:val="00CA0964"/>
    <w:rsid w:val="00CA0988"/>
    <w:rsid w:val="00CA0B43"/>
    <w:rsid w:val="00CA0B96"/>
    <w:rsid w:val="00CA0BBB"/>
    <w:rsid w:val="00CA0CA9"/>
    <w:rsid w:val="00CA0CDF"/>
    <w:rsid w:val="00CA0D79"/>
    <w:rsid w:val="00CA0DA0"/>
    <w:rsid w:val="00CA0E07"/>
    <w:rsid w:val="00CA0E19"/>
    <w:rsid w:val="00CA0E5E"/>
    <w:rsid w:val="00CA0EAA"/>
    <w:rsid w:val="00CA0EB0"/>
    <w:rsid w:val="00CA101E"/>
    <w:rsid w:val="00CA1143"/>
    <w:rsid w:val="00CA1166"/>
    <w:rsid w:val="00CA12B0"/>
    <w:rsid w:val="00CA12E3"/>
    <w:rsid w:val="00CA130C"/>
    <w:rsid w:val="00CA13AD"/>
    <w:rsid w:val="00CA1476"/>
    <w:rsid w:val="00CA1511"/>
    <w:rsid w:val="00CA1524"/>
    <w:rsid w:val="00CA1686"/>
    <w:rsid w:val="00CA16AF"/>
    <w:rsid w:val="00CA1719"/>
    <w:rsid w:val="00CA17CA"/>
    <w:rsid w:val="00CA18C0"/>
    <w:rsid w:val="00CA18E5"/>
    <w:rsid w:val="00CA1A24"/>
    <w:rsid w:val="00CA1D15"/>
    <w:rsid w:val="00CA1D35"/>
    <w:rsid w:val="00CA1E80"/>
    <w:rsid w:val="00CA1F8B"/>
    <w:rsid w:val="00CA1F9D"/>
    <w:rsid w:val="00CA206A"/>
    <w:rsid w:val="00CA2282"/>
    <w:rsid w:val="00CA2840"/>
    <w:rsid w:val="00CA2865"/>
    <w:rsid w:val="00CA2877"/>
    <w:rsid w:val="00CA2AA9"/>
    <w:rsid w:val="00CA2B12"/>
    <w:rsid w:val="00CA2B76"/>
    <w:rsid w:val="00CA2C0C"/>
    <w:rsid w:val="00CA2C2B"/>
    <w:rsid w:val="00CA2C3F"/>
    <w:rsid w:val="00CA2D9B"/>
    <w:rsid w:val="00CA2E36"/>
    <w:rsid w:val="00CA2F54"/>
    <w:rsid w:val="00CA3331"/>
    <w:rsid w:val="00CA336D"/>
    <w:rsid w:val="00CA3438"/>
    <w:rsid w:val="00CA3456"/>
    <w:rsid w:val="00CA346A"/>
    <w:rsid w:val="00CA35EC"/>
    <w:rsid w:val="00CA36BF"/>
    <w:rsid w:val="00CA39A8"/>
    <w:rsid w:val="00CA3A10"/>
    <w:rsid w:val="00CA3A52"/>
    <w:rsid w:val="00CA3B26"/>
    <w:rsid w:val="00CA3B29"/>
    <w:rsid w:val="00CA3BE6"/>
    <w:rsid w:val="00CA3DC7"/>
    <w:rsid w:val="00CA3E85"/>
    <w:rsid w:val="00CA3EAC"/>
    <w:rsid w:val="00CA3EB9"/>
    <w:rsid w:val="00CA409F"/>
    <w:rsid w:val="00CA40DC"/>
    <w:rsid w:val="00CA40E5"/>
    <w:rsid w:val="00CA4140"/>
    <w:rsid w:val="00CA4324"/>
    <w:rsid w:val="00CA4333"/>
    <w:rsid w:val="00CA4401"/>
    <w:rsid w:val="00CA46D0"/>
    <w:rsid w:val="00CA4729"/>
    <w:rsid w:val="00CA483B"/>
    <w:rsid w:val="00CA48A6"/>
    <w:rsid w:val="00CA49FB"/>
    <w:rsid w:val="00CA4A26"/>
    <w:rsid w:val="00CA4A9E"/>
    <w:rsid w:val="00CA4B83"/>
    <w:rsid w:val="00CA4CB4"/>
    <w:rsid w:val="00CA4D17"/>
    <w:rsid w:val="00CA50BE"/>
    <w:rsid w:val="00CA50FB"/>
    <w:rsid w:val="00CA52AD"/>
    <w:rsid w:val="00CA538F"/>
    <w:rsid w:val="00CA54B1"/>
    <w:rsid w:val="00CA565D"/>
    <w:rsid w:val="00CA57EE"/>
    <w:rsid w:val="00CA5A15"/>
    <w:rsid w:val="00CA5B2C"/>
    <w:rsid w:val="00CA5B93"/>
    <w:rsid w:val="00CA5DA0"/>
    <w:rsid w:val="00CA5ED7"/>
    <w:rsid w:val="00CA5F3D"/>
    <w:rsid w:val="00CA60E6"/>
    <w:rsid w:val="00CA6133"/>
    <w:rsid w:val="00CA61A3"/>
    <w:rsid w:val="00CA61CB"/>
    <w:rsid w:val="00CA6213"/>
    <w:rsid w:val="00CA630D"/>
    <w:rsid w:val="00CA63C1"/>
    <w:rsid w:val="00CA6522"/>
    <w:rsid w:val="00CA65D8"/>
    <w:rsid w:val="00CA6611"/>
    <w:rsid w:val="00CA672C"/>
    <w:rsid w:val="00CA680D"/>
    <w:rsid w:val="00CA6889"/>
    <w:rsid w:val="00CA6AE6"/>
    <w:rsid w:val="00CA6BD8"/>
    <w:rsid w:val="00CA6D82"/>
    <w:rsid w:val="00CA6F7C"/>
    <w:rsid w:val="00CA704C"/>
    <w:rsid w:val="00CA71B3"/>
    <w:rsid w:val="00CA74B2"/>
    <w:rsid w:val="00CA7785"/>
    <w:rsid w:val="00CA782F"/>
    <w:rsid w:val="00CA78ED"/>
    <w:rsid w:val="00CA7D25"/>
    <w:rsid w:val="00CB009F"/>
    <w:rsid w:val="00CB0177"/>
    <w:rsid w:val="00CB028A"/>
    <w:rsid w:val="00CB02B4"/>
    <w:rsid w:val="00CB03BC"/>
    <w:rsid w:val="00CB0427"/>
    <w:rsid w:val="00CB0517"/>
    <w:rsid w:val="00CB0772"/>
    <w:rsid w:val="00CB0889"/>
    <w:rsid w:val="00CB08A5"/>
    <w:rsid w:val="00CB08AB"/>
    <w:rsid w:val="00CB090F"/>
    <w:rsid w:val="00CB0B50"/>
    <w:rsid w:val="00CB0C74"/>
    <w:rsid w:val="00CB0E8B"/>
    <w:rsid w:val="00CB105E"/>
    <w:rsid w:val="00CB12AB"/>
    <w:rsid w:val="00CB12CC"/>
    <w:rsid w:val="00CB133F"/>
    <w:rsid w:val="00CB13DD"/>
    <w:rsid w:val="00CB1421"/>
    <w:rsid w:val="00CB149F"/>
    <w:rsid w:val="00CB1570"/>
    <w:rsid w:val="00CB164C"/>
    <w:rsid w:val="00CB1719"/>
    <w:rsid w:val="00CB187B"/>
    <w:rsid w:val="00CB197E"/>
    <w:rsid w:val="00CB1A57"/>
    <w:rsid w:val="00CB1C27"/>
    <w:rsid w:val="00CB1C67"/>
    <w:rsid w:val="00CB1E1A"/>
    <w:rsid w:val="00CB1E4F"/>
    <w:rsid w:val="00CB1E79"/>
    <w:rsid w:val="00CB1EF8"/>
    <w:rsid w:val="00CB1F7F"/>
    <w:rsid w:val="00CB1F8C"/>
    <w:rsid w:val="00CB1F96"/>
    <w:rsid w:val="00CB20D8"/>
    <w:rsid w:val="00CB222A"/>
    <w:rsid w:val="00CB233A"/>
    <w:rsid w:val="00CB2371"/>
    <w:rsid w:val="00CB23BE"/>
    <w:rsid w:val="00CB262D"/>
    <w:rsid w:val="00CB2724"/>
    <w:rsid w:val="00CB2835"/>
    <w:rsid w:val="00CB287F"/>
    <w:rsid w:val="00CB29CE"/>
    <w:rsid w:val="00CB2AEA"/>
    <w:rsid w:val="00CB2C2F"/>
    <w:rsid w:val="00CB2CE3"/>
    <w:rsid w:val="00CB2CEE"/>
    <w:rsid w:val="00CB2D9C"/>
    <w:rsid w:val="00CB2DF0"/>
    <w:rsid w:val="00CB2F11"/>
    <w:rsid w:val="00CB2F73"/>
    <w:rsid w:val="00CB3074"/>
    <w:rsid w:val="00CB3285"/>
    <w:rsid w:val="00CB32A9"/>
    <w:rsid w:val="00CB3312"/>
    <w:rsid w:val="00CB347F"/>
    <w:rsid w:val="00CB3655"/>
    <w:rsid w:val="00CB3690"/>
    <w:rsid w:val="00CB3766"/>
    <w:rsid w:val="00CB377E"/>
    <w:rsid w:val="00CB37E1"/>
    <w:rsid w:val="00CB3807"/>
    <w:rsid w:val="00CB3870"/>
    <w:rsid w:val="00CB3A40"/>
    <w:rsid w:val="00CB3A4B"/>
    <w:rsid w:val="00CB3A8F"/>
    <w:rsid w:val="00CB3B48"/>
    <w:rsid w:val="00CB3C7E"/>
    <w:rsid w:val="00CB3E79"/>
    <w:rsid w:val="00CB3E9D"/>
    <w:rsid w:val="00CB4053"/>
    <w:rsid w:val="00CB40E7"/>
    <w:rsid w:val="00CB40EF"/>
    <w:rsid w:val="00CB40F2"/>
    <w:rsid w:val="00CB4100"/>
    <w:rsid w:val="00CB4213"/>
    <w:rsid w:val="00CB4231"/>
    <w:rsid w:val="00CB427B"/>
    <w:rsid w:val="00CB4500"/>
    <w:rsid w:val="00CB4796"/>
    <w:rsid w:val="00CB479A"/>
    <w:rsid w:val="00CB47CF"/>
    <w:rsid w:val="00CB4875"/>
    <w:rsid w:val="00CB487B"/>
    <w:rsid w:val="00CB48E7"/>
    <w:rsid w:val="00CB49BE"/>
    <w:rsid w:val="00CB4A50"/>
    <w:rsid w:val="00CB4B24"/>
    <w:rsid w:val="00CB4E95"/>
    <w:rsid w:val="00CB4F42"/>
    <w:rsid w:val="00CB50E9"/>
    <w:rsid w:val="00CB51D5"/>
    <w:rsid w:val="00CB52E6"/>
    <w:rsid w:val="00CB53E8"/>
    <w:rsid w:val="00CB547D"/>
    <w:rsid w:val="00CB5512"/>
    <w:rsid w:val="00CB555C"/>
    <w:rsid w:val="00CB5560"/>
    <w:rsid w:val="00CB55E3"/>
    <w:rsid w:val="00CB5896"/>
    <w:rsid w:val="00CB5AAE"/>
    <w:rsid w:val="00CB5C30"/>
    <w:rsid w:val="00CB5C85"/>
    <w:rsid w:val="00CB5EA8"/>
    <w:rsid w:val="00CB6036"/>
    <w:rsid w:val="00CB6116"/>
    <w:rsid w:val="00CB61AF"/>
    <w:rsid w:val="00CB6312"/>
    <w:rsid w:val="00CB633A"/>
    <w:rsid w:val="00CB64A9"/>
    <w:rsid w:val="00CB64E7"/>
    <w:rsid w:val="00CB6559"/>
    <w:rsid w:val="00CB6826"/>
    <w:rsid w:val="00CB69CF"/>
    <w:rsid w:val="00CB6A16"/>
    <w:rsid w:val="00CB6C1E"/>
    <w:rsid w:val="00CB6C3C"/>
    <w:rsid w:val="00CB6D28"/>
    <w:rsid w:val="00CB6E0F"/>
    <w:rsid w:val="00CB6E2E"/>
    <w:rsid w:val="00CB716A"/>
    <w:rsid w:val="00CB71BD"/>
    <w:rsid w:val="00CB7224"/>
    <w:rsid w:val="00CB725D"/>
    <w:rsid w:val="00CB727C"/>
    <w:rsid w:val="00CB72CC"/>
    <w:rsid w:val="00CB73C2"/>
    <w:rsid w:val="00CB74B0"/>
    <w:rsid w:val="00CB7525"/>
    <w:rsid w:val="00CB75F6"/>
    <w:rsid w:val="00CB7744"/>
    <w:rsid w:val="00CB7785"/>
    <w:rsid w:val="00CB7833"/>
    <w:rsid w:val="00CB787A"/>
    <w:rsid w:val="00CB78AD"/>
    <w:rsid w:val="00CB7C95"/>
    <w:rsid w:val="00CB7CF2"/>
    <w:rsid w:val="00CB7D0F"/>
    <w:rsid w:val="00CB7D36"/>
    <w:rsid w:val="00CB7FB9"/>
    <w:rsid w:val="00CC00AD"/>
    <w:rsid w:val="00CC016A"/>
    <w:rsid w:val="00CC01B9"/>
    <w:rsid w:val="00CC0378"/>
    <w:rsid w:val="00CC0405"/>
    <w:rsid w:val="00CC044F"/>
    <w:rsid w:val="00CC04B7"/>
    <w:rsid w:val="00CC04CF"/>
    <w:rsid w:val="00CC0537"/>
    <w:rsid w:val="00CC061B"/>
    <w:rsid w:val="00CC06DB"/>
    <w:rsid w:val="00CC07AC"/>
    <w:rsid w:val="00CC07DA"/>
    <w:rsid w:val="00CC088A"/>
    <w:rsid w:val="00CC0929"/>
    <w:rsid w:val="00CC09E2"/>
    <w:rsid w:val="00CC0AD5"/>
    <w:rsid w:val="00CC0BCF"/>
    <w:rsid w:val="00CC0C72"/>
    <w:rsid w:val="00CC0E05"/>
    <w:rsid w:val="00CC0EA1"/>
    <w:rsid w:val="00CC0EEB"/>
    <w:rsid w:val="00CC0F6D"/>
    <w:rsid w:val="00CC0F89"/>
    <w:rsid w:val="00CC1066"/>
    <w:rsid w:val="00CC1143"/>
    <w:rsid w:val="00CC1263"/>
    <w:rsid w:val="00CC12C5"/>
    <w:rsid w:val="00CC15A8"/>
    <w:rsid w:val="00CC1877"/>
    <w:rsid w:val="00CC18B7"/>
    <w:rsid w:val="00CC19E0"/>
    <w:rsid w:val="00CC1A97"/>
    <w:rsid w:val="00CC1B3E"/>
    <w:rsid w:val="00CC1D5B"/>
    <w:rsid w:val="00CC1DC8"/>
    <w:rsid w:val="00CC1E21"/>
    <w:rsid w:val="00CC1E78"/>
    <w:rsid w:val="00CC1EA6"/>
    <w:rsid w:val="00CC1F12"/>
    <w:rsid w:val="00CC2057"/>
    <w:rsid w:val="00CC20DC"/>
    <w:rsid w:val="00CC2148"/>
    <w:rsid w:val="00CC219C"/>
    <w:rsid w:val="00CC2243"/>
    <w:rsid w:val="00CC23CB"/>
    <w:rsid w:val="00CC2463"/>
    <w:rsid w:val="00CC24F3"/>
    <w:rsid w:val="00CC2538"/>
    <w:rsid w:val="00CC259E"/>
    <w:rsid w:val="00CC26CB"/>
    <w:rsid w:val="00CC26E2"/>
    <w:rsid w:val="00CC278A"/>
    <w:rsid w:val="00CC2897"/>
    <w:rsid w:val="00CC29D8"/>
    <w:rsid w:val="00CC2A32"/>
    <w:rsid w:val="00CC2B3C"/>
    <w:rsid w:val="00CC2B83"/>
    <w:rsid w:val="00CC2B9B"/>
    <w:rsid w:val="00CC2BFD"/>
    <w:rsid w:val="00CC2C1C"/>
    <w:rsid w:val="00CC2C83"/>
    <w:rsid w:val="00CC2D98"/>
    <w:rsid w:val="00CC2F0A"/>
    <w:rsid w:val="00CC3113"/>
    <w:rsid w:val="00CC3117"/>
    <w:rsid w:val="00CC3180"/>
    <w:rsid w:val="00CC3261"/>
    <w:rsid w:val="00CC33B3"/>
    <w:rsid w:val="00CC33E5"/>
    <w:rsid w:val="00CC3461"/>
    <w:rsid w:val="00CC34D9"/>
    <w:rsid w:val="00CC34F8"/>
    <w:rsid w:val="00CC3652"/>
    <w:rsid w:val="00CC3676"/>
    <w:rsid w:val="00CC3766"/>
    <w:rsid w:val="00CC3816"/>
    <w:rsid w:val="00CC3822"/>
    <w:rsid w:val="00CC3B4A"/>
    <w:rsid w:val="00CC3BDC"/>
    <w:rsid w:val="00CC3CD8"/>
    <w:rsid w:val="00CC3D0A"/>
    <w:rsid w:val="00CC3D12"/>
    <w:rsid w:val="00CC3D24"/>
    <w:rsid w:val="00CC3D7D"/>
    <w:rsid w:val="00CC3E40"/>
    <w:rsid w:val="00CC3EB5"/>
    <w:rsid w:val="00CC3F12"/>
    <w:rsid w:val="00CC3FD4"/>
    <w:rsid w:val="00CC3FD5"/>
    <w:rsid w:val="00CC3FF3"/>
    <w:rsid w:val="00CC3FFE"/>
    <w:rsid w:val="00CC407A"/>
    <w:rsid w:val="00CC409D"/>
    <w:rsid w:val="00CC40D2"/>
    <w:rsid w:val="00CC40DF"/>
    <w:rsid w:val="00CC4287"/>
    <w:rsid w:val="00CC433A"/>
    <w:rsid w:val="00CC4745"/>
    <w:rsid w:val="00CC4A26"/>
    <w:rsid w:val="00CC4A7C"/>
    <w:rsid w:val="00CC4ABD"/>
    <w:rsid w:val="00CC4BEF"/>
    <w:rsid w:val="00CC4F01"/>
    <w:rsid w:val="00CC4F70"/>
    <w:rsid w:val="00CC4FBC"/>
    <w:rsid w:val="00CC502D"/>
    <w:rsid w:val="00CC509C"/>
    <w:rsid w:val="00CC50A6"/>
    <w:rsid w:val="00CC50B6"/>
    <w:rsid w:val="00CC51A0"/>
    <w:rsid w:val="00CC525F"/>
    <w:rsid w:val="00CC5322"/>
    <w:rsid w:val="00CC5330"/>
    <w:rsid w:val="00CC5333"/>
    <w:rsid w:val="00CC536B"/>
    <w:rsid w:val="00CC562D"/>
    <w:rsid w:val="00CC56CA"/>
    <w:rsid w:val="00CC5816"/>
    <w:rsid w:val="00CC5A0D"/>
    <w:rsid w:val="00CC5A12"/>
    <w:rsid w:val="00CC5A3A"/>
    <w:rsid w:val="00CC5B0F"/>
    <w:rsid w:val="00CC5B25"/>
    <w:rsid w:val="00CC5CF6"/>
    <w:rsid w:val="00CC5E6D"/>
    <w:rsid w:val="00CC5E8A"/>
    <w:rsid w:val="00CC5EA0"/>
    <w:rsid w:val="00CC60FA"/>
    <w:rsid w:val="00CC6244"/>
    <w:rsid w:val="00CC63C5"/>
    <w:rsid w:val="00CC6507"/>
    <w:rsid w:val="00CC653B"/>
    <w:rsid w:val="00CC65E1"/>
    <w:rsid w:val="00CC6791"/>
    <w:rsid w:val="00CC692C"/>
    <w:rsid w:val="00CC6A14"/>
    <w:rsid w:val="00CC6A72"/>
    <w:rsid w:val="00CC6B26"/>
    <w:rsid w:val="00CC6B4B"/>
    <w:rsid w:val="00CC6BCB"/>
    <w:rsid w:val="00CC6C2C"/>
    <w:rsid w:val="00CC6C36"/>
    <w:rsid w:val="00CC6C87"/>
    <w:rsid w:val="00CC6CCF"/>
    <w:rsid w:val="00CC6DFB"/>
    <w:rsid w:val="00CC6F40"/>
    <w:rsid w:val="00CC6FE4"/>
    <w:rsid w:val="00CC7306"/>
    <w:rsid w:val="00CC739F"/>
    <w:rsid w:val="00CC73C7"/>
    <w:rsid w:val="00CC748A"/>
    <w:rsid w:val="00CC749E"/>
    <w:rsid w:val="00CC74CB"/>
    <w:rsid w:val="00CC75F8"/>
    <w:rsid w:val="00CC76B1"/>
    <w:rsid w:val="00CC7D1D"/>
    <w:rsid w:val="00CC7E8D"/>
    <w:rsid w:val="00CD0041"/>
    <w:rsid w:val="00CD0186"/>
    <w:rsid w:val="00CD0334"/>
    <w:rsid w:val="00CD0519"/>
    <w:rsid w:val="00CD0538"/>
    <w:rsid w:val="00CD05CA"/>
    <w:rsid w:val="00CD0642"/>
    <w:rsid w:val="00CD077E"/>
    <w:rsid w:val="00CD079B"/>
    <w:rsid w:val="00CD0B13"/>
    <w:rsid w:val="00CD0B1A"/>
    <w:rsid w:val="00CD0CB6"/>
    <w:rsid w:val="00CD0DD4"/>
    <w:rsid w:val="00CD0E00"/>
    <w:rsid w:val="00CD0EB9"/>
    <w:rsid w:val="00CD11FF"/>
    <w:rsid w:val="00CD127E"/>
    <w:rsid w:val="00CD12B2"/>
    <w:rsid w:val="00CD12CF"/>
    <w:rsid w:val="00CD12E7"/>
    <w:rsid w:val="00CD138E"/>
    <w:rsid w:val="00CD1398"/>
    <w:rsid w:val="00CD1399"/>
    <w:rsid w:val="00CD1589"/>
    <w:rsid w:val="00CD1770"/>
    <w:rsid w:val="00CD17C7"/>
    <w:rsid w:val="00CD186E"/>
    <w:rsid w:val="00CD1892"/>
    <w:rsid w:val="00CD1900"/>
    <w:rsid w:val="00CD1A54"/>
    <w:rsid w:val="00CD1AC2"/>
    <w:rsid w:val="00CD1B33"/>
    <w:rsid w:val="00CD1D26"/>
    <w:rsid w:val="00CD1DEC"/>
    <w:rsid w:val="00CD1E9A"/>
    <w:rsid w:val="00CD1EF0"/>
    <w:rsid w:val="00CD20D7"/>
    <w:rsid w:val="00CD2112"/>
    <w:rsid w:val="00CD24DA"/>
    <w:rsid w:val="00CD2571"/>
    <w:rsid w:val="00CD25C1"/>
    <w:rsid w:val="00CD2699"/>
    <w:rsid w:val="00CD27AC"/>
    <w:rsid w:val="00CD27FC"/>
    <w:rsid w:val="00CD287B"/>
    <w:rsid w:val="00CD28D3"/>
    <w:rsid w:val="00CD292A"/>
    <w:rsid w:val="00CD2BFE"/>
    <w:rsid w:val="00CD2D89"/>
    <w:rsid w:val="00CD2F29"/>
    <w:rsid w:val="00CD2F52"/>
    <w:rsid w:val="00CD2F6F"/>
    <w:rsid w:val="00CD2FE7"/>
    <w:rsid w:val="00CD304E"/>
    <w:rsid w:val="00CD30EB"/>
    <w:rsid w:val="00CD315B"/>
    <w:rsid w:val="00CD3173"/>
    <w:rsid w:val="00CD31F5"/>
    <w:rsid w:val="00CD321E"/>
    <w:rsid w:val="00CD33D7"/>
    <w:rsid w:val="00CD3417"/>
    <w:rsid w:val="00CD3476"/>
    <w:rsid w:val="00CD35B9"/>
    <w:rsid w:val="00CD35C5"/>
    <w:rsid w:val="00CD36A8"/>
    <w:rsid w:val="00CD36C5"/>
    <w:rsid w:val="00CD3A1B"/>
    <w:rsid w:val="00CD3A5B"/>
    <w:rsid w:val="00CD3A5D"/>
    <w:rsid w:val="00CD3B3F"/>
    <w:rsid w:val="00CD3B42"/>
    <w:rsid w:val="00CD3C10"/>
    <w:rsid w:val="00CD3D9C"/>
    <w:rsid w:val="00CD3E19"/>
    <w:rsid w:val="00CD3E1A"/>
    <w:rsid w:val="00CD3E1F"/>
    <w:rsid w:val="00CD3EFC"/>
    <w:rsid w:val="00CD400F"/>
    <w:rsid w:val="00CD40AD"/>
    <w:rsid w:val="00CD40C4"/>
    <w:rsid w:val="00CD4134"/>
    <w:rsid w:val="00CD4286"/>
    <w:rsid w:val="00CD429E"/>
    <w:rsid w:val="00CD42F4"/>
    <w:rsid w:val="00CD44C5"/>
    <w:rsid w:val="00CD4702"/>
    <w:rsid w:val="00CD4726"/>
    <w:rsid w:val="00CD47A4"/>
    <w:rsid w:val="00CD47A5"/>
    <w:rsid w:val="00CD4895"/>
    <w:rsid w:val="00CD4AEA"/>
    <w:rsid w:val="00CD4B55"/>
    <w:rsid w:val="00CD4CBE"/>
    <w:rsid w:val="00CD4CCE"/>
    <w:rsid w:val="00CD4D55"/>
    <w:rsid w:val="00CD4E05"/>
    <w:rsid w:val="00CD4E48"/>
    <w:rsid w:val="00CD4F0D"/>
    <w:rsid w:val="00CD4FE2"/>
    <w:rsid w:val="00CD5055"/>
    <w:rsid w:val="00CD50C5"/>
    <w:rsid w:val="00CD50D0"/>
    <w:rsid w:val="00CD5219"/>
    <w:rsid w:val="00CD53F6"/>
    <w:rsid w:val="00CD5485"/>
    <w:rsid w:val="00CD54C6"/>
    <w:rsid w:val="00CD54D4"/>
    <w:rsid w:val="00CD56C2"/>
    <w:rsid w:val="00CD5768"/>
    <w:rsid w:val="00CD579D"/>
    <w:rsid w:val="00CD57B5"/>
    <w:rsid w:val="00CD586F"/>
    <w:rsid w:val="00CD5929"/>
    <w:rsid w:val="00CD5A5E"/>
    <w:rsid w:val="00CD5C7E"/>
    <w:rsid w:val="00CD5D25"/>
    <w:rsid w:val="00CD5E26"/>
    <w:rsid w:val="00CD5E4B"/>
    <w:rsid w:val="00CD6041"/>
    <w:rsid w:val="00CD6311"/>
    <w:rsid w:val="00CD6340"/>
    <w:rsid w:val="00CD63FF"/>
    <w:rsid w:val="00CD64DF"/>
    <w:rsid w:val="00CD656C"/>
    <w:rsid w:val="00CD66AD"/>
    <w:rsid w:val="00CD66F7"/>
    <w:rsid w:val="00CD68E3"/>
    <w:rsid w:val="00CD6BFA"/>
    <w:rsid w:val="00CD6C5B"/>
    <w:rsid w:val="00CD6D35"/>
    <w:rsid w:val="00CD6E85"/>
    <w:rsid w:val="00CD6F66"/>
    <w:rsid w:val="00CD701A"/>
    <w:rsid w:val="00CD7152"/>
    <w:rsid w:val="00CD71F7"/>
    <w:rsid w:val="00CD7203"/>
    <w:rsid w:val="00CD72AE"/>
    <w:rsid w:val="00CD74A2"/>
    <w:rsid w:val="00CD765A"/>
    <w:rsid w:val="00CD7928"/>
    <w:rsid w:val="00CD7A79"/>
    <w:rsid w:val="00CD7A7F"/>
    <w:rsid w:val="00CD7ABB"/>
    <w:rsid w:val="00CD7B4F"/>
    <w:rsid w:val="00CD7BCC"/>
    <w:rsid w:val="00CD7CC8"/>
    <w:rsid w:val="00CE0030"/>
    <w:rsid w:val="00CE0058"/>
    <w:rsid w:val="00CE006C"/>
    <w:rsid w:val="00CE00D0"/>
    <w:rsid w:val="00CE016D"/>
    <w:rsid w:val="00CE0182"/>
    <w:rsid w:val="00CE01B0"/>
    <w:rsid w:val="00CE02EC"/>
    <w:rsid w:val="00CE049F"/>
    <w:rsid w:val="00CE04C9"/>
    <w:rsid w:val="00CE057D"/>
    <w:rsid w:val="00CE05F9"/>
    <w:rsid w:val="00CE0740"/>
    <w:rsid w:val="00CE07EE"/>
    <w:rsid w:val="00CE08F7"/>
    <w:rsid w:val="00CE09ED"/>
    <w:rsid w:val="00CE0C99"/>
    <w:rsid w:val="00CE0CB7"/>
    <w:rsid w:val="00CE0CEF"/>
    <w:rsid w:val="00CE0DFC"/>
    <w:rsid w:val="00CE0E84"/>
    <w:rsid w:val="00CE0E9E"/>
    <w:rsid w:val="00CE1108"/>
    <w:rsid w:val="00CE11AB"/>
    <w:rsid w:val="00CE11F6"/>
    <w:rsid w:val="00CE1427"/>
    <w:rsid w:val="00CE1621"/>
    <w:rsid w:val="00CE162D"/>
    <w:rsid w:val="00CE185F"/>
    <w:rsid w:val="00CE18D6"/>
    <w:rsid w:val="00CE18D7"/>
    <w:rsid w:val="00CE1983"/>
    <w:rsid w:val="00CE1AE3"/>
    <w:rsid w:val="00CE1AF3"/>
    <w:rsid w:val="00CE1B9E"/>
    <w:rsid w:val="00CE1BFD"/>
    <w:rsid w:val="00CE1D3A"/>
    <w:rsid w:val="00CE1F5F"/>
    <w:rsid w:val="00CE1F83"/>
    <w:rsid w:val="00CE206A"/>
    <w:rsid w:val="00CE20AC"/>
    <w:rsid w:val="00CE214D"/>
    <w:rsid w:val="00CE225F"/>
    <w:rsid w:val="00CE2361"/>
    <w:rsid w:val="00CE2368"/>
    <w:rsid w:val="00CE2399"/>
    <w:rsid w:val="00CE23F7"/>
    <w:rsid w:val="00CE25B7"/>
    <w:rsid w:val="00CE25C6"/>
    <w:rsid w:val="00CE25E8"/>
    <w:rsid w:val="00CE26D3"/>
    <w:rsid w:val="00CE2774"/>
    <w:rsid w:val="00CE2801"/>
    <w:rsid w:val="00CE2907"/>
    <w:rsid w:val="00CE2982"/>
    <w:rsid w:val="00CE2B8A"/>
    <w:rsid w:val="00CE2CCE"/>
    <w:rsid w:val="00CE2D47"/>
    <w:rsid w:val="00CE2D63"/>
    <w:rsid w:val="00CE2E6D"/>
    <w:rsid w:val="00CE2E6E"/>
    <w:rsid w:val="00CE2ED9"/>
    <w:rsid w:val="00CE2F02"/>
    <w:rsid w:val="00CE318F"/>
    <w:rsid w:val="00CE31CA"/>
    <w:rsid w:val="00CE3202"/>
    <w:rsid w:val="00CE32C1"/>
    <w:rsid w:val="00CE32E9"/>
    <w:rsid w:val="00CE3339"/>
    <w:rsid w:val="00CE33EC"/>
    <w:rsid w:val="00CE3407"/>
    <w:rsid w:val="00CE342F"/>
    <w:rsid w:val="00CE349E"/>
    <w:rsid w:val="00CE35F1"/>
    <w:rsid w:val="00CE360E"/>
    <w:rsid w:val="00CE3797"/>
    <w:rsid w:val="00CE38C3"/>
    <w:rsid w:val="00CE39C4"/>
    <w:rsid w:val="00CE3AD4"/>
    <w:rsid w:val="00CE3B2E"/>
    <w:rsid w:val="00CE3C48"/>
    <w:rsid w:val="00CE3E52"/>
    <w:rsid w:val="00CE3F89"/>
    <w:rsid w:val="00CE3FCA"/>
    <w:rsid w:val="00CE4119"/>
    <w:rsid w:val="00CE411F"/>
    <w:rsid w:val="00CE4238"/>
    <w:rsid w:val="00CE448C"/>
    <w:rsid w:val="00CE4625"/>
    <w:rsid w:val="00CE47AA"/>
    <w:rsid w:val="00CE48CA"/>
    <w:rsid w:val="00CE4954"/>
    <w:rsid w:val="00CE499F"/>
    <w:rsid w:val="00CE4BBB"/>
    <w:rsid w:val="00CE4ED3"/>
    <w:rsid w:val="00CE4FDE"/>
    <w:rsid w:val="00CE51C5"/>
    <w:rsid w:val="00CE51EB"/>
    <w:rsid w:val="00CE52FC"/>
    <w:rsid w:val="00CE5315"/>
    <w:rsid w:val="00CE549B"/>
    <w:rsid w:val="00CE5525"/>
    <w:rsid w:val="00CE5654"/>
    <w:rsid w:val="00CE56EF"/>
    <w:rsid w:val="00CE570A"/>
    <w:rsid w:val="00CE58CA"/>
    <w:rsid w:val="00CE5B01"/>
    <w:rsid w:val="00CE5C43"/>
    <w:rsid w:val="00CE5C8A"/>
    <w:rsid w:val="00CE5D78"/>
    <w:rsid w:val="00CE5E64"/>
    <w:rsid w:val="00CE5F07"/>
    <w:rsid w:val="00CE5FB2"/>
    <w:rsid w:val="00CE60A2"/>
    <w:rsid w:val="00CE60B5"/>
    <w:rsid w:val="00CE60B8"/>
    <w:rsid w:val="00CE618B"/>
    <w:rsid w:val="00CE62EB"/>
    <w:rsid w:val="00CE6340"/>
    <w:rsid w:val="00CE6388"/>
    <w:rsid w:val="00CE6393"/>
    <w:rsid w:val="00CE6424"/>
    <w:rsid w:val="00CE6657"/>
    <w:rsid w:val="00CE686A"/>
    <w:rsid w:val="00CE68A6"/>
    <w:rsid w:val="00CE6963"/>
    <w:rsid w:val="00CE6A09"/>
    <w:rsid w:val="00CE6A5A"/>
    <w:rsid w:val="00CE6B7B"/>
    <w:rsid w:val="00CE6BEA"/>
    <w:rsid w:val="00CE6C0B"/>
    <w:rsid w:val="00CE6C91"/>
    <w:rsid w:val="00CE6DA8"/>
    <w:rsid w:val="00CE6FBA"/>
    <w:rsid w:val="00CE6FC3"/>
    <w:rsid w:val="00CE70A6"/>
    <w:rsid w:val="00CE7129"/>
    <w:rsid w:val="00CE7388"/>
    <w:rsid w:val="00CE73CD"/>
    <w:rsid w:val="00CE7492"/>
    <w:rsid w:val="00CE74FD"/>
    <w:rsid w:val="00CE752C"/>
    <w:rsid w:val="00CE752E"/>
    <w:rsid w:val="00CE7700"/>
    <w:rsid w:val="00CE7A9C"/>
    <w:rsid w:val="00CE7C4D"/>
    <w:rsid w:val="00CE7C8C"/>
    <w:rsid w:val="00CE7F15"/>
    <w:rsid w:val="00CF0084"/>
    <w:rsid w:val="00CF013F"/>
    <w:rsid w:val="00CF016A"/>
    <w:rsid w:val="00CF022D"/>
    <w:rsid w:val="00CF0395"/>
    <w:rsid w:val="00CF042C"/>
    <w:rsid w:val="00CF0462"/>
    <w:rsid w:val="00CF04C1"/>
    <w:rsid w:val="00CF05AA"/>
    <w:rsid w:val="00CF05CC"/>
    <w:rsid w:val="00CF05E3"/>
    <w:rsid w:val="00CF0617"/>
    <w:rsid w:val="00CF0967"/>
    <w:rsid w:val="00CF09E5"/>
    <w:rsid w:val="00CF0B22"/>
    <w:rsid w:val="00CF0B26"/>
    <w:rsid w:val="00CF0B39"/>
    <w:rsid w:val="00CF0CC9"/>
    <w:rsid w:val="00CF0CD2"/>
    <w:rsid w:val="00CF0F27"/>
    <w:rsid w:val="00CF1047"/>
    <w:rsid w:val="00CF108F"/>
    <w:rsid w:val="00CF11A8"/>
    <w:rsid w:val="00CF11C3"/>
    <w:rsid w:val="00CF1259"/>
    <w:rsid w:val="00CF12CB"/>
    <w:rsid w:val="00CF131D"/>
    <w:rsid w:val="00CF1476"/>
    <w:rsid w:val="00CF154E"/>
    <w:rsid w:val="00CF1978"/>
    <w:rsid w:val="00CF1A63"/>
    <w:rsid w:val="00CF1AF2"/>
    <w:rsid w:val="00CF1AF3"/>
    <w:rsid w:val="00CF1D08"/>
    <w:rsid w:val="00CF2066"/>
    <w:rsid w:val="00CF2265"/>
    <w:rsid w:val="00CF22E6"/>
    <w:rsid w:val="00CF230C"/>
    <w:rsid w:val="00CF238A"/>
    <w:rsid w:val="00CF243F"/>
    <w:rsid w:val="00CF24BC"/>
    <w:rsid w:val="00CF2555"/>
    <w:rsid w:val="00CF2648"/>
    <w:rsid w:val="00CF26B8"/>
    <w:rsid w:val="00CF2703"/>
    <w:rsid w:val="00CF287A"/>
    <w:rsid w:val="00CF2A15"/>
    <w:rsid w:val="00CF2A16"/>
    <w:rsid w:val="00CF2AD0"/>
    <w:rsid w:val="00CF2B46"/>
    <w:rsid w:val="00CF2BEB"/>
    <w:rsid w:val="00CF2CAA"/>
    <w:rsid w:val="00CF2D83"/>
    <w:rsid w:val="00CF2DF6"/>
    <w:rsid w:val="00CF2E43"/>
    <w:rsid w:val="00CF2ED2"/>
    <w:rsid w:val="00CF2F09"/>
    <w:rsid w:val="00CF2F50"/>
    <w:rsid w:val="00CF3045"/>
    <w:rsid w:val="00CF316E"/>
    <w:rsid w:val="00CF317E"/>
    <w:rsid w:val="00CF3255"/>
    <w:rsid w:val="00CF3336"/>
    <w:rsid w:val="00CF3473"/>
    <w:rsid w:val="00CF371E"/>
    <w:rsid w:val="00CF37D1"/>
    <w:rsid w:val="00CF38A7"/>
    <w:rsid w:val="00CF397E"/>
    <w:rsid w:val="00CF39ED"/>
    <w:rsid w:val="00CF3B19"/>
    <w:rsid w:val="00CF3B49"/>
    <w:rsid w:val="00CF3C7E"/>
    <w:rsid w:val="00CF3DE5"/>
    <w:rsid w:val="00CF3ECE"/>
    <w:rsid w:val="00CF3FEA"/>
    <w:rsid w:val="00CF3FF6"/>
    <w:rsid w:val="00CF4034"/>
    <w:rsid w:val="00CF4049"/>
    <w:rsid w:val="00CF40EB"/>
    <w:rsid w:val="00CF4145"/>
    <w:rsid w:val="00CF41B2"/>
    <w:rsid w:val="00CF427C"/>
    <w:rsid w:val="00CF44FD"/>
    <w:rsid w:val="00CF4524"/>
    <w:rsid w:val="00CF458F"/>
    <w:rsid w:val="00CF465E"/>
    <w:rsid w:val="00CF47F0"/>
    <w:rsid w:val="00CF4870"/>
    <w:rsid w:val="00CF48FD"/>
    <w:rsid w:val="00CF4BAC"/>
    <w:rsid w:val="00CF4E28"/>
    <w:rsid w:val="00CF4E41"/>
    <w:rsid w:val="00CF4E5A"/>
    <w:rsid w:val="00CF4F2B"/>
    <w:rsid w:val="00CF5099"/>
    <w:rsid w:val="00CF509E"/>
    <w:rsid w:val="00CF52B6"/>
    <w:rsid w:val="00CF53BF"/>
    <w:rsid w:val="00CF5464"/>
    <w:rsid w:val="00CF55D5"/>
    <w:rsid w:val="00CF5658"/>
    <w:rsid w:val="00CF5A7D"/>
    <w:rsid w:val="00CF5CE9"/>
    <w:rsid w:val="00CF5CEC"/>
    <w:rsid w:val="00CF5D5D"/>
    <w:rsid w:val="00CF5DE1"/>
    <w:rsid w:val="00CF5E1B"/>
    <w:rsid w:val="00CF5F39"/>
    <w:rsid w:val="00CF6198"/>
    <w:rsid w:val="00CF6310"/>
    <w:rsid w:val="00CF63BE"/>
    <w:rsid w:val="00CF63DF"/>
    <w:rsid w:val="00CF64C2"/>
    <w:rsid w:val="00CF6882"/>
    <w:rsid w:val="00CF6951"/>
    <w:rsid w:val="00CF69DD"/>
    <w:rsid w:val="00CF6AAA"/>
    <w:rsid w:val="00CF6AC8"/>
    <w:rsid w:val="00CF6B19"/>
    <w:rsid w:val="00CF6B3A"/>
    <w:rsid w:val="00CF6BDE"/>
    <w:rsid w:val="00CF6C15"/>
    <w:rsid w:val="00CF6DFF"/>
    <w:rsid w:val="00CF6FB7"/>
    <w:rsid w:val="00CF7024"/>
    <w:rsid w:val="00CF709B"/>
    <w:rsid w:val="00CF727C"/>
    <w:rsid w:val="00CF72F5"/>
    <w:rsid w:val="00CF7344"/>
    <w:rsid w:val="00CF74B9"/>
    <w:rsid w:val="00CF7510"/>
    <w:rsid w:val="00CF76DF"/>
    <w:rsid w:val="00CF7875"/>
    <w:rsid w:val="00CF788F"/>
    <w:rsid w:val="00CF79D2"/>
    <w:rsid w:val="00CF79D8"/>
    <w:rsid w:val="00CF7B34"/>
    <w:rsid w:val="00CF7F0B"/>
    <w:rsid w:val="00CF7F68"/>
    <w:rsid w:val="00CF7FA1"/>
    <w:rsid w:val="00D0015C"/>
    <w:rsid w:val="00D0034F"/>
    <w:rsid w:val="00D00373"/>
    <w:rsid w:val="00D00642"/>
    <w:rsid w:val="00D0065B"/>
    <w:rsid w:val="00D00797"/>
    <w:rsid w:val="00D008D6"/>
    <w:rsid w:val="00D00937"/>
    <w:rsid w:val="00D009F1"/>
    <w:rsid w:val="00D00ACC"/>
    <w:rsid w:val="00D00BAA"/>
    <w:rsid w:val="00D00C67"/>
    <w:rsid w:val="00D00CD9"/>
    <w:rsid w:val="00D00E64"/>
    <w:rsid w:val="00D00EAA"/>
    <w:rsid w:val="00D010A6"/>
    <w:rsid w:val="00D01212"/>
    <w:rsid w:val="00D012FC"/>
    <w:rsid w:val="00D01373"/>
    <w:rsid w:val="00D01392"/>
    <w:rsid w:val="00D0179C"/>
    <w:rsid w:val="00D017E4"/>
    <w:rsid w:val="00D017F6"/>
    <w:rsid w:val="00D0183A"/>
    <w:rsid w:val="00D01946"/>
    <w:rsid w:val="00D01A66"/>
    <w:rsid w:val="00D01ADD"/>
    <w:rsid w:val="00D01C96"/>
    <w:rsid w:val="00D01DE9"/>
    <w:rsid w:val="00D01F8D"/>
    <w:rsid w:val="00D01F9A"/>
    <w:rsid w:val="00D02481"/>
    <w:rsid w:val="00D024A4"/>
    <w:rsid w:val="00D024DC"/>
    <w:rsid w:val="00D025D8"/>
    <w:rsid w:val="00D025F6"/>
    <w:rsid w:val="00D0268C"/>
    <w:rsid w:val="00D027A9"/>
    <w:rsid w:val="00D02919"/>
    <w:rsid w:val="00D02930"/>
    <w:rsid w:val="00D02966"/>
    <w:rsid w:val="00D029AB"/>
    <w:rsid w:val="00D02AC1"/>
    <w:rsid w:val="00D02C38"/>
    <w:rsid w:val="00D02D46"/>
    <w:rsid w:val="00D02D84"/>
    <w:rsid w:val="00D02EEB"/>
    <w:rsid w:val="00D02F1E"/>
    <w:rsid w:val="00D03069"/>
    <w:rsid w:val="00D0310D"/>
    <w:rsid w:val="00D0312E"/>
    <w:rsid w:val="00D03162"/>
    <w:rsid w:val="00D03193"/>
    <w:rsid w:val="00D03223"/>
    <w:rsid w:val="00D033C1"/>
    <w:rsid w:val="00D03503"/>
    <w:rsid w:val="00D0351E"/>
    <w:rsid w:val="00D03659"/>
    <w:rsid w:val="00D038A1"/>
    <w:rsid w:val="00D03A60"/>
    <w:rsid w:val="00D03AA4"/>
    <w:rsid w:val="00D03B33"/>
    <w:rsid w:val="00D03B95"/>
    <w:rsid w:val="00D03C02"/>
    <w:rsid w:val="00D03C92"/>
    <w:rsid w:val="00D03CB8"/>
    <w:rsid w:val="00D03CC4"/>
    <w:rsid w:val="00D03D74"/>
    <w:rsid w:val="00D04168"/>
    <w:rsid w:val="00D04169"/>
    <w:rsid w:val="00D041C1"/>
    <w:rsid w:val="00D04414"/>
    <w:rsid w:val="00D044B6"/>
    <w:rsid w:val="00D0462C"/>
    <w:rsid w:val="00D046A0"/>
    <w:rsid w:val="00D046E8"/>
    <w:rsid w:val="00D04865"/>
    <w:rsid w:val="00D0487F"/>
    <w:rsid w:val="00D04897"/>
    <w:rsid w:val="00D048BC"/>
    <w:rsid w:val="00D04A8A"/>
    <w:rsid w:val="00D04B7F"/>
    <w:rsid w:val="00D04B92"/>
    <w:rsid w:val="00D04C61"/>
    <w:rsid w:val="00D04D00"/>
    <w:rsid w:val="00D04ECD"/>
    <w:rsid w:val="00D04F49"/>
    <w:rsid w:val="00D0516A"/>
    <w:rsid w:val="00D0534C"/>
    <w:rsid w:val="00D05518"/>
    <w:rsid w:val="00D05569"/>
    <w:rsid w:val="00D056DC"/>
    <w:rsid w:val="00D05A3C"/>
    <w:rsid w:val="00D05A66"/>
    <w:rsid w:val="00D05B8D"/>
    <w:rsid w:val="00D05B9B"/>
    <w:rsid w:val="00D05C9E"/>
    <w:rsid w:val="00D05DE9"/>
    <w:rsid w:val="00D05EBD"/>
    <w:rsid w:val="00D060CB"/>
    <w:rsid w:val="00D06168"/>
    <w:rsid w:val="00D0628B"/>
    <w:rsid w:val="00D062D3"/>
    <w:rsid w:val="00D063D1"/>
    <w:rsid w:val="00D06428"/>
    <w:rsid w:val="00D064AF"/>
    <w:rsid w:val="00D06542"/>
    <w:rsid w:val="00D065A2"/>
    <w:rsid w:val="00D066A4"/>
    <w:rsid w:val="00D066FA"/>
    <w:rsid w:val="00D06824"/>
    <w:rsid w:val="00D06987"/>
    <w:rsid w:val="00D06A05"/>
    <w:rsid w:val="00D06CA6"/>
    <w:rsid w:val="00D06CE2"/>
    <w:rsid w:val="00D06D2D"/>
    <w:rsid w:val="00D06D80"/>
    <w:rsid w:val="00D06DEA"/>
    <w:rsid w:val="00D06FC3"/>
    <w:rsid w:val="00D0706B"/>
    <w:rsid w:val="00D0708C"/>
    <w:rsid w:val="00D07125"/>
    <w:rsid w:val="00D0719A"/>
    <w:rsid w:val="00D071AE"/>
    <w:rsid w:val="00D071B0"/>
    <w:rsid w:val="00D07275"/>
    <w:rsid w:val="00D07315"/>
    <w:rsid w:val="00D07437"/>
    <w:rsid w:val="00D074DE"/>
    <w:rsid w:val="00D07504"/>
    <w:rsid w:val="00D077AF"/>
    <w:rsid w:val="00D0787E"/>
    <w:rsid w:val="00D079AA"/>
    <w:rsid w:val="00D079C6"/>
    <w:rsid w:val="00D07AF8"/>
    <w:rsid w:val="00D07E89"/>
    <w:rsid w:val="00D07F00"/>
    <w:rsid w:val="00D101EC"/>
    <w:rsid w:val="00D1026B"/>
    <w:rsid w:val="00D10357"/>
    <w:rsid w:val="00D104F8"/>
    <w:rsid w:val="00D105D9"/>
    <w:rsid w:val="00D106AD"/>
    <w:rsid w:val="00D106FB"/>
    <w:rsid w:val="00D1078C"/>
    <w:rsid w:val="00D108B1"/>
    <w:rsid w:val="00D10A88"/>
    <w:rsid w:val="00D10ACD"/>
    <w:rsid w:val="00D10B5A"/>
    <w:rsid w:val="00D10D40"/>
    <w:rsid w:val="00D10D51"/>
    <w:rsid w:val="00D10DD6"/>
    <w:rsid w:val="00D10E14"/>
    <w:rsid w:val="00D10EF9"/>
    <w:rsid w:val="00D10F2F"/>
    <w:rsid w:val="00D10FC2"/>
    <w:rsid w:val="00D11092"/>
    <w:rsid w:val="00D11276"/>
    <w:rsid w:val="00D1130F"/>
    <w:rsid w:val="00D1146D"/>
    <w:rsid w:val="00D114D9"/>
    <w:rsid w:val="00D11557"/>
    <w:rsid w:val="00D11763"/>
    <w:rsid w:val="00D117B3"/>
    <w:rsid w:val="00D11816"/>
    <w:rsid w:val="00D11874"/>
    <w:rsid w:val="00D11890"/>
    <w:rsid w:val="00D1196C"/>
    <w:rsid w:val="00D11A10"/>
    <w:rsid w:val="00D11A77"/>
    <w:rsid w:val="00D11A91"/>
    <w:rsid w:val="00D11AD4"/>
    <w:rsid w:val="00D11D8C"/>
    <w:rsid w:val="00D11F49"/>
    <w:rsid w:val="00D11F78"/>
    <w:rsid w:val="00D120EA"/>
    <w:rsid w:val="00D121CE"/>
    <w:rsid w:val="00D1236D"/>
    <w:rsid w:val="00D1237A"/>
    <w:rsid w:val="00D1241C"/>
    <w:rsid w:val="00D12460"/>
    <w:rsid w:val="00D12600"/>
    <w:rsid w:val="00D12631"/>
    <w:rsid w:val="00D12666"/>
    <w:rsid w:val="00D129FF"/>
    <w:rsid w:val="00D12AD4"/>
    <w:rsid w:val="00D12BFA"/>
    <w:rsid w:val="00D12C8D"/>
    <w:rsid w:val="00D12CB3"/>
    <w:rsid w:val="00D12D74"/>
    <w:rsid w:val="00D12E1C"/>
    <w:rsid w:val="00D12E76"/>
    <w:rsid w:val="00D12E8B"/>
    <w:rsid w:val="00D12E97"/>
    <w:rsid w:val="00D12F87"/>
    <w:rsid w:val="00D131C1"/>
    <w:rsid w:val="00D132B6"/>
    <w:rsid w:val="00D132E6"/>
    <w:rsid w:val="00D133F8"/>
    <w:rsid w:val="00D134DF"/>
    <w:rsid w:val="00D135F1"/>
    <w:rsid w:val="00D13616"/>
    <w:rsid w:val="00D13659"/>
    <w:rsid w:val="00D13665"/>
    <w:rsid w:val="00D136F9"/>
    <w:rsid w:val="00D139C8"/>
    <w:rsid w:val="00D13BBA"/>
    <w:rsid w:val="00D13C2B"/>
    <w:rsid w:val="00D13DC4"/>
    <w:rsid w:val="00D13DE6"/>
    <w:rsid w:val="00D13E35"/>
    <w:rsid w:val="00D13EF5"/>
    <w:rsid w:val="00D13EFB"/>
    <w:rsid w:val="00D13F4A"/>
    <w:rsid w:val="00D13FA6"/>
    <w:rsid w:val="00D14015"/>
    <w:rsid w:val="00D14061"/>
    <w:rsid w:val="00D14072"/>
    <w:rsid w:val="00D14084"/>
    <w:rsid w:val="00D1419C"/>
    <w:rsid w:val="00D1420C"/>
    <w:rsid w:val="00D14522"/>
    <w:rsid w:val="00D1455B"/>
    <w:rsid w:val="00D145E9"/>
    <w:rsid w:val="00D146DC"/>
    <w:rsid w:val="00D14833"/>
    <w:rsid w:val="00D14C36"/>
    <w:rsid w:val="00D14D0B"/>
    <w:rsid w:val="00D14DE0"/>
    <w:rsid w:val="00D14E7F"/>
    <w:rsid w:val="00D14EE9"/>
    <w:rsid w:val="00D14F45"/>
    <w:rsid w:val="00D14FD6"/>
    <w:rsid w:val="00D15129"/>
    <w:rsid w:val="00D1518C"/>
    <w:rsid w:val="00D151FD"/>
    <w:rsid w:val="00D15226"/>
    <w:rsid w:val="00D153E3"/>
    <w:rsid w:val="00D1549A"/>
    <w:rsid w:val="00D1550A"/>
    <w:rsid w:val="00D1566D"/>
    <w:rsid w:val="00D1571F"/>
    <w:rsid w:val="00D1576B"/>
    <w:rsid w:val="00D157E4"/>
    <w:rsid w:val="00D15812"/>
    <w:rsid w:val="00D1586B"/>
    <w:rsid w:val="00D1587A"/>
    <w:rsid w:val="00D15962"/>
    <w:rsid w:val="00D15AB9"/>
    <w:rsid w:val="00D15B92"/>
    <w:rsid w:val="00D15C23"/>
    <w:rsid w:val="00D15CBE"/>
    <w:rsid w:val="00D15DB6"/>
    <w:rsid w:val="00D15DEB"/>
    <w:rsid w:val="00D15F8B"/>
    <w:rsid w:val="00D16066"/>
    <w:rsid w:val="00D16280"/>
    <w:rsid w:val="00D16582"/>
    <w:rsid w:val="00D165C3"/>
    <w:rsid w:val="00D166A2"/>
    <w:rsid w:val="00D16720"/>
    <w:rsid w:val="00D1688A"/>
    <w:rsid w:val="00D1688D"/>
    <w:rsid w:val="00D16AE8"/>
    <w:rsid w:val="00D16B28"/>
    <w:rsid w:val="00D16B76"/>
    <w:rsid w:val="00D16CA8"/>
    <w:rsid w:val="00D16D13"/>
    <w:rsid w:val="00D16DAC"/>
    <w:rsid w:val="00D16DD1"/>
    <w:rsid w:val="00D16DF0"/>
    <w:rsid w:val="00D16DF3"/>
    <w:rsid w:val="00D16E37"/>
    <w:rsid w:val="00D16F96"/>
    <w:rsid w:val="00D17044"/>
    <w:rsid w:val="00D1719D"/>
    <w:rsid w:val="00D172C3"/>
    <w:rsid w:val="00D172D5"/>
    <w:rsid w:val="00D173A6"/>
    <w:rsid w:val="00D175D6"/>
    <w:rsid w:val="00D17882"/>
    <w:rsid w:val="00D1789C"/>
    <w:rsid w:val="00D1797D"/>
    <w:rsid w:val="00D17AB6"/>
    <w:rsid w:val="00D17ABE"/>
    <w:rsid w:val="00D17B72"/>
    <w:rsid w:val="00D17CF6"/>
    <w:rsid w:val="00D17D5D"/>
    <w:rsid w:val="00D17E6E"/>
    <w:rsid w:val="00D17F4C"/>
    <w:rsid w:val="00D2003B"/>
    <w:rsid w:val="00D200DB"/>
    <w:rsid w:val="00D20219"/>
    <w:rsid w:val="00D202BA"/>
    <w:rsid w:val="00D20350"/>
    <w:rsid w:val="00D2041F"/>
    <w:rsid w:val="00D205FE"/>
    <w:rsid w:val="00D20864"/>
    <w:rsid w:val="00D20895"/>
    <w:rsid w:val="00D208B1"/>
    <w:rsid w:val="00D208B7"/>
    <w:rsid w:val="00D20999"/>
    <w:rsid w:val="00D20AED"/>
    <w:rsid w:val="00D20AF7"/>
    <w:rsid w:val="00D20FCD"/>
    <w:rsid w:val="00D21128"/>
    <w:rsid w:val="00D21289"/>
    <w:rsid w:val="00D212B4"/>
    <w:rsid w:val="00D2139A"/>
    <w:rsid w:val="00D213FD"/>
    <w:rsid w:val="00D214AB"/>
    <w:rsid w:val="00D215B9"/>
    <w:rsid w:val="00D215E8"/>
    <w:rsid w:val="00D2162E"/>
    <w:rsid w:val="00D216AD"/>
    <w:rsid w:val="00D216B5"/>
    <w:rsid w:val="00D21789"/>
    <w:rsid w:val="00D21893"/>
    <w:rsid w:val="00D218E8"/>
    <w:rsid w:val="00D21C8C"/>
    <w:rsid w:val="00D21CD4"/>
    <w:rsid w:val="00D21CE6"/>
    <w:rsid w:val="00D21D47"/>
    <w:rsid w:val="00D21D4E"/>
    <w:rsid w:val="00D21E72"/>
    <w:rsid w:val="00D21E8E"/>
    <w:rsid w:val="00D21ECE"/>
    <w:rsid w:val="00D21ED4"/>
    <w:rsid w:val="00D21F6C"/>
    <w:rsid w:val="00D21F98"/>
    <w:rsid w:val="00D21FDF"/>
    <w:rsid w:val="00D220A2"/>
    <w:rsid w:val="00D220D7"/>
    <w:rsid w:val="00D220E6"/>
    <w:rsid w:val="00D220F4"/>
    <w:rsid w:val="00D223E8"/>
    <w:rsid w:val="00D22434"/>
    <w:rsid w:val="00D224F4"/>
    <w:rsid w:val="00D22823"/>
    <w:rsid w:val="00D228E6"/>
    <w:rsid w:val="00D2290E"/>
    <w:rsid w:val="00D22AED"/>
    <w:rsid w:val="00D22CE6"/>
    <w:rsid w:val="00D22DAA"/>
    <w:rsid w:val="00D22DB6"/>
    <w:rsid w:val="00D22E00"/>
    <w:rsid w:val="00D22E06"/>
    <w:rsid w:val="00D22E1A"/>
    <w:rsid w:val="00D22E1F"/>
    <w:rsid w:val="00D22EDC"/>
    <w:rsid w:val="00D22F13"/>
    <w:rsid w:val="00D22FA9"/>
    <w:rsid w:val="00D2308E"/>
    <w:rsid w:val="00D230E3"/>
    <w:rsid w:val="00D23138"/>
    <w:rsid w:val="00D2319D"/>
    <w:rsid w:val="00D23216"/>
    <w:rsid w:val="00D2327D"/>
    <w:rsid w:val="00D23288"/>
    <w:rsid w:val="00D2329E"/>
    <w:rsid w:val="00D232E6"/>
    <w:rsid w:val="00D233BF"/>
    <w:rsid w:val="00D23510"/>
    <w:rsid w:val="00D2354D"/>
    <w:rsid w:val="00D235B3"/>
    <w:rsid w:val="00D235BA"/>
    <w:rsid w:val="00D2364A"/>
    <w:rsid w:val="00D23740"/>
    <w:rsid w:val="00D23893"/>
    <w:rsid w:val="00D238DA"/>
    <w:rsid w:val="00D2391F"/>
    <w:rsid w:val="00D23A3F"/>
    <w:rsid w:val="00D23A6B"/>
    <w:rsid w:val="00D23AE2"/>
    <w:rsid w:val="00D23B26"/>
    <w:rsid w:val="00D23B30"/>
    <w:rsid w:val="00D23C46"/>
    <w:rsid w:val="00D23CF0"/>
    <w:rsid w:val="00D23D04"/>
    <w:rsid w:val="00D23F90"/>
    <w:rsid w:val="00D2403B"/>
    <w:rsid w:val="00D2407F"/>
    <w:rsid w:val="00D24134"/>
    <w:rsid w:val="00D246B7"/>
    <w:rsid w:val="00D246C3"/>
    <w:rsid w:val="00D24819"/>
    <w:rsid w:val="00D24E37"/>
    <w:rsid w:val="00D24F10"/>
    <w:rsid w:val="00D25104"/>
    <w:rsid w:val="00D25159"/>
    <w:rsid w:val="00D25272"/>
    <w:rsid w:val="00D25304"/>
    <w:rsid w:val="00D2541B"/>
    <w:rsid w:val="00D25452"/>
    <w:rsid w:val="00D25558"/>
    <w:rsid w:val="00D25757"/>
    <w:rsid w:val="00D258DC"/>
    <w:rsid w:val="00D25947"/>
    <w:rsid w:val="00D25B0B"/>
    <w:rsid w:val="00D25B8C"/>
    <w:rsid w:val="00D25C11"/>
    <w:rsid w:val="00D25D44"/>
    <w:rsid w:val="00D25E30"/>
    <w:rsid w:val="00D25E33"/>
    <w:rsid w:val="00D25E39"/>
    <w:rsid w:val="00D25E50"/>
    <w:rsid w:val="00D25E8D"/>
    <w:rsid w:val="00D25EF4"/>
    <w:rsid w:val="00D25F1A"/>
    <w:rsid w:val="00D25F69"/>
    <w:rsid w:val="00D2608D"/>
    <w:rsid w:val="00D26130"/>
    <w:rsid w:val="00D26164"/>
    <w:rsid w:val="00D26189"/>
    <w:rsid w:val="00D261A4"/>
    <w:rsid w:val="00D261D9"/>
    <w:rsid w:val="00D26289"/>
    <w:rsid w:val="00D2629C"/>
    <w:rsid w:val="00D262BE"/>
    <w:rsid w:val="00D26581"/>
    <w:rsid w:val="00D265EA"/>
    <w:rsid w:val="00D26703"/>
    <w:rsid w:val="00D267A4"/>
    <w:rsid w:val="00D267F9"/>
    <w:rsid w:val="00D26814"/>
    <w:rsid w:val="00D2688A"/>
    <w:rsid w:val="00D268F9"/>
    <w:rsid w:val="00D26A39"/>
    <w:rsid w:val="00D26B58"/>
    <w:rsid w:val="00D26BAA"/>
    <w:rsid w:val="00D26C25"/>
    <w:rsid w:val="00D26C87"/>
    <w:rsid w:val="00D26CE4"/>
    <w:rsid w:val="00D26DC3"/>
    <w:rsid w:val="00D26E1F"/>
    <w:rsid w:val="00D271CC"/>
    <w:rsid w:val="00D2729A"/>
    <w:rsid w:val="00D272B7"/>
    <w:rsid w:val="00D2742D"/>
    <w:rsid w:val="00D27A4D"/>
    <w:rsid w:val="00D27AD5"/>
    <w:rsid w:val="00D27CA1"/>
    <w:rsid w:val="00D27D78"/>
    <w:rsid w:val="00D27D9E"/>
    <w:rsid w:val="00D27EE4"/>
    <w:rsid w:val="00D27F43"/>
    <w:rsid w:val="00D27F44"/>
    <w:rsid w:val="00D27F68"/>
    <w:rsid w:val="00D27FAD"/>
    <w:rsid w:val="00D300A8"/>
    <w:rsid w:val="00D30205"/>
    <w:rsid w:val="00D3023A"/>
    <w:rsid w:val="00D3032E"/>
    <w:rsid w:val="00D303EC"/>
    <w:rsid w:val="00D30454"/>
    <w:rsid w:val="00D30526"/>
    <w:rsid w:val="00D3054E"/>
    <w:rsid w:val="00D30551"/>
    <w:rsid w:val="00D30562"/>
    <w:rsid w:val="00D30635"/>
    <w:rsid w:val="00D3068E"/>
    <w:rsid w:val="00D306BB"/>
    <w:rsid w:val="00D30882"/>
    <w:rsid w:val="00D30896"/>
    <w:rsid w:val="00D3099B"/>
    <w:rsid w:val="00D30A0E"/>
    <w:rsid w:val="00D30B27"/>
    <w:rsid w:val="00D30B72"/>
    <w:rsid w:val="00D30B9E"/>
    <w:rsid w:val="00D30DEB"/>
    <w:rsid w:val="00D30E3F"/>
    <w:rsid w:val="00D30EE1"/>
    <w:rsid w:val="00D30F01"/>
    <w:rsid w:val="00D30F81"/>
    <w:rsid w:val="00D31030"/>
    <w:rsid w:val="00D3114C"/>
    <w:rsid w:val="00D31171"/>
    <w:rsid w:val="00D311A0"/>
    <w:rsid w:val="00D311FE"/>
    <w:rsid w:val="00D314F3"/>
    <w:rsid w:val="00D314FC"/>
    <w:rsid w:val="00D315A5"/>
    <w:rsid w:val="00D31607"/>
    <w:rsid w:val="00D31644"/>
    <w:rsid w:val="00D316D2"/>
    <w:rsid w:val="00D316E8"/>
    <w:rsid w:val="00D31701"/>
    <w:rsid w:val="00D3174F"/>
    <w:rsid w:val="00D31753"/>
    <w:rsid w:val="00D3178C"/>
    <w:rsid w:val="00D317FA"/>
    <w:rsid w:val="00D3185C"/>
    <w:rsid w:val="00D31975"/>
    <w:rsid w:val="00D3197A"/>
    <w:rsid w:val="00D319BD"/>
    <w:rsid w:val="00D31BFB"/>
    <w:rsid w:val="00D31C7A"/>
    <w:rsid w:val="00D31D4E"/>
    <w:rsid w:val="00D31DC0"/>
    <w:rsid w:val="00D31DD2"/>
    <w:rsid w:val="00D32016"/>
    <w:rsid w:val="00D3205F"/>
    <w:rsid w:val="00D32069"/>
    <w:rsid w:val="00D3206D"/>
    <w:rsid w:val="00D321B3"/>
    <w:rsid w:val="00D32275"/>
    <w:rsid w:val="00D3245E"/>
    <w:rsid w:val="00D324AF"/>
    <w:rsid w:val="00D324EA"/>
    <w:rsid w:val="00D325D1"/>
    <w:rsid w:val="00D325F4"/>
    <w:rsid w:val="00D325F6"/>
    <w:rsid w:val="00D326BD"/>
    <w:rsid w:val="00D32747"/>
    <w:rsid w:val="00D3288F"/>
    <w:rsid w:val="00D32B77"/>
    <w:rsid w:val="00D32C46"/>
    <w:rsid w:val="00D32F05"/>
    <w:rsid w:val="00D33072"/>
    <w:rsid w:val="00D33171"/>
    <w:rsid w:val="00D3318E"/>
    <w:rsid w:val="00D331B2"/>
    <w:rsid w:val="00D33210"/>
    <w:rsid w:val="00D3327E"/>
    <w:rsid w:val="00D3332E"/>
    <w:rsid w:val="00D333B3"/>
    <w:rsid w:val="00D33488"/>
    <w:rsid w:val="00D33499"/>
    <w:rsid w:val="00D33596"/>
    <w:rsid w:val="00D335BD"/>
    <w:rsid w:val="00D33A72"/>
    <w:rsid w:val="00D33A9F"/>
    <w:rsid w:val="00D33B43"/>
    <w:rsid w:val="00D33B73"/>
    <w:rsid w:val="00D33BA1"/>
    <w:rsid w:val="00D33BB1"/>
    <w:rsid w:val="00D33C5E"/>
    <w:rsid w:val="00D33CCF"/>
    <w:rsid w:val="00D33D5A"/>
    <w:rsid w:val="00D33D64"/>
    <w:rsid w:val="00D33D65"/>
    <w:rsid w:val="00D33DAD"/>
    <w:rsid w:val="00D33E03"/>
    <w:rsid w:val="00D33E30"/>
    <w:rsid w:val="00D33E3B"/>
    <w:rsid w:val="00D33E72"/>
    <w:rsid w:val="00D33EAC"/>
    <w:rsid w:val="00D33EFD"/>
    <w:rsid w:val="00D33F9C"/>
    <w:rsid w:val="00D34123"/>
    <w:rsid w:val="00D34227"/>
    <w:rsid w:val="00D342B6"/>
    <w:rsid w:val="00D3436F"/>
    <w:rsid w:val="00D34486"/>
    <w:rsid w:val="00D3471B"/>
    <w:rsid w:val="00D34728"/>
    <w:rsid w:val="00D3479C"/>
    <w:rsid w:val="00D347A9"/>
    <w:rsid w:val="00D3480E"/>
    <w:rsid w:val="00D34887"/>
    <w:rsid w:val="00D349A3"/>
    <w:rsid w:val="00D34A97"/>
    <w:rsid w:val="00D34AAA"/>
    <w:rsid w:val="00D34AFE"/>
    <w:rsid w:val="00D34B08"/>
    <w:rsid w:val="00D34B1F"/>
    <w:rsid w:val="00D34BBC"/>
    <w:rsid w:val="00D34CC4"/>
    <w:rsid w:val="00D34D39"/>
    <w:rsid w:val="00D34EE3"/>
    <w:rsid w:val="00D34FA4"/>
    <w:rsid w:val="00D35196"/>
    <w:rsid w:val="00D35264"/>
    <w:rsid w:val="00D35341"/>
    <w:rsid w:val="00D35361"/>
    <w:rsid w:val="00D35448"/>
    <w:rsid w:val="00D354F8"/>
    <w:rsid w:val="00D35665"/>
    <w:rsid w:val="00D35672"/>
    <w:rsid w:val="00D35726"/>
    <w:rsid w:val="00D35994"/>
    <w:rsid w:val="00D35B36"/>
    <w:rsid w:val="00D35BA5"/>
    <w:rsid w:val="00D35BD6"/>
    <w:rsid w:val="00D35C25"/>
    <w:rsid w:val="00D35C4A"/>
    <w:rsid w:val="00D35C88"/>
    <w:rsid w:val="00D35CAA"/>
    <w:rsid w:val="00D35E9C"/>
    <w:rsid w:val="00D36004"/>
    <w:rsid w:val="00D361B5"/>
    <w:rsid w:val="00D36253"/>
    <w:rsid w:val="00D36550"/>
    <w:rsid w:val="00D36560"/>
    <w:rsid w:val="00D366C2"/>
    <w:rsid w:val="00D366FE"/>
    <w:rsid w:val="00D3673F"/>
    <w:rsid w:val="00D367F6"/>
    <w:rsid w:val="00D36850"/>
    <w:rsid w:val="00D36A3C"/>
    <w:rsid w:val="00D36AF1"/>
    <w:rsid w:val="00D36B90"/>
    <w:rsid w:val="00D36BB2"/>
    <w:rsid w:val="00D36D6F"/>
    <w:rsid w:val="00D36E0F"/>
    <w:rsid w:val="00D36E93"/>
    <w:rsid w:val="00D36ECC"/>
    <w:rsid w:val="00D36EEC"/>
    <w:rsid w:val="00D36F48"/>
    <w:rsid w:val="00D36F4B"/>
    <w:rsid w:val="00D36F68"/>
    <w:rsid w:val="00D36FF5"/>
    <w:rsid w:val="00D370EB"/>
    <w:rsid w:val="00D3734B"/>
    <w:rsid w:val="00D373D5"/>
    <w:rsid w:val="00D373E9"/>
    <w:rsid w:val="00D3770F"/>
    <w:rsid w:val="00D378E8"/>
    <w:rsid w:val="00D37919"/>
    <w:rsid w:val="00D3793A"/>
    <w:rsid w:val="00D37952"/>
    <w:rsid w:val="00D37B1C"/>
    <w:rsid w:val="00D37B5C"/>
    <w:rsid w:val="00D37BE5"/>
    <w:rsid w:val="00D37C01"/>
    <w:rsid w:val="00D37CBB"/>
    <w:rsid w:val="00D37CBF"/>
    <w:rsid w:val="00D37DB3"/>
    <w:rsid w:val="00D40020"/>
    <w:rsid w:val="00D400C8"/>
    <w:rsid w:val="00D4011A"/>
    <w:rsid w:val="00D401B7"/>
    <w:rsid w:val="00D40241"/>
    <w:rsid w:val="00D402A7"/>
    <w:rsid w:val="00D40365"/>
    <w:rsid w:val="00D4037D"/>
    <w:rsid w:val="00D403D1"/>
    <w:rsid w:val="00D40480"/>
    <w:rsid w:val="00D4049E"/>
    <w:rsid w:val="00D405A7"/>
    <w:rsid w:val="00D408DB"/>
    <w:rsid w:val="00D409A0"/>
    <w:rsid w:val="00D40A60"/>
    <w:rsid w:val="00D40AA1"/>
    <w:rsid w:val="00D40BBA"/>
    <w:rsid w:val="00D40BE7"/>
    <w:rsid w:val="00D40CD9"/>
    <w:rsid w:val="00D40E96"/>
    <w:rsid w:val="00D40F34"/>
    <w:rsid w:val="00D41022"/>
    <w:rsid w:val="00D41032"/>
    <w:rsid w:val="00D4104C"/>
    <w:rsid w:val="00D410F7"/>
    <w:rsid w:val="00D411A2"/>
    <w:rsid w:val="00D41276"/>
    <w:rsid w:val="00D413A3"/>
    <w:rsid w:val="00D4140C"/>
    <w:rsid w:val="00D41424"/>
    <w:rsid w:val="00D414FC"/>
    <w:rsid w:val="00D4162E"/>
    <w:rsid w:val="00D41679"/>
    <w:rsid w:val="00D41697"/>
    <w:rsid w:val="00D417C9"/>
    <w:rsid w:val="00D41D04"/>
    <w:rsid w:val="00D41D94"/>
    <w:rsid w:val="00D41DA8"/>
    <w:rsid w:val="00D41DAE"/>
    <w:rsid w:val="00D41EAF"/>
    <w:rsid w:val="00D41ED1"/>
    <w:rsid w:val="00D41EE9"/>
    <w:rsid w:val="00D41FAC"/>
    <w:rsid w:val="00D41FF2"/>
    <w:rsid w:val="00D42011"/>
    <w:rsid w:val="00D42166"/>
    <w:rsid w:val="00D423F3"/>
    <w:rsid w:val="00D4266C"/>
    <w:rsid w:val="00D426E8"/>
    <w:rsid w:val="00D427BB"/>
    <w:rsid w:val="00D429DF"/>
    <w:rsid w:val="00D42AEA"/>
    <w:rsid w:val="00D42AF3"/>
    <w:rsid w:val="00D42B4F"/>
    <w:rsid w:val="00D42D7C"/>
    <w:rsid w:val="00D42D91"/>
    <w:rsid w:val="00D42E84"/>
    <w:rsid w:val="00D42F84"/>
    <w:rsid w:val="00D43037"/>
    <w:rsid w:val="00D43051"/>
    <w:rsid w:val="00D430D6"/>
    <w:rsid w:val="00D43145"/>
    <w:rsid w:val="00D43250"/>
    <w:rsid w:val="00D43286"/>
    <w:rsid w:val="00D432FA"/>
    <w:rsid w:val="00D432FE"/>
    <w:rsid w:val="00D4336B"/>
    <w:rsid w:val="00D434D2"/>
    <w:rsid w:val="00D434FC"/>
    <w:rsid w:val="00D43553"/>
    <w:rsid w:val="00D438CB"/>
    <w:rsid w:val="00D4391F"/>
    <w:rsid w:val="00D43992"/>
    <w:rsid w:val="00D43A81"/>
    <w:rsid w:val="00D43B48"/>
    <w:rsid w:val="00D43B85"/>
    <w:rsid w:val="00D43BD7"/>
    <w:rsid w:val="00D43BDB"/>
    <w:rsid w:val="00D43C6F"/>
    <w:rsid w:val="00D43F43"/>
    <w:rsid w:val="00D43FCD"/>
    <w:rsid w:val="00D4421C"/>
    <w:rsid w:val="00D44223"/>
    <w:rsid w:val="00D44252"/>
    <w:rsid w:val="00D4428E"/>
    <w:rsid w:val="00D442E8"/>
    <w:rsid w:val="00D4437B"/>
    <w:rsid w:val="00D44497"/>
    <w:rsid w:val="00D4462A"/>
    <w:rsid w:val="00D4472D"/>
    <w:rsid w:val="00D44800"/>
    <w:rsid w:val="00D44989"/>
    <w:rsid w:val="00D44B33"/>
    <w:rsid w:val="00D44BE9"/>
    <w:rsid w:val="00D44D69"/>
    <w:rsid w:val="00D44D7B"/>
    <w:rsid w:val="00D44F7C"/>
    <w:rsid w:val="00D44FB0"/>
    <w:rsid w:val="00D4503F"/>
    <w:rsid w:val="00D4521A"/>
    <w:rsid w:val="00D45226"/>
    <w:rsid w:val="00D45294"/>
    <w:rsid w:val="00D45337"/>
    <w:rsid w:val="00D453F4"/>
    <w:rsid w:val="00D45416"/>
    <w:rsid w:val="00D45721"/>
    <w:rsid w:val="00D4574C"/>
    <w:rsid w:val="00D457B3"/>
    <w:rsid w:val="00D458DD"/>
    <w:rsid w:val="00D4592E"/>
    <w:rsid w:val="00D45979"/>
    <w:rsid w:val="00D459A9"/>
    <w:rsid w:val="00D45A7D"/>
    <w:rsid w:val="00D45CAF"/>
    <w:rsid w:val="00D45CE0"/>
    <w:rsid w:val="00D45D43"/>
    <w:rsid w:val="00D45E1A"/>
    <w:rsid w:val="00D45F28"/>
    <w:rsid w:val="00D46038"/>
    <w:rsid w:val="00D46055"/>
    <w:rsid w:val="00D4606D"/>
    <w:rsid w:val="00D4607D"/>
    <w:rsid w:val="00D4617F"/>
    <w:rsid w:val="00D46197"/>
    <w:rsid w:val="00D463B0"/>
    <w:rsid w:val="00D46428"/>
    <w:rsid w:val="00D46496"/>
    <w:rsid w:val="00D46581"/>
    <w:rsid w:val="00D46617"/>
    <w:rsid w:val="00D466E0"/>
    <w:rsid w:val="00D46795"/>
    <w:rsid w:val="00D467B1"/>
    <w:rsid w:val="00D468F8"/>
    <w:rsid w:val="00D46B1E"/>
    <w:rsid w:val="00D46B5F"/>
    <w:rsid w:val="00D46B80"/>
    <w:rsid w:val="00D46BE1"/>
    <w:rsid w:val="00D46D67"/>
    <w:rsid w:val="00D46F27"/>
    <w:rsid w:val="00D46FC9"/>
    <w:rsid w:val="00D47119"/>
    <w:rsid w:val="00D4731B"/>
    <w:rsid w:val="00D4737B"/>
    <w:rsid w:val="00D47386"/>
    <w:rsid w:val="00D47478"/>
    <w:rsid w:val="00D47520"/>
    <w:rsid w:val="00D47889"/>
    <w:rsid w:val="00D47991"/>
    <w:rsid w:val="00D479A1"/>
    <w:rsid w:val="00D479A3"/>
    <w:rsid w:val="00D479CC"/>
    <w:rsid w:val="00D479EE"/>
    <w:rsid w:val="00D47A1D"/>
    <w:rsid w:val="00D47A96"/>
    <w:rsid w:val="00D47BFA"/>
    <w:rsid w:val="00D47BFD"/>
    <w:rsid w:val="00D47C73"/>
    <w:rsid w:val="00D47EB4"/>
    <w:rsid w:val="00D47EE4"/>
    <w:rsid w:val="00D47F47"/>
    <w:rsid w:val="00D47F5C"/>
    <w:rsid w:val="00D50001"/>
    <w:rsid w:val="00D50039"/>
    <w:rsid w:val="00D50113"/>
    <w:rsid w:val="00D50148"/>
    <w:rsid w:val="00D502F8"/>
    <w:rsid w:val="00D50448"/>
    <w:rsid w:val="00D5050D"/>
    <w:rsid w:val="00D5056C"/>
    <w:rsid w:val="00D50637"/>
    <w:rsid w:val="00D5081E"/>
    <w:rsid w:val="00D50867"/>
    <w:rsid w:val="00D5097E"/>
    <w:rsid w:val="00D50A88"/>
    <w:rsid w:val="00D50AC9"/>
    <w:rsid w:val="00D50B19"/>
    <w:rsid w:val="00D50B82"/>
    <w:rsid w:val="00D50B9C"/>
    <w:rsid w:val="00D50BAD"/>
    <w:rsid w:val="00D50BB6"/>
    <w:rsid w:val="00D50C01"/>
    <w:rsid w:val="00D50C3A"/>
    <w:rsid w:val="00D50C59"/>
    <w:rsid w:val="00D50CAD"/>
    <w:rsid w:val="00D50F86"/>
    <w:rsid w:val="00D510E6"/>
    <w:rsid w:val="00D5115B"/>
    <w:rsid w:val="00D5118B"/>
    <w:rsid w:val="00D511AF"/>
    <w:rsid w:val="00D5127C"/>
    <w:rsid w:val="00D513AF"/>
    <w:rsid w:val="00D5155B"/>
    <w:rsid w:val="00D5159D"/>
    <w:rsid w:val="00D515D4"/>
    <w:rsid w:val="00D51692"/>
    <w:rsid w:val="00D51D0D"/>
    <w:rsid w:val="00D51D87"/>
    <w:rsid w:val="00D51DB0"/>
    <w:rsid w:val="00D51DBA"/>
    <w:rsid w:val="00D51E16"/>
    <w:rsid w:val="00D51EE2"/>
    <w:rsid w:val="00D51F6C"/>
    <w:rsid w:val="00D520F2"/>
    <w:rsid w:val="00D5237C"/>
    <w:rsid w:val="00D524AA"/>
    <w:rsid w:val="00D52543"/>
    <w:rsid w:val="00D52571"/>
    <w:rsid w:val="00D52664"/>
    <w:rsid w:val="00D52679"/>
    <w:rsid w:val="00D5276A"/>
    <w:rsid w:val="00D52800"/>
    <w:rsid w:val="00D529CB"/>
    <w:rsid w:val="00D52B74"/>
    <w:rsid w:val="00D52B96"/>
    <w:rsid w:val="00D52D64"/>
    <w:rsid w:val="00D52D73"/>
    <w:rsid w:val="00D52E58"/>
    <w:rsid w:val="00D52F94"/>
    <w:rsid w:val="00D52F9A"/>
    <w:rsid w:val="00D5303B"/>
    <w:rsid w:val="00D53130"/>
    <w:rsid w:val="00D5331F"/>
    <w:rsid w:val="00D53360"/>
    <w:rsid w:val="00D5336A"/>
    <w:rsid w:val="00D53399"/>
    <w:rsid w:val="00D53524"/>
    <w:rsid w:val="00D5365E"/>
    <w:rsid w:val="00D5365F"/>
    <w:rsid w:val="00D53694"/>
    <w:rsid w:val="00D537E9"/>
    <w:rsid w:val="00D53819"/>
    <w:rsid w:val="00D5381A"/>
    <w:rsid w:val="00D53829"/>
    <w:rsid w:val="00D5387A"/>
    <w:rsid w:val="00D53AD7"/>
    <w:rsid w:val="00D53B44"/>
    <w:rsid w:val="00D53D0B"/>
    <w:rsid w:val="00D53E40"/>
    <w:rsid w:val="00D53E78"/>
    <w:rsid w:val="00D53E99"/>
    <w:rsid w:val="00D5406E"/>
    <w:rsid w:val="00D541D0"/>
    <w:rsid w:val="00D54206"/>
    <w:rsid w:val="00D54383"/>
    <w:rsid w:val="00D5444C"/>
    <w:rsid w:val="00D5457F"/>
    <w:rsid w:val="00D545FE"/>
    <w:rsid w:val="00D54686"/>
    <w:rsid w:val="00D54687"/>
    <w:rsid w:val="00D54777"/>
    <w:rsid w:val="00D5490D"/>
    <w:rsid w:val="00D54929"/>
    <w:rsid w:val="00D54A06"/>
    <w:rsid w:val="00D54A46"/>
    <w:rsid w:val="00D54B1A"/>
    <w:rsid w:val="00D54CC4"/>
    <w:rsid w:val="00D54D29"/>
    <w:rsid w:val="00D54F9E"/>
    <w:rsid w:val="00D54FD4"/>
    <w:rsid w:val="00D54FE5"/>
    <w:rsid w:val="00D550AD"/>
    <w:rsid w:val="00D55107"/>
    <w:rsid w:val="00D551A0"/>
    <w:rsid w:val="00D552AB"/>
    <w:rsid w:val="00D552E3"/>
    <w:rsid w:val="00D555AC"/>
    <w:rsid w:val="00D5565D"/>
    <w:rsid w:val="00D55694"/>
    <w:rsid w:val="00D556A0"/>
    <w:rsid w:val="00D55818"/>
    <w:rsid w:val="00D5595A"/>
    <w:rsid w:val="00D559BA"/>
    <w:rsid w:val="00D55A83"/>
    <w:rsid w:val="00D55C33"/>
    <w:rsid w:val="00D55D39"/>
    <w:rsid w:val="00D55DDE"/>
    <w:rsid w:val="00D55ED6"/>
    <w:rsid w:val="00D560D3"/>
    <w:rsid w:val="00D5610D"/>
    <w:rsid w:val="00D562B1"/>
    <w:rsid w:val="00D56300"/>
    <w:rsid w:val="00D56324"/>
    <w:rsid w:val="00D5634A"/>
    <w:rsid w:val="00D564A1"/>
    <w:rsid w:val="00D5668A"/>
    <w:rsid w:val="00D566AA"/>
    <w:rsid w:val="00D566F4"/>
    <w:rsid w:val="00D5687D"/>
    <w:rsid w:val="00D56976"/>
    <w:rsid w:val="00D5698A"/>
    <w:rsid w:val="00D569FA"/>
    <w:rsid w:val="00D56B20"/>
    <w:rsid w:val="00D56BE1"/>
    <w:rsid w:val="00D56C6E"/>
    <w:rsid w:val="00D56EB6"/>
    <w:rsid w:val="00D56FAC"/>
    <w:rsid w:val="00D5700D"/>
    <w:rsid w:val="00D57035"/>
    <w:rsid w:val="00D57080"/>
    <w:rsid w:val="00D570A3"/>
    <w:rsid w:val="00D5718B"/>
    <w:rsid w:val="00D571EC"/>
    <w:rsid w:val="00D5725F"/>
    <w:rsid w:val="00D572E2"/>
    <w:rsid w:val="00D57413"/>
    <w:rsid w:val="00D57666"/>
    <w:rsid w:val="00D57710"/>
    <w:rsid w:val="00D57841"/>
    <w:rsid w:val="00D5788B"/>
    <w:rsid w:val="00D578B3"/>
    <w:rsid w:val="00D57A83"/>
    <w:rsid w:val="00D57BDA"/>
    <w:rsid w:val="00D57BF0"/>
    <w:rsid w:val="00D57C72"/>
    <w:rsid w:val="00D57CDD"/>
    <w:rsid w:val="00D57DB6"/>
    <w:rsid w:val="00D57E01"/>
    <w:rsid w:val="00D57F49"/>
    <w:rsid w:val="00D60059"/>
    <w:rsid w:val="00D6006A"/>
    <w:rsid w:val="00D60128"/>
    <w:rsid w:val="00D60176"/>
    <w:rsid w:val="00D6028F"/>
    <w:rsid w:val="00D60408"/>
    <w:rsid w:val="00D60490"/>
    <w:rsid w:val="00D6061E"/>
    <w:rsid w:val="00D6068E"/>
    <w:rsid w:val="00D6079C"/>
    <w:rsid w:val="00D607C7"/>
    <w:rsid w:val="00D609C7"/>
    <w:rsid w:val="00D60A0F"/>
    <w:rsid w:val="00D60AAE"/>
    <w:rsid w:val="00D60E84"/>
    <w:rsid w:val="00D60EF8"/>
    <w:rsid w:val="00D60F2C"/>
    <w:rsid w:val="00D60F53"/>
    <w:rsid w:val="00D60FDD"/>
    <w:rsid w:val="00D61090"/>
    <w:rsid w:val="00D6155F"/>
    <w:rsid w:val="00D615D3"/>
    <w:rsid w:val="00D6167D"/>
    <w:rsid w:val="00D6188A"/>
    <w:rsid w:val="00D618E4"/>
    <w:rsid w:val="00D618F4"/>
    <w:rsid w:val="00D619BF"/>
    <w:rsid w:val="00D619CA"/>
    <w:rsid w:val="00D61A40"/>
    <w:rsid w:val="00D61B60"/>
    <w:rsid w:val="00D61C49"/>
    <w:rsid w:val="00D61C59"/>
    <w:rsid w:val="00D61C83"/>
    <w:rsid w:val="00D61F37"/>
    <w:rsid w:val="00D61F47"/>
    <w:rsid w:val="00D621A6"/>
    <w:rsid w:val="00D6224D"/>
    <w:rsid w:val="00D6228A"/>
    <w:rsid w:val="00D622A9"/>
    <w:rsid w:val="00D6233D"/>
    <w:rsid w:val="00D62366"/>
    <w:rsid w:val="00D624C3"/>
    <w:rsid w:val="00D624CC"/>
    <w:rsid w:val="00D6292F"/>
    <w:rsid w:val="00D629B3"/>
    <w:rsid w:val="00D629EC"/>
    <w:rsid w:val="00D62A23"/>
    <w:rsid w:val="00D62AA0"/>
    <w:rsid w:val="00D62AD3"/>
    <w:rsid w:val="00D62D02"/>
    <w:rsid w:val="00D62D2B"/>
    <w:rsid w:val="00D62F13"/>
    <w:rsid w:val="00D62F26"/>
    <w:rsid w:val="00D62F87"/>
    <w:rsid w:val="00D62FC3"/>
    <w:rsid w:val="00D62FF8"/>
    <w:rsid w:val="00D63111"/>
    <w:rsid w:val="00D6330C"/>
    <w:rsid w:val="00D63340"/>
    <w:rsid w:val="00D63372"/>
    <w:rsid w:val="00D6347E"/>
    <w:rsid w:val="00D6354E"/>
    <w:rsid w:val="00D6355C"/>
    <w:rsid w:val="00D635B2"/>
    <w:rsid w:val="00D635C6"/>
    <w:rsid w:val="00D63636"/>
    <w:rsid w:val="00D6371F"/>
    <w:rsid w:val="00D637B8"/>
    <w:rsid w:val="00D63F8C"/>
    <w:rsid w:val="00D63FAA"/>
    <w:rsid w:val="00D6407A"/>
    <w:rsid w:val="00D640AD"/>
    <w:rsid w:val="00D6417C"/>
    <w:rsid w:val="00D641D3"/>
    <w:rsid w:val="00D6423E"/>
    <w:rsid w:val="00D64304"/>
    <w:rsid w:val="00D643A8"/>
    <w:rsid w:val="00D64472"/>
    <w:rsid w:val="00D644A4"/>
    <w:rsid w:val="00D644FB"/>
    <w:rsid w:val="00D6465A"/>
    <w:rsid w:val="00D6471C"/>
    <w:rsid w:val="00D648FE"/>
    <w:rsid w:val="00D64ACA"/>
    <w:rsid w:val="00D64B98"/>
    <w:rsid w:val="00D64CC4"/>
    <w:rsid w:val="00D64EE0"/>
    <w:rsid w:val="00D6502E"/>
    <w:rsid w:val="00D6521E"/>
    <w:rsid w:val="00D652CE"/>
    <w:rsid w:val="00D65360"/>
    <w:rsid w:val="00D6536E"/>
    <w:rsid w:val="00D6547B"/>
    <w:rsid w:val="00D6553C"/>
    <w:rsid w:val="00D656A5"/>
    <w:rsid w:val="00D65A9F"/>
    <w:rsid w:val="00D65CCB"/>
    <w:rsid w:val="00D65D49"/>
    <w:rsid w:val="00D65E57"/>
    <w:rsid w:val="00D65E7E"/>
    <w:rsid w:val="00D65E9D"/>
    <w:rsid w:val="00D66019"/>
    <w:rsid w:val="00D6602E"/>
    <w:rsid w:val="00D6625B"/>
    <w:rsid w:val="00D663D8"/>
    <w:rsid w:val="00D664DD"/>
    <w:rsid w:val="00D665C1"/>
    <w:rsid w:val="00D66624"/>
    <w:rsid w:val="00D66794"/>
    <w:rsid w:val="00D66848"/>
    <w:rsid w:val="00D66927"/>
    <w:rsid w:val="00D66AAF"/>
    <w:rsid w:val="00D66ACD"/>
    <w:rsid w:val="00D66B43"/>
    <w:rsid w:val="00D66BC9"/>
    <w:rsid w:val="00D66C67"/>
    <w:rsid w:val="00D66DAC"/>
    <w:rsid w:val="00D66DD0"/>
    <w:rsid w:val="00D66F15"/>
    <w:rsid w:val="00D66F45"/>
    <w:rsid w:val="00D67135"/>
    <w:rsid w:val="00D67250"/>
    <w:rsid w:val="00D672F4"/>
    <w:rsid w:val="00D67476"/>
    <w:rsid w:val="00D674C8"/>
    <w:rsid w:val="00D674CF"/>
    <w:rsid w:val="00D674D2"/>
    <w:rsid w:val="00D6765C"/>
    <w:rsid w:val="00D67684"/>
    <w:rsid w:val="00D67745"/>
    <w:rsid w:val="00D677BE"/>
    <w:rsid w:val="00D6792F"/>
    <w:rsid w:val="00D67A16"/>
    <w:rsid w:val="00D67A69"/>
    <w:rsid w:val="00D67A99"/>
    <w:rsid w:val="00D67BD7"/>
    <w:rsid w:val="00D67D81"/>
    <w:rsid w:val="00D67E5C"/>
    <w:rsid w:val="00D70287"/>
    <w:rsid w:val="00D704C2"/>
    <w:rsid w:val="00D70560"/>
    <w:rsid w:val="00D7058D"/>
    <w:rsid w:val="00D70643"/>
    <w:rsid w:val="00D70712"/>
    <w:rsid w:val="00D707C3"/>
    <w:rsid w:val="00D707F0"/>
    <w:rsid w:val="00D70960"/>
    <w:rsid w:val="00D70DBF"/>
    <w:rsid w:val="00D70FEF"/>
    <w:rsid w:val="00D7113F"/>
    <w:rsid w:val="00D71282"/>
    <w:rsid w:val="00D71390"/>
    <w:rsid w:val="00D713C9"/>
    <w:rsid w:val="00D7144A"/>
    <w:rsid w:val="00D714CC"/>
    <w:rsid w:val="00D71557"/>
    <w:rsid w:val="00D7156E"/>
    <w:rsid w:val="00D71648"/>
    <w:rsid w:val="00D71C35"/>
    <w:rsid w:val="00D71CFC"/>
    <w:rsid w:val="00D71E2D"/>
    <w:rsid w:val="00D71E33"/>
    <w:rsid w:val="00D71E34"/>
    <w:rsid w:val="00D71E46"/>
    <w:rsid w:val="00D71F93"/>
    <w:rsid w:val="00D7231B"/>
    <w:rsid w:val="00D7236C"/>
    <w:rsid w:val="00D723D7"/>
    <w:rsid w:val="00D723DA"/>
    <w:rsid w:val="00D724E5"/>
    <w:rsid w:val="00D72872"/>
    <w:rsid w:val="00D728D3"/>
    <w:rsid w:val="00D728ED"/>
    <w:rsid w:val="00D729A8"/>
    <w:rsid w:val="00D72B02"/>
    <w:rsid w:val="00D72BB0"/>
    <w:rsid w:val="00D72D14"/>
    <w:rsid w:val="00D72D37"/>
    <w:rsid w:val="00D72D94"/>
    <w:rsid w:val="00D72DA0"/>
    <w:rsid w:val="00D72DDD"/>
    <w:rsid w:val="00D72DFF"/>
    <w:rsid w:val="00D72E7F"/>
    <w:rsid w:val="00D72EDC"/>
    <w:rsid w:val="00D72F74"/>
    <w:rsid w:val="00D73000"/>
    <w:rsid w:val="00D73156"/>
    <w:rsid w:val="00D73170"/>
    <w:rsid w:val="00D73246"/>
    <w:rsid w:val="00D73293"/>
    <w:rsid w:val="00D73347"/>
    <w:rsid w:val="00D7359F"/>
    <w:rsid w:val="00D735A1"/>
    <w:rsid w:val="00D736BE"/>
    <w:rsid w:val="00D738F1"/>
    <w:rsid w:val="00D73D6A"/>
    <w:rsid w:val="00D73D75"/>
    <w:rsid w:val="00D73E18"/>
    <w:rsid w:val="00D73E8C"/>
    <w:rsid w:val="00D74026"/>
    <w:rsid w:val="00D74104"/>
    <w:rsid w:val="00D741AA"/>
    <w:rsid w:val="00D74264"/>
    <w:rsid w:val="00D7426C"/>
    <w:rsid w:val="00D7426E"/>
    <w:rsid w:val="00D7429B"/>
    <w:rsid w:val="00D7445D"/>
    <w:rsid w:val="00D7468A"/>
    <w:rsid w:val="00D747F2"/>
    <w:rsid w:val="00D748E1"/>
    <w:rsid w:val="00D74978"/>
    <w:rsid w:val="00D74AD2"/>
    <w:rsid w:val="00D74AFE"/>
    <w:rsid w:val="00D74B3F"/>
    <w:rsid w:val="00D74BE5"/>
    <w:rsid w:val="00D74C18"/>
    <w:rsid w:val="00D74C57"/>
    <w:rsid w:val="00D74CA8"/>
    <w:rsid w:val="00D74D7B"/>
    <w:rsid w:val="00D74DE8"/>
    <w:rsid w:val="00D74F27"/>
    <w:rsid w:val="00D751E4"/>
    <w:rsid w:val="00D754BC"/>
    <w:rsid w:val="00D755BE"/>
    <w:rsid w:val="00D755C1"/>
    <w:rsid w:val="00D7565A"/>
    <w:rsid w:val="00D7571B"/>
    <w:rsid w:val="00D757B8"/>
    <w:rsid w:val="00D757DF"/>
    <w:rsid w:val="00D759BB"/>
    <w:rsid w:val="00D75B94"/>
    <w:rsid w:val="00D75B95"/>
    <w:rsid w:val="00D75BA3"/>
    <w:rsid w:val="00D75BB1"/>
    <w:rsid w:val="00D75BE7"/>
    <w:rsid w:val="00D75DEA"/>
    <w:rsid w:val="00D75EA2"/>
    <w:rsid w:val="00D75EA7"/>
    <w:rsid w:val="00D75FF5"/>
    <w:rsid w:val="00D76019"/>
    <w:rsid w:val="00D7615B"/>
    <w:rsid w:val="00D762CC"/>
    <w:rsid w:val="00D76425"/>
    <w:rsid w:val="00D7642D"/>
    <w:rsid w:val="00D76504"/>
    <w:rsid w:val="00D765EC"/>
    <w:rsid w:val="00D76679"/>
    <w:rsid w:val="00D766B3"/>
    <w:rsid w:val="00D766FD"/>
    <w:rsid w:val="00D76714"/>
    <w:rsid w:val="00D76785"/>
    <w:rsid w:val="00D76879"/>
    <w:rsid w:val="00D76908"/>
    <w:rsid w:val="00D76ADE"/>
    <w:rsid w:val="00D76BAB"/>
    <w:rsid w:val="00D76CE6"/>
    <w:rsid w:val="00D76D10"/>
    <w:rsid w:val="00D76D8F"/>
    <w:rsid w:val="00D76DC3"/>
    <w:rsid w:val="00D76E54"/>
    <w:rsid w:val="00D76EEA"/>
    <w:rsid w:val="00D76F7D"/>
    <w:rsid w:val="00D7701A"/>
    <w:rsid w:val="00D770F0"/>
    <w:rsid w:val="00D77173"/>
    <w:rsid w:val="00D7718C"/>
    <w:rsid w:val="00D77252"/>
    <w:rsid w:val="00D7731C"/>
    <w:rsid w:val="00D7732D"/>
    <w:rsid w:val="00D774B0"/>
    <w:rsid w:val="00D7750F"/>
    <w:rsid w:val="00D7753A"/>
    <w:rsid w:val="00D775CB"/>
    <w:rsid w:val="00D77669"/>
    <w:rsid w:val="00D77725"/>
    <w:rsid w:val="00D7791C"/>
    <w:rsid w:val="00D77AE1"/>
    <w:rsid w:val="00D77B01"/>
    <w:rsid w:val="00D77DA9"/>
    <w:rsid w:val="00D77DC0"/>
    <w:rsid w:val="00D80001"/>
    <w:rsid w:val="00D801D9"/>
    <w:rsid w:val="00D802D8"/>
    <w:rsid w:val="00D80435"/>
    <w:rsid w:val="00D804E0"/>
    <w:rsid w:val="00D804FE"/>
    <w:rsid w:val="00D80597"/>
    <w:rsid w:val="00D80654"/>
    <w:rsid w:val="00D8065A"/>
    <w:rsid w:val="00D807AD"/>
    <w:rsid w:val="00D80817"/>
    <w:rsid w:val="00D8091F"/>
    <w:rsid w:val="00D80AA5"/>
    <w:rsid w:val="00D80CA8"/>
    <w:rsid w:val="00D80ED3"/>
    <w:rsid w:val="00D80F4B"/>
    <w:rsid w:val="00D81031"/>
    <w:rsid w:val="00D8120C"/>
    <w:rsid w:val="00D813B5"/>
    <w:rsid w:val="00D813CA"/>
    <w:rsid w:val="00D8148F"/>
    <w:rsid w:val="00D814F7"/>
    <w:rsid w:val="00D8199A"/>
    <w:rsid w:val="00D81A18"/>
    <w:rsid w:val="00D81AA2"/>
    <w:rsid w:val="00D81ADF"/>
    <w:rsid w:val="00D81C66"/>
    <w:rsid w:val="00D81C89"/>
    <w:rsid w:val="00D81CB5"/>
    <w:rsid w:val="00D81D50"/>
    <w:rsid w:val="00D81F02"/>
    <w:rsid w:val="00D81F21"/>
    <w:rsid w:val="00D82012"/>
    <w:rsid w:val="00D820EE"/>
    <w:rsid w:val="00D82187"/>
    <w:rsid w:val="00D821B2"/>
    <w:rsid w:val="00D821C5"/>
    <w:rsid w:val="00D82252"/>
    <w:rsid w:val="00D8238B"/>
    <w:rsid w:val="00D82449"/>
    <w:rsid w:val="00D824DD"/>
    <w:rsid w:val="00D82691"/>
    <w:rsid w:val="00D8283E"/>
    <w:rsid w:val="00D828BE"/>
    <w:rsid w:val="00D82B0F"/>
    <w:rsid w:val="00D82B77"/>
    <w:rsid w:val="00D82BF1"/>
    <w:rsid w:val="00D82C45"/>
    <w:rsid w:val="00D82D00"/>
    <w:rsid w:val="00D82EDB"/>
    <w:rsid w:val="00D8301A"/>
    <w:rsid w:val="00D83042"/>
    <w:rsid w:val="00D83163"/>
    <w:rsid w:val="00D832B0"/>
    <w:rsid w:val="00D83390"/>
    <w:rsid w:val="00D8342F"/>
    <w:rsid w:val="00D834F4"/>
    <w:rsid w:val="00D83690"/>
    <w:rsid w:val="00D836B1"/>
    <w:rsid w:val="00D83716"/>
    <w:rsid w:val="00D837BE"/>
    <w:rsid w:val="00D838AC"/>
    <w:rsid w:val="00D839E3"/>
    <w:rsid w:val="00D83A4C"/>
    <w:rsid w:val="00D83BC4"/>
    <w:rsid w:val="00D83C0A"/>
    <w:rsid w:val="00D83DD5"/>
    <w:rsid w:val="00D83E0D"/>
    <w:rsid w:val="00D83E17"/>
    <w:rsid w:val="00D83E24"/>
    <w:rsid w:val="00D83EF1"/>
    <w:rsid w:val="00D83FC1"/>
    <w:rsid w:val="00D8402E"/>
    <w:rsid w:val="00D840BF"/>
    <w:rsid w:val="00D84121"/>
    <w:rsid w:val="00D841F5"/>
    <w:rsid w:val="00D84235"/>
    <w:rsid w:val="00D84413"/>
    <w:rsid w:val="00D84575"/>
    <w:rsid w:val="00D84638"/>
    <w:rsid w:val="00D84767"/>
    <w:rsid w:val="00D849F9"/>
    <w:rsid w:val="00D84B66"/>
    <w:rsid w:val="00D84B6F"/>
    <w:rsid w:val="00D84C97"/>
    <w:rsid w:val="00D84CD7"/>
    <w:rsid w:val="00D850B9"/>
    <w:rsid w:val="00D8511B"/>
    <w:rsid w:val="00D85163"/>
    <w:rsid w:val="00D8529B"/>
    <w:rsid w:val="00D8533B"/>
    <w:rsid w:val="00D85400"/>
    <w:rsid w:val="00D854B0"/>
    <w:rsid w:val="00D8550F"/>
    <w:rsid w:val="00D85585"/>
    <w:rsid w:val="00D85661"/>
    <w:rsid w:val="00D85690"/>
    <w:rsid w:val="00D85760"/>
    <w:rsid w:val="00D857AE"/>
    <w:rsid w:val="00D85833"/>
    <w:rsid w:val="00D8588A"/>
    <w:rsid w:val="00D85900"/>
    <w:rsid w:val="00D85BFE"/>
    <w:rsid w:val="00D85C40"/>
    <w:rsid w:val="00D85ECE"/>
    <w:rsid w:val="00D8624E"/>
    <w:rsid w:val="00D864F2"/>
    <w:rsid w:val="00D86648"/>
    <w:rsid w:val="00D8678C"/>
    <w:rsid w:val="00D867A0"/>
    <w:rsid w:val="00D8682A"/>
    <w:rsid w:val="00D8697D"/>
    <w:rsid w:val="00D86B9F"/>
    <w:rsid w:val="00D86C8C"/>
    <w:rsid w:val="00D86CD4"/>
    <w:rsid w:val="00D86CEA"/>
    <w:rsid w:val="00D86D3C"/>
    <w:rsid w:val="00D86DE4"/>
    <w:rsid w:val="00D86E2A"/>
    <w:rsid w:val="00D86EE4"/>
    <w:rsid w:val="00D86F00"/>
    <w:rsid w:val="00D86F1B"/>
    <w:rsid w:val="00D871D9"/>
    <w:rsid w:val="00D872BD"/>
    <w:rsid w:val="00D8748C"/>
    <w:rsid w:val="00D874C2"/>
    <w:rsid w:val="00D8753E"/>
    <w:rsid w:val="00D875D5"/>
    <w:rsid w:val="00D8765B"/>
    <w:rsid w:val="00D87754"/>
    <w:rsid w:val="00D87781"/>
    <w:rsid w:val="00D878CF"/>
    <w:rsid w:val="00D87B33"/>
    <w:rsid w:val="00D87C26"/>
    <w:rsid w:val="00D87C46"/>
    <w:rsid w:val="00D87DC4"/>
    <w:rsid w:val="00D87E0C"/>
    <w:rsid w:val="00D87E3F"/>
    <w:rsid w:val="00D87EAE"/>
    <w:rsid w:val="00D87FA4"/>
    <w:rsid w:val="00D87FAE"/>
    <w:rsid w:val="00D9009D"/>
    <w:rsid w:val="00D900D4"/>
    <w:rsid w:val="00D900DB"/>
    <w:rsid w:val="00D900E5"/>
    <w:rsid w:val="00D9018A"/>
    <w:rsid w:val="00D9025D"/>
    <w:rsid w:val="00D904E9"/>
    <w:rsid w:val="00D906C3"/>
    <w:rsid w:val="00D908B3"/>
    <w:rsid w:val="00D90921"/>
    <w:rsid w:val="00D90A4D"/>
    <w:rsid w:val="00D90B52"/>
    <w:rsid w:val="00D90C7F"/>
    <w:rsid w:val="00D90C95"/>
    <w:rsid w:val="00D912B7"/>
    <w:rsid w:val="00D9130C"/>
    <w:rsid w:val="00D9134B"/>
    <w:rsid w:val="00D914A1"/>
    <w:rsid w:val="00D9185B"/>
    <w:rsid w:val="00D91927"/>
    <w:rsid w:val="00D91990"/>
    <w:rsid w:val="00D919E4"/>
    <w:rsid w:val="00D91B1F"/>
    <w:rsid w:val="00D91B4D"/>
    <w:rsid w:val="00D91BC1"/>
    <w:rsid w:val="00D91C13"/>
    <w:rsid w:val="00D91D2D"/>
    <w:rsid w:val="00D91DD9"/>
    <w:rsid w:val="00D91F36"/>
    <w:rsid w:val="00D91FC2"/>
    <w:rsid w:val="00D92185"/>
    <w:rsid w:val="00D921DC"/>
    <w:rsid w:val="00D92266"/>
    <w:rsid w:val="00D92437"/>
    <w:rsid w:val="00D92463"/>
    <w:rsid w:val="00D924FD"/>
    <w:rsid w:val="00D9258B"/>
    <w:rsid w:val="00D92682"/>
    <w:rsid w:val="00D9278D"/>
    <w:rsid w:val="00D92AFF"/>
    <w:rsid w:val="00D92D5B"/>
    <w:rsid w:val="00D92D93"/>
    <w:rsid w:val="00D92F42"/>
    <w:rsid w:val="00D931FD"/>
    <w:rsid w:val="00D93221"/>
    <w:rsid w:val="00D93306"/>
    <w:rsid w:val="00D933A1"/>
    <w:rsid w:val="00D9342B"/>
    <w:rsid w:val="00D934CF"/>
    <w:rsid w:val="00D93545"/>
    <w:rsid w:val="00D93546"/>
    <w:rsid w:val="00D93583"/>
    <w:rsid w:val="00D93649"/>
    <w:rsid w:val="00D93767"/>
    <w:rsid w:val="00D93776"/>
    <w:rsid w:val="00D937EC"/>
    <w:rsid w:val="00D937EE"/>
    <w:rsid w:val="00D938B7"/>
    <w:rsid w:val="00D9399C"/>
    <w:rsid w:val="00D939AC"/>
    <w:rsid w:val="00D93B93"/>
    <w:rsid w:val="00D93D4F"/>
    <w:rsid w:val="00D93D9A"/>
    <w:rsid w:val="00D93DC2"/>
    <w:rsid w:val="00D93DFF"/>
    <w:rsid w:val="00D93E09"/>
    <w:rsid w:val="00D93F37"/>
    <w:rsid w:val="00D93F41"/>
    <w:rsid w:val="00D9412E"/>
    <w:rsid w:val="00D94189"/>
    <w:rsid w:val="00D943F8"/>
    <w:rsid w:val="00D94407"/>
    <w:rsid w:val="00D944E5"/>
    <w:rsid w:val="00D946F2"/>
    <w:rsid w:val="00D94745"/>
    <w:rsid w:val="00D948B7"/>
    <w:rsid w:val="00D949A5"/>
    <w:rsid w:val="00D949CF"/>
    <w:rsid w:val="00D94BB7"/>
    <w:rsid w:val="00D94D7F"/>
    <w:rsid w:val="00D94DB8"/>
    <w:rsid w:val="00D94DC7"/>
    <w:rsid w:val="00D951F0"/>
    <w:rsid w:val="00D9527A"/>
    <w:rsid w:val="00D953E2"/>
    <w:rsid w:val="00D953F1"/>
    <w:rsid w:val="00D95470"/>
    <w:rsid w:val="00D954D1"/>
    <w:rsid w:val="00D95634"/>
    <w:rsid w:val="00D95663"/>
    <w:rsid w:val="00D95731"/>
    <w:rsid w:val="00D9573F"/>
    <w:rsid w:val="00D95780"/>
    <w:rsid w:val="00D95856"/>
    <w:rsid w:val="00D95867"/>
    <w:rsid w:val="00D958D7"/>
    <w:rsid w:val="00D95B0B"/>
    <w:rsid w:val="00D95DC1"/>
    <w:rsid w:val="00D95DD4"/>
    <w:rsid w:val="00D95FFF"/>
    <w:rsid w:val="00D96070"/>
    <w:rsid w:val="00D96638"/>
    <w:rsid w:val="00D966BF"/>
    <w:rsid w:val="00D966F8"/>
    <w:rsid w:val="00D9688B"/>
    <w:rsid w:val="00D968AC"/>
    <w:rsid w:val="00D968F3"/>
    <w:rsid w:val="00D96A13"/>
    <w:rsid w:val="00D96B25"/>
    <w:rsid w:val="00D96B55"/>
    <w:rsid w:val="00D96D28"/>
    <w:rsid w:val="00D96D4F"/>
    <w:rsid w:val="00D96E92"/>
    <w:rsid w:val="00D97160"/>
    <w:rsid w:val="00D972AB"/>
    <w:rsid w:val="00D974D8"/>
    <w:rsid w:val="00D97500"/>
    <w:rsid w:val="00D9760B"/>
    <w:rsid w:val="00D9765F"/>
    <w:rsid w:val="00D9772F"/>
    <w:rsid w:val="00D977B9"/>
    <w:rsid w:val="00D977BE"/>
    <w:rsid w:val="00D97BDA"/>
    <w:rsid w:val="00D97DB4"/>
    <w:rsid w:val="00D97E3D"/>
    <w:rsid w:val="00D97FF2"/>
    <w:rsid w:val="00DA005C"/>
    <w:rsid w:val="00DA011D"/>
    <w:rsid w:val="00DA0291"/>
    <w:rsid w:val="00DA02B5"/>
    <w:rsid w:val="00DA039A"/>
    <w:rsid w:val="00DA041E"/>
    <w:rsid w:val="00DA06F6"/>
    <w:rsid w:val="00DA0790"/>
    <w:rsid w:val="00DA0A86"/>
    <w:rsid w:val="00DA0B3C"/>
    <w:rsid w:val="00DA0D89"/>
    <w:rsid w:val="00DA0D97"/>
    <w:rsid w:val="00DA0F3D"/>
    <w:rsid w:val="00DA0FA9"/>
    <w:rsid w:val="00DA130D"/>
    <w:rsid w:val="00DA13B0"/>
    <w:rsid w:val="00DA14A0"/>
    <w:rsid w:val="00DA15AA"/>
    <w:rsid w:val="00DA15E5"/>
    <w:rsid w:val="00DA164D"/>
    <w:rsid w:val="00DA169F"/>
    <w:rsid w:val="00DA16DB"/>
    <w:rsid w:val="00DA176C"/>
    <w:rsid w:val="00DA17EA"/>
    <w:rsid w:val="00DA18C0"/>
    <w:rsid w:val="00DA19D8"/>
    <w:rsid w:val="00DA19E2"/>
    <w:rsid w:val="00DA1B0D"/>
    <w:rsid w:val="00DA1BEE"/>
    <w:rsid w:val="00DA1C1E"/>
    <w:rsid w:val="00DA1C41"/>
    <w:rsid w:val="00DA1D9D"/>
    <w:rsid w:val="00DA1DC2"/>
    <w:rsid w:val="00DA1EC4"/>
    <w:rsid w:val="00DA1ED8"/>
    <w:rsid w:val="00DA1FFC"/>
    <w:rsid w:val="00DA204B"/>
    <w:rsid w:val="00DA21D5"/>
    <w:rsid w:val="00DA2218"/>
    <w:rsid w:val="00DA2232"/>
    <w:rsid w:val="00DA2269"/>
    <w:rsid w:val="00DA2407"/>
    <w:rsid w:val="00DA248F"/>
    <w:rsid w:val="00DA249E"/>
    <w:rsid w:val="00DA24B2"/>
    <w:rsid w:val="00DA24C5"/>
    <w:rsid w:val="00DA24CF"/>
    <w:rsid w:val="00DA24FB"/>
    <w:rsid w:val="00DA25AB"/>
    <w:rsid w:val="00DA2619"/>
    <w:rsid w:val="00DA26CC"/>
    <w:rsid w:val="00DA2705"/>
    <w:rsid w:val="00DA2719"/>
    <w:rsid w:val="00DA27AB"/>
    <w:rsid w:val="00DA2B2C"/>
    <w:rsid w:val="00DA2DDA"/>
    <w:rsid w:val="00DA2EA2"/>
    <w:rsid w:val="00DA30DC"/>
    <w:rsid w:val="00DA3109"/>
    <w:rsid w:val="00DA31A2"/>
    <w:rsid w:val="00DA31BE"/>
    <w:rsid w:val="00DA33C6"/>
    <w:rsid w:val="00DA34E7"/>
    <w:rsid w:val="00DA358D"/>
    <w:rsid w:val="00DA35FD"/>
    <w:rsid w:val="00DA36C4"/>
    <w:rsid w:val="00DA387E"/>
    <w:rsid w:val="00DA39D2"/>
    <w:rsid w:val="00DA3A86"/>
    <w:rsid w:val="00DA3A8D"/>
    <w:rsid w:val="00DA3A9B"/>
    <w:rsid w:val="00DA3AF4"/>
    <w:rsid w:val="00DA3B27"/>
    <w:rsid w:val="00DA3D71"/>
    <w:rsid w:val="00DA3DDA"/>
    <w:rsid w:val="00DA3E5D"/>
    <w:rsid w:val="00DA3FBB"/>
    <w:rsid w:val="00DA4198"/>
    <w:rsid w:val="00DA41C0"/>
    <w:rsid w:val="00DA4239"/>
    <w:rsid w:val="00DA4270"/>
    <w:rsid w:val="00DA44D3"/>
    <w:rsid w:val="00DA47B6"/>
    <w:rsid w:val="00DA47E3"/>
    <w:rsid w:val="00DA48CF"/>
    <w:rsid w:val="00DA494D"/>
    <w:rsid w:val="00DA49B5"/>
    <w:rsid w:val="00DA4B1D"/>
    <w:rsid w:val="00DA4B58"/>
    <w:rsid w:val="00DA4B81"/>
    <w:rsid w:val="00DA4BD5"/>
    <w:rsid w:val="00DA4C10"/>
    <w:rsid w:val="00DA4C6C"/>
    <w:rsid w:val="00DA4CDE"/>
    <w:rsid w:val="00DA4D77"/>
    <w:rsid w:val="00DA4DC9"/>
    <w:rsid w:val="00DA4DCA"/>
    <w:rsid w:val="00DA4DE4"/>
    <w:rsid w:val="00DA4DF9"/>
    <w:rsid w:val="00DA4EC2"/>
    <w:rsid w:val="00DA4ED6"/>
    <w:rsid w:val="00DA4F09"/>
    <w:rsid w:val="00DA4F39"/>
    <w:rsid w:val="00DA4F66"/>
    <w:rsid w:val="00DA4F9C"/>
    <w:rsid w:val="00DA5039"/>
    <w:rsid w:val="00DA503B"/>
    <w:rsid w:val="00DA5140"/>
    <w:rsid w:val="00DA5210"/>
    <w:rsid w:val="00DA522C"/>
    <w:rsid w:val="00DA52F0"/>
    <w:rsid w:val="00DA5688"/>
    <w:rsid w:val="00DA5746"/>
    <w:rsid w:val="00DA588C"/>
    <w:rsid w:val="00DA5A38"/>
    <w:rsid w:val="00DA5ACF"/>
    <w:rsid w:val="00DA5BAB"/>
    <w:rsid w:val="00DA5CBF"/>
    <w:rsid w:val="00DA5D82"/>
    <w:rsid w:val="00DA5E1A"/>
    <w:rsid w:val="00DA5F8C"/>
    <w:rsid w:val="00DA61A4"/>
    <w:rsid w:val="00DA622E"/>
    <w:rsid w:val="00DA627A"/>
    <w:rsid w:val="00DA62B1"/>
    <w:rsid w:val="00DA633A"/>
    <w:rsid w:val="00DA6451"/>
    <w:rsid w:val="00DA6479"/>
    <w:rsid w:val="00DA64D7"/>
    <w:rsid w:val="00DA65DE"/>
    <w:rsid w:val="00DA6618"/>
    <w:rsid w:val="00DA673B"/>
    <w:rsid w:val="00DA6796"/>
    <w:rsid w:val="00DA680E"/>
    <w:rsid w:val="00DA6D58"/>
    <w:rsid w:val="00DA6D8F"/>
    <w:rsid w:val="00DA6DC6"/>
    <w:rsid w:val="00DA6E68"/>
    <w:rsid w:val="00DA6FDB"/>
    <w:rsid w:val="00DA7081"/>
    <w:rsid w:val="00DA709D"/>
    <w:rsid w:val="00DA70AC"/>
    <w:rsid w:val="00DA76A2"/>
    <w:rsid w:val="00DA77C2"/>
    <w:rsid w:val="00DA7841"/>
    <w:rsid w:val="00DA7918"/>
    <w:rsid w:val="00DA7961"/>
    <w:rsid w:val="00DA7CD0"/>
    <w:rsid w:val="00DA7CE4"/>
    <w:rsid w:val="00DA7D1F"/>
    <w:rsid w:val="00DA7D31"/>
    <w:rsid w:val="00DA7D32"/>
    <w:rsid w:val="00DA7D87"/>
    <w:rsid w:val="00DA7E85"/>
    <w:rsid w:val="00DB0076"/>
    <w:rsid w:val="00DB0215"/>
    <w:rsid w:val="00DB04C0"/>
    <w:rsid w:val="00DB062E"/>
    <w:rsid w:val="00DB0899"/>
    <w:rsid w:val="00DB090E"/>
    <w:rsid w:val="00DB0924"/>
    <w:rsid w:val="00DB0987"/>
    <w:rsid w:val="00DB0B61"/>
    <w:rsid w:val="00DB0C88"/>
    <w:rsid w:val="00DB0CD2"/>
    <w:rsid w:val="00DB0D07"/>
    <w:rsid w:val="00DB0E7F"/>
    <w:rsid w:val="00DB0EA8"/>
    <w:rsid w:val="00DB0EBA"/>
    <w:rsid w:val="00DB0EBD"/>
    <w:rsid w:val="00DB0F25"/>
    <w:rsid w:val="00DB0F34"/>
    <w:rsid w:val="00DB1020"/>
    <w:rsid w:val="00DB10A8"/>
    <w:rsid w:val="00DB10DD"/>
    <w:rsid w:val="00DB1171"/>
    <w:rsid w:val="00DB124D"/>
    <w:rsid w:val="00DB1413"/>
    <w:rsid w:val="00DB1474"/>
    <w:rsid w:val="00DB14D1"/>
    <w:rsid w:val="00DB15D5"/>
    <w:rsid w:val="00DB1679"/>
    <w:rsid w:val="00DB1683"/>
    <w:rsid w:val="00DB175F"/>
    <w:rsid w:val="00DB185C"/>
    <w:rsid w:val="00DB1901"/>
    <w:rsid w:val="00DB1A3B"/>
    <w:rsid w:val="00DB1B7B"/>
    <w:rsid w:val="00DB1B9E"/>
    <w:rsid w:val="00DB1C14"/>
    <w:rsid w:val="00DB1C37"/>
    <w:rsid w:val="00DB1DC8"/>
    <w:rsid w:val="00DB1E31"/>
    <w:rsid w:val="00DB1EA8"/>
    <w:rsid w:val="00DB1EE8"/>
    <w:rsid w:val="00DB1F3E"/>
    <w:rsid w:val="00DB1FFB"/>
    <w:rsid w:val="00DB2073"/>
    <w:rsid w:val="00DB21FC"/>
    <w:rsid w:val="00DB22D1"/>
    <w:rsid w:val="00DB23E8"/>
    <w:rsid w:val="00DB2550"/>
    <w:rsid w:val="00DB26D2"/>
    <w:rsid w:val="00DB2905"/>
    <w:rsid w:val="00DB2962"/>
    <w:rsid w:val="00DB2A33"/>
    <w:rsid w:val="00DB2A35"/>
    <w:rsid w:val="00DB2AC8"/>
    <w:rsid w:val="00DB2B0C"/>
    <w:rsid w:val="00DB2B6D"/>
    <w:rsid w:val="00DB2D79"/>
    <w:rsid w:val="00DB2DF4"/>
    <w:rsid w:val="00DB2E81"/>
    <w:rsid w:val="00DB2F40"/>
    <w:rsid w:val="00DB31CA"/>
    <w:rsid w:val="00DB3331"/>
    <w:rsid w:val="00DB3367"/>
    <w:rsid w:val="00DB35DE"/>
    <w:rsid w:val="00DB368C"/>
    <w:rsid w:val="00DB36EA"/>
    <w:rsid w:val="00DB3711"/>
    <w:rsid w:val="00DB37C1"/>
    <w:rsid w:val="00DB38D9"/>
    <w:rsid w:val="00DB38E3"/>
    <w:rsid w:val="00DB395B"/>
    <w:rsid w:val="00DB3AAB"/>
    <w:rsid w:val="00DB3D13"/>
    <w:rsid w:val="00DB3D21"/>
    <w:rsid w:val="00DB3E64"/>
    <w:rsid w:val="00DB3F31"/>
    <w:rsid w:val="00DB3F64"/>
    <w:rsid w:val="00DB4202"/>
    <w:rsid w:val="00DB4203"/>
    <w:rsid w:val="00DB42D2"/>
    <w:rsid w:val="00DB4600"/>
    <w:rsid w:val="00DB4732"/>
    <w:rsid w:val="00DB4784"/>
    <w:rsid w:val="00DB481A"/>
    <w:rsid w:val="00DB4833"/>
    <w:rsid w:val="00DB48CF"/>
    <w:rsid w:val="00DB49BA"/>
    <w:rsid w:val="00DB4A7B"/>
    <w:rsid w:val="00DB4AD2"/>
    <w:rsid w:val="00DB4B0D"/>
    <w:rsid w:val="00DB4B1C"/>
    <w:rsid w:val="00DB4B25"/>
    <w:rsid w:val="00DB4CC2"/>
    <w:rsid w:val="00DB4DD4"/>
    <w:rsid w:val="00DB4EE4"/>
    <w:rsid w:val="00DB4F23"/>
    <w:rsid w:val="00DB5136"/>
    <w:rsid w:val="00DB5186"/>
    <w:rsid w:val="00DB51E2"/>
    <w:rsid w:val="00DB523F"/>
    <w:rsid w:val="00DB52FB"/>
    <w:rsid w:val="00DB5313"/>
    <w:rsid w:val="00DB5318"/>
    <w:rsid w:val="00DB537A"/>
    <w:rsid w:val="00DB53CA"/>
    <w:rsid w:val="00DB5456"/>
    <w:rsid w:val="00DB54A5"/>
    <w:rsid w:val="00DB553D"/>
    <w:rsid w:val="00DB56B8"/>
    <w:rsid w:val="00DB57B4"/>
    <w:rsid w:val="00DB58B8"/>
    <w:rsid w:val="00DB58FA"/>
    <w:rsid w:val="00DB5936"/>
    <w:rsid w:val="00DB5AAC"/>
    <w:rsid w:val="00DB5CDF"/>
    <w:rsid w:val="00DB5DD4"/>
    <w:rsid w:val="00DB5E04"/>
    <w:rsid w:val="00DB5F93"/>
    <w:rsid w:val="00DB602A"/>
    <w:rsid w:val="00DB61D5"/>
    <w:rsid w:val="00DB64B4"/>
    <w:rsid w:val="00DB6772"/>
    <w:rsid w:val="00DB67B5"/>
    <w:rsid w:val="00DB67C0"/>
    <w:rsid w:val="00DB67D3"/>
    <w:rsid w:val="00DB686E"/>
    <w:rsid w:val="00DB6925"/>
    <w:rsid w:val="00DB6A81"/>
    <w:rsid w:val="00DB6B11"/>
    <w:rsid w:val="00DB6B8B"/>
    <w:rsid w:val="00DB6C53"/>
    <w:rsid w:val="00DB6D91"/>
    <w:rsid w:val="00DB6E45"/>
    <w:rsid w:val="00DB6E78"/>
    <w:rsid w:val="00DB6F45"/>
    <w:rsid w:val="00DB6FF8"/>
    <w:rsid w:val="00DB701C"/>
    <w:rsid w:val="00DB704F"/>
    <w:rsid w:val="00DB71B0"/>
    <w:rsid w:val="00DB7221"/>
    <w:rsid w:val="00DB7385"/>
    <w:rsid w:val="00DB7509"/>
    <w:rsid w:val="00DB75C2"/>
    <w:rsid w:val="00DB7694"/>
    <w:rsid w:val="00DB76AC"/>
    <w:rsid w:val="00DB7834"/>
    <w:rsid w:val="00DB7898"/>
    <w:rsid w:val="00DB78B9"/>
    <w:rsid w:val="00DB78BA"/>
    <w:rsid w:val="00DB7951"/>
    <w:rsid w:val="00DB79B6"/>
    <w:rsid w:val="00DB7AE2"/>
    <w:rsid w:val="00DB7AFC"/>
    <w:rsid w:val="00DB7D8C"/>
    <w:rsid w:val="00DB7DAE"/>
    <w:rsid w:val="00DB7E0E"/>
    <w:rsid w:val="00DB7ED0"/>
    <w:rsid w:val="00DC00C1"/>
    <w:rsid w:val="00DC0121"/>
    <w:rsid w:val="00DC013B"/>
    <w:rsid w:val="00DC0298"/>
    <w:rsid w:val="00DC053E"/>
    <w:rsid w:val="00DC05F2"/>
    <w:rsid w:val="00DC0601"/>
    <w:rsid w:val="00DC064B"/>
    <w:rsid w:val="00DC08BC"/>
    <w:rsid w:val="00DC090B"/>
    <w:rsid w:val="00DC091C"/>
    <w:rsid w:val="00DC0941"/>
    <w:rsid w:val="00DC09E9"/>
    <w:rsid w:val="00DC0A0A"/>
    <w:rsid w:val="00DC0A6E"/>
    <w:rsid w:val="00DC0C2D"/>
    <w:rsid w:val="00DC0C5C"/>
    <w:rsid w:val="00DC0CA5"/>
    <w:rsid w:val="00DC0E16"/>
    <w:rsid w:val="00DC0F46"/>
    <w:rsid w:val="00DC0F68"/>
    <w:rsid w:val="00DC11A4"/>
    <w:rsid w:val="00DC142F"/>
    <w:rsid w:val="00DC1430"/>
    <w:rsid w:val="00DC163E"/>
    <w:rsid w:val="00DC1643"/>
    <w:rsid w:val="00DC1679"/>
    <w:rsid w:val="00DC1738"/>
    <w:rsid w:val="00DC191C"/>
    <w:rsid w:val="00DC1934"/>
    <w:rsid w:val="00DC1A76"/>
    <w:rsid w:val="00DC1A89"/>
    <w:rsid w:val="00DC1B4D"/>
    <w:rsid w:val="00DC1B65"/>
    <w:rsid w:val="00DC1C76"/>
    <w:rsid w:val="00DC1CBE"/>
    <w:rsid w:val="00DC1D68"/>
    <w:rsid w:val="00DC1F3C"/>
    <w:rsid w:val="00DC1F95"/>
    <w:rsid w:val="00DC1FCF"/>
    <w:rsid w:val="00DC1FE1"/>
    <w:rsid w:val="00DC2058"/>
    <w:rsid w:val="00DC20D3"/>
    <w:rsid w:val="00DC2129"/>
    <w:rsid w:val="00DC213D"/>
    <w:rsid w:val="00DC219B"/>
    <w:rsid w:val="00DC22E5"/>
    <w:rsid w:val="00DC2602"/>
    <w:rsid w:val="00DC2603"/>
    <w:rsid w:val="00DC2666"/>
    <w:rsid w:val="00DC26DB"/>
    <w:rsid w:val="00DC27C8"/>
    <w:rsid w:val="00DC28F6"/>
    <w:rsid w:val="00DC2929"/>
    <w:rsid w:val="00DC2957"/>
    <w:rsid w:val="00DC2965"/>
    <w:rsid w:val="00DC2A11"/>
    <w:rsid w:val="00DC2A21"/>
    <w:rsid w:val="00DC2B4D"/>
    <w:rsid w:val="00DC2B68"/>
    <w:rsid w:val="00DC2C74"/>
    <w:rsid w:val="00DC2CC8"/>
    <w:rsid w:val="00DC2CF1"/>
    <w:rsid w:val="00DC2DC7"/>
    <w:rsid w:val="00DC2FCE"/>
    <w:rsid w:val="00DC3098"/>
    <w:rsid w:val="00DC30A2"/>
    <w:rsid w:val="00DC30CD"/>
    <w:rsid w:val="00DC3136"/>
    <w:rsid w:val="00DC325D"/>
    <w:rsid w:val="00DC3267"/>
    <w:rsid w:val="00DC32B3"/>
    <w:rsid w:val="00DC3557"/>
    <w:rsid w:val="00DC38C8"/>
    <w:rsid w:val="00DC3910"/>
    <w:rsid w:val="00DC39C7"/>
    <w:rsid w:val="00DC3A7C"/>
    <w:rsid w:val="00DC3E31"/>
    <w:rsid w:val="00DC3F2C"/>
    <w:rsid w:val="00DC3F3D"/>
    <w:rsid w:val="00DC3FA2"/>
    <w:rsid w:val="00DC3FC8"/>
    <w:rsid w:val="00DC40B5"/>
    <w:rsid w:val="00DC4207"/>
    <w:rsid w:val="00DC42F4"/>
    <w:rsid w:val="00DC4323"/>
    <w:rsid w:val="00DC43D9"/>
    <w:rsid w:val="00DC44D8"/>
    <w:rsid w:val="00DC461B"/>
    <w:rsid w:val="00DC46D7"/>
    <w:rsid w:val="00DC47A7"/>
    <w:rsid w:val="00DC4853"/>
    <w:rsid w:val="00DC4901"/>
    <w:rsid w:val="00DC4AAA"/>
    <w:rsid w:val="00DC4B8B"/>
    <w:rsid w:val="00DC4BCE"/>
    <w:rsid w:val="00DC4BE4"/>
    <w:rsid w:val="00DC4D2D"/>
    <w:rsid w:val="00DC4D6D"/>
    <w:rsid w:val="00DC4DE5"/>
    <w:rsid w:val="00DC4FCF"/>
    <w:rsid w:val="00DC50C2"/>
    <w:rsid w:val="00DC50E0"/>
    <w:rsid w:val="00DC511F"/>
    <w:rsid w:val="00DC51AB"/>
    <w:rsid w:val="00DC5385"/>
    <w:rsid w:val="00DC5426"/>
    <w:rsid w:val="00DC544A"/>
    <w:rsid w:val="00DC5543"/>
    <w:rsid w:val="00DC55A5"/>
    <w:rsid w:val="00DC5639"/>
    <w:rsid w:val="00DC5AB9"/>
    <w:rsid w:val="00DC5AD2"/>
    <w:rsid w:val="00DC5B15"/>
    <w:rsid w:val="00DC5BDC"/>
    <w:rsid w:val="00DC5C37"/>
    <w:rsid w:val="00DC5C57"/>
    <w:rsid w:val="00DC5D02"/>
    <w:rsid w:val="00DC5D5C"/>
    <w:rsid w:val="00DC5DA0"/>
    <w:rsid w:val="00DC5DC4"/>
    <w:rsid w:val="00DC5DEB"/>
    <w:rsid w:val="00DC5FA2"/>
    <w:rsid w:val="00DC600B"/>
    <w:rsid w:val="00DC610F"/>
    <w:rsid w:val="00DC61A3"/>
    <w:rsid w:val="00DC62D0"/>
    <w:rsid w:val="00DC6386"/>
    <w:rsid w:val="00DC638A"/>
    <w:rsid w:val="00DC6517"/>
    <w:rsid w:val="00DC65DB"/>
    <w:rsid w:val="00DC664E"/>
    <w:rsid w:val="00DC67F7"/>
    <w:rsid w:val="00DC6839"/>
    <w:rsid w:val="00DC6896"/>
    <w:rsid w:val="00DC694C"/>
    <w:rsid w:val="00DC6A07"/>
    <w:rsid w:val="00DC6A2F"/>
    <w:rsid w:val="00DC6A58"/>
    <w:rsid w:val="00DC6AE9"/>
    <w:rsid w:val="00DC6AFF"/>
    <w:rsid w:val="00DC6C1A"/>
    <w:rsid w:val="00DC716F"/>
    <w:rsid w:val="00DC72BC"/>
    <w:rsid w:val="00DC7333"/>
    <w:rsid w:val="00DC746C"/>
    <w:rsid w:val="00DC74C8"/>
    <w:rsid w:val="00DC7799"/>
    <w:rsid w:val="00DC77BD"/>
    <w:rsid w:val="00DC781F"/>
    <w:rsid w:val="00DC79BF"/>
    <w:rsid w:val="00DC79CB"/>
    <w:rsid w:val="00DC7A82"/>
    <w:rsid w:val="00DC7AE7"/>
    <w:rsid w:val="00DC7B9D"/>
    <w:rsid w:val="00DC7E2F"/>
    <w:rsid w:val="00DC7F40"/>
    <w:rsid w:val="00DC7F4D"/>
    <w:rsid w:val="00DD00F3"/>
    <w:rsid w:val="00DD02A2"/>
    <w:rsid w:val="00DD0348"/>
    <w:rsid w:val="00DD0479"/>
    <w:rsid w:val="00DD058B"/>
    <w:rsid w:val="00DD05FD"/>
    <w:rsid w:val="00DD06C1"/>
    <w:rsid w:val="00DD072F"/>
    <w:rsid w:val="00DD08A1"/>
    <w:rsid w:val="00DD08D3"/>
    <w:rsid w:val="00DD0934"/>
    <w:rsid w:val="00DD09DA"/>
    <w:rsid w:val="00DD0A14"/>
    <w:rsid w:val="00DD0B88"/>
    <w:rsid w:val="00DD0C2C"/>
    <w:rsid w:val="00DD0D86"/>
    <w:rsid w:val="00DD0EA4"/>
    <w:rsid w:val="00DD0F42"/>
    <w:rsid w:val="00DD0F43"/>
    <w:rsid w:val="00DD0FAD"/>
    <w:rsid w:val="00DD1130"/>
    <w:rsid w:val="00DD1149"/>
    <w:rsid w:val="00DD1155"/>
    <w:rsid w:val="00DD117F"/>
    <w:rsid w:val="00DD124B"/>
    <w:rsid w:val="00DD129B"/>
    <w:rsid w:val="00DD13C4"/>
    <w:rsid w:val="00DD13E6"/>
    <w:rsid w:val="00DD1670"/>
    <w:rsid w:val="00DD16D8"/>
    <w:rsid w:val="00DD183A"/>
    <w:rsid w:val="00DD1951"/>
    <w:rsid w:val="00DD196F"/>
    <w:rsid w:val="00DD19C7"/>
    <w:rsid w:val="00DD1A99"/>
    <w:rsid w:val="00DD1B79"/>
    <w:rsid w:val="00DD1BAA"/>
    <w:rsid w:val="00DD1F05"/>
    <w:rsid w:val="00DD1F41"/>
    <w:rsid w:val="00DD220C"/>
    <w:rsid w:val="00DD221E"/>
    <w:rsid w:val="00DD2236"/>
    <w:rsid w:val="00DD22CA"/>
    <w:rsid w:val="00DD2309"/>
    <w:rsid w:val="00DD23CC"/>
    <w:rsid w:val="00DD24D7"/>
    <w:rsid w:val="00DD26A0"/>
    <w:rsid w:val="00DD26A8"/>
    <w:rsid w:val="00DD2722"/>
    <w:rsid w:val="00DD274B"/>
    <w:rsid w:val="00DD27D6"/>
    <w:rsid w:val="00DD2949"/>
    <w:rsid w:val="00DD2B1F"/>
    <w:rsid w:val="00DD2BA4"/>
    <w:rsid w:val="00DD2BD1"/>
    <w:rsid w:val="00DD2C74"/>
    <w:rsid w:val="00DD2C83"/>
    <w:rsid w:val="00DD2D4F"/>
    <w:rsid w:val="00DD2D91"/>
    <w:rsid w:val="00DD2DA2"/>
    <w:rsid w:val="00DD2E10"/>
    <w:rsid w:val="00DD2E88"/>
    <w:rsid w:val="00DD30E2"/>
    <w:rsid w:val="00DD31DC"/>
    <w:rsid w:val="00DD337A"/>
    <w:rsid w:val="00DD33D8"/>
    <w:rsid w:val="00DD33E2"/>
    <w:rsid w:val="00DD35B1"/>
    <w:rsid w:val="00DD378D"/>
    <w:rsid w:val="00DD395C"/>
    <w:rsid w:val="00DD39BE"/>
    <w:rsid w:val="00DD39C0"/>
    <w:rsid w:val="00DD39C9"/>
    <w:rsid w:val="00DD3CEA"/>
    <w:rsid w:val="00DD3D04"/>
    <w:rsid w:val="00DD3D65"/>
    <w:rsid w:val="00DD3E5E"/>
    <w:rsid w:val="00DD3FD7"/>
    <w:rsid w:val="00DD40DD"/>
    <w:rsid w:val="00DD4186"/>
    <w:rsid w:val="00DD4330"/>
    <w:rsid w:val="00DD447A"/>
    <w:rsid w:val="00DD4630"/>
    <w:rsid w:val="00DD483A"/>
    <w:rsid w:val="00DD487D"/>
    <w:rsid w:val="00DD4888"/>
    <w:rsid w:val="00DD49CD"/>
    <w:rsid w:val="00DD4A68"/>
    <w:rsid w:val="00DD4B19"/>
    <w:rsid w:val="00DD4E20"/>
    <w:rsid w:val="00DD4E83"/>
    <w:rsid w:val="00DD4FDC"/>
    <w:rsid w:val="00DD5146"/>
    <w:rsid w:val="00DD519C"/>
    <w:rsid w:val="00DD5219"/>
    <w:rsid w:val="00DD5229"/>
    <w:rsid w:val="00DD52A0"/>
    <w:rsid w:val="00DD52D8"/>
    <w:rsid w:val="00DD52E4"/>
    <w:rsid w:val="00DD556A"/>
    <w:rsid w:val="00DD563F"/>
    <w:rsid w:val="00DD56A8"/>
    <w:rsid w:val="00DD5755"/>
    <w:rsid w:val="00DD588E"/>
    <w:rsid w:val="00DD5B5B"/>
    <w:rsid w:val="00DD5BDE"/>
    <w:rsid w:val="00DD5D15"/>
    <w:rsid w:val="00DD5D92"/>
    <w:rsid w:val="00DD5D95"/>
    <w:rsid w:val="00DD5EA2"/>
    <w:rsid w:val="00DD5F07"/>
    <w:rsid w:val="00DD6194"/>
    <w:rsid w:val="00DD61DF"/>
    <w:rsid w:val="00DD61F4"/>
    <w:rsid w:val="00DD6266"/>
    <w:rsid w:val="00DD6271"/>
    <w:rsid w:val="00DD63A3"/>
    <w:rsid w:val="00DD64A6"/>
    <w:rsid w:val="00DD64D6"/>
    <w:rsid w:val="00DD6628"/>
    <w:rsid w:val="00DD6945"/>
    <w:rsid w:val="00DD6B7F"/>
    <w:rsid w:val="00DD6BCD"/>
    <w:rsid w:val="00DD6C98"/>
    <w:rsid w:val="00DD6D16"/>
    <w:rsid w:val="00DD6D99"/>
    <w:rsid w:val="00DD6DDF"/>
    <w:rsid w:val="00DD6E6C"/>
    <w:rsid w:val="00DD6F4F"/>
    <w:rsid w:val="00DD6FBA"/>
    <w:rsid w:val="00DD71AF"/>
    <w:rsid w:val="00DD7211"/>
    <w:rsid w:val="00DD7302"/>
    <w:rsid w:val="00DD73F4"/>
    <w:rsid w:val="00DD7559"/>
    <w:rsid w:val="00DD7649"/>
    <w:rsid w:val="00DD7709"/>
    <w:rsid w:val="00DD7771"/>
    <w:rsid w:val="00DD790B"/>
    <w:rsid w:val="00DD791F"/>
    <w:rsid w:val="00DD79B3"/>
    <w:rsid w:val="00DD7A70"/>
    <w:rsid w:val="00DD7AFF"/>
    <w:rsid w:val="00DD7BCE"/>
    <w:rsid w:val="00DD7C43"/>
    <w:rsid w:val="00DD7CF9"/>
    <w:rsid w:val="00DD7E63"/>
    <w:rsid w:val="00DD7F01"/>
    <w:rsid w:val="00DE0004"/>
    <w:rsid w:val="00DE01CB"/>
    <w:rsid w:val="00DE0283"/>
    <w:rsid w:val="00DE02CB"/>
    <w:rsid w:val="00DE0503"/>
    <w:rsid w:val="00DE0531"/>
    <w:rsid w:val="00DE0566"/>
    <w:rsid w:val="00DE063E"/>
    <w:rsid w:val="00DE06DD"/>
    <w:rsid w:val="00DE070B"/>
    <w:rsid w:val="00DE07CD"/>
    <w:rsid w:val="00DE0866"/>
    <w:rsid w:val="00DE095F"/>
    <w:rsid w:val="00DE0B98"/>
    <w:rsid w:val="00DE0C43"/>
    <w:rsid w:val="00DE0D95"/>
    <w:rsid w:val="00DE0E98"/>
    <w:rsid w:val="00DE0EA5"/>
    <w:rsid w:val="00DE0F44"/>
    <w:rsid w:val="00DE0FF1"/>
    <w:rsid w:val="00DE1125"/>
    <w:rsid w:val="00DE11AA"/>
    <w:rsid w:val="00DE14F5"/>
    <w:rsid w:val="00DE154A"/>
    <w:rsid w:val="00DE1559"/>
    <w:rsid w:val="00DE160A"/>
    <w:rsid w:val="00DE177D"/>
    <w:rsid w:val="00DE179E"/>
    <w:rsid w:val="00DE18C7"/>
    <w:rsid w:val="00DE19C5"/>
    <w:rsid w:val="00DE19D5"/>
    <w:rsid w:val="00DE1A1B"/>
    <w:rsid w:val="00DE1A26"/>
    <w:rsid w:val="00DE1BF5"/>
    <w:rsid w:val="00DE1C5B"/>
    <w:rsid w:val="00DE1DFE"/>
    <w:rsid w:val="00DE1F19"/>
    <w:rsid w:val="00DE1F42"/>
    <w:rsid w:val="00DE1F4F"/>
    <w:rsid w:val="00DE1F65"/>
    <w:rsid w:val="00DE205F"/>
    <w:rsid w:val="00DE20A8"/>
    <w:rsid w:val="00DE2164"/>
    <w:rsid w:val="00DE2258"/>
    <w:rsid w:val="00DE2451"/>
    <w:rsid w:val="00DE2503"/>
    <w:rsid w:val="00DE26C6"/>
    <w:rsid w:val="00DE2816"/>
    <w:rsid w:val="00DE289A"/>
    <w:rsid w:val="00DE2C2F"/>
    <w:rsid w:val="00DE2D04"/>
    <w:rsid w:val="00DE3089"/>
    <w:rsid w:val="00DE311A"/>
    <w:rsid w:val="00DE3250"/>
    <w:rsid w:val="00DE33CE"/>
    <w:rsid w:val="00DE3401"/>
    <w:rsid w:val="00DE3466"/>
    <w:rsid w:val="00DE3532"/>
    <w:rsid w:val="00DE3602"/>
    <w:rsid w:val="00DE3624"/>
    <w:rsid w:val="00DE3678"/>
    <w:rsid w:val="00DE3752"/>
    <w:rsid w:val="00DE3972"/>
    <w:rsid w:val="00DE39BE"/>
    <w:rsid w:val="00DE39D1"/>
    <w:rsid w:val="00DE39FD"/>
    <w:rsid w:val="00DE3D10"/>
    <w:rsid w:val="00DE3D1A"/>
    <w:rsid w:val="00DE3F08"/>
    <w:rsid w:val="00DE3FE6"/>
    <w:rsid w:val="00DE404C"/>
    <w:rsid w:val="00DE40C4"/>
    <w:rsid w:val="00DE41A4"/>
    <w:rsid w:val="00DE420B"/>
    <w:rsid w:val="00DE442F"/>
    <w:rsid w:val="00DE4449"/>
    <w:rsid w:val="00DE45CA"/>
    <w:rsid w:val="00DE46B3"/>
    <w:rsid w:val="00DE46E8"/>
    <w:rsid w:val="00DE471A"/>
    <w:rsid w:val="00DE478E"/>
    <w:rsid w:val="00DE48FE"/>
    <w:rsid w:val="00DE492E"/>
    <w:rsid w:val="00DE4D17"/>
    <w:rsid w:val="00DE4DBB"/>
    <w:rsid w:val="00DE4DF8"/>
    <w:rsid w:val="00DE4E7C"/>
    <w:rsid w:val="00DE4FE3"/>
    <w:rsid w:val="00DE5145"/>
    <w:rsid w:val="00DE5217"/>
    <w:rsid w:val="00DE54BD"/>
    <w:rsid w:val="00DE54C6"/>
    <w:rsid w:val="00DE54E2"/>
    <w:rsid w:val="00DE5522"/>
    <w:rsid w:val="00DE554A"/>
    <w:rsid w:val="00DE56C3"/>
    <w:rsid w:val="00DE5704"/>
    <w:rsid w:val="00DE57EE"/>
    <w:rsid w:val="00DE57F0"/>
    <w:rsid w:val="00DE583B"/>
    <w:rsid w:val="00DE5982"/>
    <w:rsid w:val="00DE59D3"/>
    <w:rsid w:val="00DE5B08"/>
    <w:rsid w:val="00DE5D53"/>
    <w:rsid w:val="00DE5E41"/>
    <w:rsid w:val="00DE5F03"/>
    <w:rsid w:val="00DE6028"/>
    <w:rsid w:val="00DE6224"/>
    <w:rsid w:val="00DE63AC"/>
    <w:rsid w:val="00DE6484"/>
    <w:rsid w:val="00DE657B"/>
    <w:rsid w:val="00DE659B"/>
    <w:rsid w:val="00DE676C"/>
    <w:rsid w:val="00DE6943"/>
    <w:rsid w:val="00DE6ACE"/>
    <w:rsid w:val="00DE6B51"/>
    <w:rsid w:val="00DE6BA8"/>
    <w:rsid w:val="00DE6BBD"/>
    <w:rsid w:val="00DE6C0E"/>
    <w:rsid w:val="00DE6C31"/>
    <w:rsid w:val="00DE6C85"/>
    <w:rsid w:val="00DE6F44"/>
    <w:rsid w:val="00DE702D"/>
    <w:rsid w:val="00DE704B"/>
    <w:rsid w:val="00DE714D"/>
    <w:rsid w:val="00DE721B"/>
    <w:rsid w:val="00DE7253"/>
    <w:rsid w:val="00DE73ED"/>
    <w:rsid w:val="00DE761E"/>
    <w:rsid w:val="00DE766C"/>
    <w:rsid w:val="00DE76A2"/>
    <w:rsid w:val="00DE76EE"/>
    <w:rsid w:val="00DE7777"/>
    <w:rsid w:val="00DE783B"/>
    <w:rsid w:val="00DE787E"/>
    <w:rsid w:val="00DE789D"/>
    <w:rsid w:val="00DE78A3"/>
    <w:rsid w:val="00DE790E"/>
    <w:rsid w:val="00DE7A48"/>
    <w:rsid w:val="00DE7BB2"/>
    <w:rsid w:val="00DE7D79"/>
    <w:rsid w:val="00DE7D8D"/>
    <w:rsid w:val="00DE7DDB"/>
    <w:rsid w:val="00DF0020"/>
    <w:rsid w:val="00DF00B1"/>
    <w:rsid w:val="00DF00BD"/>
    <w:rsid w:val="00DF018E"/>
    <w:rsid w:val="00DF0269"/>
    <w:rsid w:val="00DF0301"/>
    <w:rsid w:val="00DF0373"/>
    <w:rsid w:val="00DF03AC"/>
    <w:rsid w:val="00DF03D1"/>
    <w:rsid w:val="00DF045A"/>
    <w:rsid w:val="00DF0508"/>
    <w:rsid w:val="00DF0827"/>
    <w:rsid w:val="00DF08AC"/>
    <w:rsid w:val="00DF0A88"/>
    <w:rsid w:val="00DF0ABA"/>
    <w:rsid w:val="00DF0B53"/>
    <w:rsid w:val="00DF0B71"/>
    <w:rsid w:val="00DF0EE0"/>
    <w:rsid w:val="00DF0F5B"/>
    <w:rsid w:val="00DF0FB8"/>
    <w:rsid w:val="00DF107A"/>
    <w:rsid w:val="00DF1088"/>
    <w:rsid w:val="00DF12D4"/>
    <w:rsid w:val="00DF139F"/>
    <w:rsid w:val="00DF155B"/>
    <w:rsid w:val="00DF15C0"/>
    <w:rsid w:val="00DF17B5"/>
    <w:rsid w:val="00DF18E6"/>
    <w:rsid w:val="00DF1928"/>
    <w:rsid w:val="00DF1A0D"/>
    <w:rsid w:val="00DF1A71"/>
    <w:rsid w:val="00DF1C92"/>
    <w:rsid w:val="00DF1F25"/>
    <w:rsid w:val="00DF1F2D"/>
    <w:rsid w:val="00DF1FA9"/>
    <w:rsid w:val="00DF2063"/>
    <w:rsid w:val="00DF209D"/>
    <w:rsid w:val="00DF210E"/>
    <w:rsid w:val="00DF2447"/>
    <w:rsid w:val="00DF257C"/>
    <w:rsid w:val="00DF2600"/>
    <w:rsid w:val="00DF2657"/>
    <w:rsid w:val="00DF2AFB"/>
    <w:rsid w:val="00DF2BD6"/>
    <w:rsid w:val="00DF2F60"/>
    <w:rsid w:val="00DF2F84"/>
    <w:rsid w:val="00DF310D"/>
    <w:rsid w:val="00DF3277"/>
    <w:rsid w:val="00DF3395"/>
    <w:rsid w:val="00DF3453"/>
    <w:rsid w:val="00DF3463"/>
    <w:rsid w:val="00DF3655"/>
    <w:rsid w:val="00DF37CD"/>
    <w:rsid w:val="00DF37F9"/>
    <w:rsid w:val="00DF388C"/>
    <w:rsid w:val="00DF3922"/>
    <w:rsid w:val="00DF39A7"/>
    <w:rsid w:val="00DF3A99"/>
    <w:rsid w:val="00DF3B31"/>
    <w:rsid w:val="00DF3B66"/>
    <w:rsid w:val="00DF3B8A"/>
    <w:rsid w:val="00DF3B95"/>
    <w:rsid w:val="00DF3CEE"/>
    <w:rsid w:val="00DF3E1C"/>
    <w:rsid w:val="00DF4032"/>
    <w:rsid w:val="00DF441F"/>
    <w:rsid w:val="00DF4429"/>
    <w:rsid w:val="00DF44E9"/>
    <w:rsid w:val="00DF450E"/>
    <w:rsid w:val="00DF4822"/>
    <w:rsid w:val="00DF4951"/>
    <w:rsid w:val="00DF4A91"/>
    <w:rsid w:val="00DF4ADE"/>
    <w:rsid w:val="00DF4BE8"/>
    <w:rsid w:val="00DF4D4C"/>
    <w:rsid w:val="00DF4D98"/>
    <w:rsid w:val="00DF4DF5"/>
    <w:rsid w:val="00DF5061"/>
    <w:rsid w:val="00DF50FC"/>
    <w:rsid w:val="00DF514F"/>
    <w:rsid w:val="00DF517B"/>
    <w:rsid w:val="00DF51C4"/>
    <w:rsid w:val="00DF52AC"/>
    <w:rsid w:val="00DF5325"/>
    <w:rsid w:val="00DF5370"/>
    <w:rsid w:val="00DF540A"/>
    <w:rsid w:val="00DF54BA"/>
    <w:rsid w:val="00DF5557"/>
    <w:rsid w:val="00DF5570"/>
    <w:rsid w:val="00DF55BC"/>
    <w:rsid w:val="00DF55CA"/>
    <w:rsid w:val="00DF5681"/>
    <w:rsid w:val="00DF56A8"/>
    <w:rsid w:val="00DF5768"/>
    <w:rsid w:val="00DF57BA"/>
    <w:rsid w:val="00DF57C9"/>
    <w:rsid w:val="00DF57D2"/>
    <w:rsid w:val="00DF58AE"/>
    <w:rsid w:val="00DF5976"/>
    <w:rsid w:val="00DF5A31"/>
    <w:rsid w:val="00DF5A69"/>
    <w:rsid w:val="00DF5C1F"/>
    <w:rsid w:val="00DF5CB8"/>
    <w:rsid w:val="00DF5D2D"/>
    <w:rsid w:val="00DF5D81"/>
    <w:rsid w:val="00DF5EFA"/>
    <w:rsid w:val="00DF5F4C"/>
    <w:rsid w:val="00DF60FC"/>
    <w:rsid w:val="00DF61A4"/>
    <w:rsid w:val="00DF6291"/>
    <w:rsid w:val="00DF62ED"/>
    <w:rsid w:val="00DF63AB"/>
    <w:rsid w:val="00DF6570"/>
    <w:rsid w:val="00DF65D4"/>
    <w:rsid w:val="00DF687C"/>
    <w:rsid w:val="00DF68C7"/>
    <w:rsid w:val="00DF6A15"/>
    <w:rsid w:val="00DF6C22"/>
    <w:rsid w:val="00DF6E00"/>
    <w:rsid w:val="00DF7031"/>
    <w:rsid w:val="00DF7092"/>
    <w:rsid w:val="00DF71F9"/>
    <w:rsid w:val="00DF72E2"/>
    <w:rsid w:val="00DF731A"/>
    <w:rsid w:val="00DF7363"/>
    <w:rsid w:val="00DF73DC"/>
    <w:rsid w:val="00DF7472"/>
    <w:rsid w:val="00DF74B1"/>
    <w:rsid w:val="00DF786E"/>
    <w:rsid w:val="00DF791B"/>
    <w:rsid w:val="00DF79ED"/>
    <w:rsid w:val="00DF79FC"/>
    <w:rsid w:val="00DF7A16"/>
    <w:rsid w:val="00DF7AFB"/>
    <w:rsid w:val="00DF7CC6"/>
    <w:rsid w:val="00DF7DAE"/>
    <w:rsid w:val="00DF7E36"/>
    <w:rsid w:val="00DF7EA8"/>
    <w:rsid w:val="00DF7F35"/>
    <w:rsid w:val="00E00233"/>
    <w:rsid w:val="00E0053F"/>
    <w:rsid w:val="00E005A7"/>
    <w:rsid w:val="00E00605"/>
    <w:rsid w:val="00E00675"/>
    <w:rsid w:val="00E0081E"/>
    <w:rsid w:val="00E0090B"/>
    <w:rsid w:val="00E0097C"/>
    <w:rsid w:val="00E00A95"/>
    <w:rsid w:val="00E00B27"/>
    <w:rsid w:val="00E00D70"/>
    <w:rsid w:val="00E00DB4"/>
    <w:rsid w:val="00E00E55"/>
    <w:rsid w:val="00E01089"/>
    <w:rsid w:val="00E012C8"/>
    <w:rsid w:val="00E0136B"/>
    <w:rsid w:val="00E01597"/>
    <w:rsid w:val="00E0173B"/>
    <w:rsid w:val="00E017EA"/>
    <w:rsid w:val="00E01856"/>
    <w:rsid w:val="00E0197C"/>
    <w:rsid w:val="00E01B79"/>
    <w:rsid w:val="00E01DBB"/>
    <w:rsid w:val="00E01DF5"/>
    <w:rsid w:val="00E01E64"/>
    <w:rsid w:val="00E01FEC"/>
    <w:rsid w:val="00E02082"/>
    <w:rsid w:val="00E0214A"/>
    <w:rsid w:val="00E021B7"/>
    <w:rsid w:val="00E021BF"/>
    <w:rsid w:val="00E0240F"/>
    <w:rsid w:val="00E025CD"/>
    <w:rsid w:val="00E028C6"/>
    <w:rsid w:val="00E02A24"/>
    <w:rsid w:val="00E02AE8"/>
    <w:rsid w:val="00E02B94"/>
    <w:rsid w:val="00E02C47"/>
    <w:rsid w:val="00E02CEB"/>
    <w:rsid w:val="00E03019"/>
    <w:rsid w:val="00E033FB"/>
    <w:rsid w:val="00E037DA"/>
    <w:rsid w:val="00E037E2"/>
    <w:rsid w:val="00E03821"/>
    <w:rsid w:val="00E039CB"/>
    <w:rsid w:val="00E03AA2"/>
    <w:rsid w:val="00E03BBC"/>
    <w:rsid w:val="00E03C6F"/>
    <w:rsid w:val="00E03DDB"/>
    <w:rsid w:val="00E03DF0"/>
    <w:rsid w:val="00E03E96"/>
    <w:rsid w:val="00E03F4F"/>
    <w:rsid w:val="00E04015"/>
    <w:rsid w:val="00E04016"/>
    <w:rsid w:val="00E040CF"/>
    <w:rsid w:val="00E04150"/>
    <w:rsid w:val="00E04248"/>
    <w:rsid w:val="00E0428A"/>
    <w:rsid w:val="00E043A0"/>
    <w:rsid w:val="00E043A8"/>
    <w:rsid w:val="00E043C8"/>
    <w:rsid w:val="00E0468E"/>
    <w:rsid w:val="00E04958"/>
    <w:rsid w:val="00E04AFD"/>
    <w:rsid w:val="00E04B72"/>
    <w:rsid w:val="00E04BBB"/>
    <w:rsid w:val="00E04CE7"/>
    <w:rsid w:val="00E04E69"/>
    <w:rsid w:val="00E04EBC"/>
    <w:rsid w:val="00E05082"/>
    <w:rsid w:val="00E050D7"/>
    <w:rsid w:val="00E05111"/>
    <w:rsid w:val="00E0514A"/>
    <w:rsid w:val="00E05192"/>
    <w:rsid w:val="00E051E6"/>
    <w:rsid w:val="00E05365"/>
    <w:rsid w:val="00E054DA"/>
    <w:rsid w:val="00E0551B"/>
    <w:rsid w:val="00E0552E"/>
    <w:rsid w:val="00E058DD"/>
    <w:rsid w:val="00E05A5E"/>
    <w:rsid w:val="00E05BB8"/>
    <w:rsid w:val="00E05DF3"/>
    <w:rsid w:val="00E05E2F"/>
    <w:rsid w:val="00E05EDA"/>
    <w:rsid w:val="00E061B8"/>
    <w:rsid w:val="00E06226"/>
    <w:rsid w:val="00E062C4"/>
    <w:rsid w:val="00E0636D"/>
    <w:rsid w:val="00E0640C"/>
    <w:rsid w:val="00E06411"/>
    <w:rsid w:val="00E06420"/>
    <w:rsid w:val="00E06452"/>
    <w:rsid w:val="00E065CE"/>
    <w:rsid w:val="00E0667D"/>
    <w:rsid w:val="00E06745"/>
    <w:rsid w:val="00E069C5"/>
    <w:rsid w:val="00E06B75"/>
    <w:rsid w:val="00E06EAD"/>
    <w:rsid w:val="00E07016"/>
    <w:rsid w:val="00E07031"/>
    <w:rsid w:val="00E071EA"/>
    <w:rsid w:val="00E072BC"/>
    <w:rsid w:val="00E07396"/>
    <w:rsid w:val="00E074CE"/>
    <w:rsid w:val="00E07512"/>
    <w:rsid w:val="00E07540"/>
    <w:rsid w:val="00E07596"/>
    <w:rsid w:val="00E075A2"/>
    <w:rsid w:val="00E07624"/>
    <w:rsid w:val="00E0767E"/>
    <w:rsid w:val="00E07710"/>
    <w:rsid w:val="00E07771"/>
    <w:rsid w:val="00E07860"/>
    <w:rsid w:val="00E0792A"/>
    <w:rsid w:val="00E07939"/>
    <w:rsid w:val="00E0793F"/>
    <w:rsid w:val="00E0794C"/>
    <w:rsid w:val="00E07A6D"/>
    <w:rsid w:val="00E07A80"/>
    <w:rsid w:val="00E07B9A"/>
    <w:rsid w:val="00E07BB1"/>
    <w:rsid w:val="00E07BEA"/>
    <w:rsid w:val="00E07C04"/>
    <w:rsid w:val="00E07C74"/>
    <w:rsid w:val="00E07E30"/>
    <w:rsid w:val="00E07E44"/>
    <w:rsid w:val="00E07E7B"/>
    <w:rsid w:val="00E07F74"/>
    <w:rsid w:val="00E10074"/>
    <w:rsid w:val="00E10078"/>
    <w:rsid w:val="00E100E2"/>
    <w:rsid w:val="00E10214"/>
    <w:rsid w:val="00E1033D"/>
    <w:rsid w:val="00E103A9"/>
    <w:rsid w:val="00E10512"/>
    <w:rsid w:val="00E10628"/>
    <w:rsid w:val="00E107FD"/>
    <w:rsid w:val="00E108A9"/>
    <w:rsid w:val="00E10944"/>
    <w:rsid w:val="00E10AFD"/>
    <w:rsid w:val="00E10B83"/>
    <w:rsid w:val="00E10DBD"/>
    <w:rsid w:val="00E10E09"/>
    <w:rsid w:val="00E10F13"/>
    <w:rsid w:val="00E11049"/>
    <w:rsid w:val="00E110C5"/>
    <w:rsid w:val="00E11138"/>
    <w:rsid w:val="00E111E9"/>
    <w:rsid w:val="00E1130B"/>
    <w:rsid w:val="00E11332"/>
    <w:rsid w:val="00E11352"/>
    <w:rsid w:val="00E11572"/>
    <w:rsid w:val="00E117D4"/>
    <w:rsid w:val="00E1181E"/>
    <w:rsid w:val="00E11997"/>
    <w:rsid w:val="00E119B6"/>
    <w:rsid w:val="00E11B34"/>
    <w:rsid w:val="00E11D92"/>
    <w:rsid w:val="00E11E13"/>
    <w:rsid w:val="00E11EBC"/>
    <w:rsid w:val="00E11FCE"/>
    <w:rsid w:val="00E1207A"/>
    <w:rsid w:val="00E12108"/>
    <w:rsid w:val="00E12197"/>
    <w:rsid w:val="00E12246"/>
    <w:rsid w:val="00E1224A"/>
    <w:rsid w:val="00E123D7"/>
    <w:rsid w:val="00E12500"/>
    <w:rsid w:val="00E12549"/>
    <w:rsid w:val="00E12636"/>
    <w:rsid w:val="00E126CD"/>
    <w:rsid w:val="00E126CF"/>
    <w:rsid w:val="00E12858"/>
    <w:rsid w:val="00E12864"/>
    <w:rsid w:val="00E12893"/>
    <w:rsid w:val="00E129C6"/>
    <w:rsid w:val="00E12B23"/>
    <w:rsid w:val="00E12B71"/>
    <w:rsid w:val="00E12BA9"/>
    <w:rsid w:val="00E12BCA"/>
    <w:rsid w:val="00E12C1B"/>
    <w:rsid w:val="00E12C9C"/>
    <w:rsid w:val="00E12DB1"/>
    <w:rsid w:val="00E1308B"/>
    <w:rsid w:val="00E131DD"/>
    <w:rsid w:val="00E132D5"/>
    <w:rsid w:val="00E133A4"/>
    <w:rsid w:val="00E133F3"/>
    <w:rsid w:val="00E135A6"/>
    <w:rsid w:val="00E136B4"/>
    <w:rsid w:val="00E13728"/>
    <w:rsid w:val="00E13868"/>
    <w:rsid w:val="00E13881"/>
    <w:rsid w:val="00E138C0"/>
    <w:rsid w:val="00E13902"/>
    <w:rsid w:val="00E139FE"/>
    <w:rsid w:val="00E13A22"/>
    <w:rsid w:val="00E13BD8"/>
    <w:rsid w:val="00E13BDD"/>
    <w:rsid w:val="00E13C8B"/>
    <w:rsid w:val="00E13E03"/>
    <w:rsid w:val="00E13F3B"/>
    <w:rsid w:val="00E13F3C"/>
    <w:rsid w:val="00E13FAA"/>
    <w:rsid w:val="00E14030"/>
    <w:rsid w:val="00E14166"/>
    <w:rsid w:val="00E14423"/>
    <w:rsid w:val="00E14526"/>
    <w:rsid w:val="00E14561"/>
    <w:rsid w:val="00E145B0"/>
    <w:rsid w:val="00E145FC"/>
    <w:rsid w:val="00E14726"/>
    <w:rsid w:val="00E1488D"/>
    <w:rsid w:val="00E149BD"/>
    <w:rsid w:val="00E149DF"/>
    <w:rsid w:val="00E14C1A"/>
    <w:rsid w:val="00E14C61"/>
    <w:rsid w:val="00E14CE6"/>
    <w:rsid w:val="00E14E52"/>
    <w:rsid w:val="00E14F7F"/>
    <w:rsid w:val="00E14F80"/>
    <w:rsid w:val="00E15009"/>
    <w:rsid w:val="00E1506E"/>
    <w:rsid w:val="00E1518A"/>
    <w:rsid w:val="00E151CA"/>
    <w:rsid w:val="00E151D5"/>
    <w:rsid w:val="00E151E4"/>
    <w:rsid w:val="00E151F9"/>
    <w:rsid w:val="00E154D7"/>
    <w:rsid w:val="00E154E0"/>
    <w:rsid w:val="00E15789"/>
    <w:rsid w:val="00E15841"/>
    <w:rsid w:val="00E15867"/>
    <w:rsid w:val="00E15882"/>
    <w:rsid w:val="00E15890"/>
    <w:rsid w:val="00E159AB"/>
    <w:rsid w:val="00E15A34"/>
    <w:rsid w:val="00E15A46"/>
    <w:rsid w:val="00E15C2D"/>
    <w:rsid w:val="00E15C61"/>
    <w:rsid w:val="00E15C76"/>
    <w:rsid w:val="00E15D08"/>
    <w:rsid w:val="00E15D5D"/>
    <w:rsid w:val="00E15D72"/>
    <w:rsid w:val="00E15E7B"/>
    <w:rsid w:val="00E15ED5"/>
    <w:rsid w:val="00E15EEC"/>
    <w:rsid w:val="00E1600F"/>
    <w:rsid w:val="00E16061"/>
    <w:rsid w:val="00E162EE"/>
    <w:rsid w:val="00E1631C"/>
    <w:rsid w:val="00E16413"/>
    <w:rsid w:val="00E164E4"/>
    <w:rsid w:val="00E16593"/>
    <w:rsid w:val="00E16596"/>
    <w:rsid w:val="00E1677A"/>
    <w:rsid w:val="00E167CE"/>
    <w:rsid w:val="00E167F6"/>
    <w:rsid w:val="00E16896"/>
    <w:rsid w:val="00E168A6"/>
    <w:rsid w:val="00E16996"/>
    <w:rsid w:val="00E16C67"/>
    <w:rsid w:val="00E16D16"/>
    <w:rsid w:val="00E16D30"/>
    <w:rsid w:val="00E16E16"/>
    <w:rsid w:val="00E16F86"/>
    <w:rsid w:val="00E16F9C"/>
    <w:rsid w:val="00E1700F"/>
    <w:rsid w:val="00E17064"/>
    <w:rsid w:val="00E170DC"/>
    <w:rsid w:val="00E170FA"/>
    <w:rsid w:val="00E1722A"/>
    <w:rsid w:val="00E1741D"/>
    <w:rsid w:val="00E17458"/>
    <w:rsid w:val="00E1750E"/>
    <w:rsid w:val="00E17546"/>
    <w:rsid w:val="00E17560"/>
    <w:rsid w:val="00E17604"/>
    <w:rsid w:val="00E1771C"/>
    <w:rsid w:val="00E178BA"/>
    <w:rsid w:val="00E17925"/>
    <w:rsid w:val="00E1792F"/>
    <w:rsid w:val="00E17A52"/>
    <w:rsid w:val="00E17AE3"/>
    <w:rsid w:val="00E17BCA"/>
    <w:rsid w:val="00E17DA9"/>
    <w:rsid w:val="00E17DBD"/>
    <w:rsid w:val="00E17F73"/>
    <w:rsid w:val="00E17FE0"/>
    <w:rsid w:val="00E20003"/>
    <w:rsid w:val="00E200A6"/>
    <w:rsid w:val="00E201C6"/>
    <w:rsid w:val="00E202A9"/>
    <w:rsid w:val="00E20369"/>
    <w:rsid w:val="00E20433"/>
    <w:rsid w:val="00E20451"/>
    <w:rsid w:val="00E2057B"/>
    <w:rsid w:val="00E209CD"/>
    <w:rsid w:val="00E20A87"/>
    <w:rsid w:val="00E20CD3"/>
    <w:rsid w:val="00E20D01"/>
    <w:rsid w:val="00E20D1A"/>
    <w:rsid w:val="00E20F2F"/>
    <w:rsid w:val="00E210B5"/>
    <w:rsid w:val="00E21169"/>
    <w:rsid w:val="00E211B2"/>
    <w:rsid w:val="00E211C1"/>
    <w:rsid w:val="00E211C8"/>
    <w:rsid w:val="00E2127D"/>
    <w:rsid w:val="00E212AE"/>
    <w:rsid w:val="00E2138B"/>
    <w:rsid w:val="00E21436"/>
    <w:rsid w:val="00E21447"/>
    <w:rsid w:val="00E21492"/>
    <w:rsid w:val="00E2150E"/>
    <w:rsid w:val="00E21710"/>
    <w:rsid w:val="00E21769"/>
    <w:rsid w:val="00E21905"/>
    <w:rsid w:val="00E2192B"/>
    <w:rsid w:val="00E21A65"/>
    <w:rsid w:val="00E21B3A"/>
    <w:rsid w:val="00E21D00"/>
    <w:rsid w:val="00E21D8B"/>
    <w:rsid w:val="00E21DE0"/>
    <w:rsid w:val="00E21E32"/>
    <w:rsid w:val="00E21E63"/>
    <w:rsid w:val="00E22037"/>
    <w:rsid w:val="00E22051"/>
    <w:rsid w:val="00E22097"/>
    <w:rsid w:val="00E220E1"/>
    <w:rsid w:val="00E22114"/>
    <w:rsid w:val="00E2216F"/>
    <w:rsid w:val="00E221E4"/>
    <w:rsid w:val="00E223BD"/>
    <w:rsid w:val="00E22501"/>
    <w:rsid w:val="00E2268D"/>
    <w:rsid w:val="00E227C6"/>
    <w:rsid w:val="00E22886"/>
    <w:rsid w:val="00E229C1"/>
    <w:rsid w:val="00E229C5"/>
    <w:rsid w:val="00E229CB"/>
    <w:rsid w:val="00E22B2C"/>
    <w:rsid w:val="00E22BCD"/>
    <w:rsid w:val="00E22D69"/>
    <w:rsid w:val="00E22DA5"/>
    <w:rsid w:val="00E22F4C"/>
    <w:rsid w:val="00E2310C"/>
    <w:rsid w:val="00E232E7"/>
    <w:rsid w:val="00E23376"/>
    <w:rsid w:val="00E233DE"/>
    <w:rsid w:val="00E23759"/>
    <w:rsid w:val="00E23784"/>
    <w:rsid w:val="00E237F5"/>
    <w:rsid w:val="00E23AA8"/>
    <w:rsid w:val="00E23B6A"/>
    <w:rsid w:val="00E23D8F"/>
    <w:rsid w:val="00E23DA2"/>
    <w:rsid w:val="00E23DEC"/>
    <w:rsid w:val="00E23FAB"/>
    <w:rsid w:val="00E240E6"/>
    <w:rsid w:val="00E242D2"/>
    <w:rsid w:val="00E243F7"/>
    <w:rsid w:val="00E24420"/>
    <w:rsid w:val="00E24581"/>
    <w:rsid w:val="00E24798"/>
    <w:rsid w:val="00E24813"/>
    <w:rsid w:val="00E24892"/>
    <w:rsid w:val="00E24AEC"/>
    <w:rsid w:val="00E24B24"/>
    <w:rsid w:val="00E24CD3"/>
    <w:rsid w:val="00E24D5E"/>
    <w:rsid w:val="00E24D87"/>
    <w:rsid w:val="00E24E01"/>
    <w:rsid w:val="00E25100"/>
    <w:rsid w:val="00E2517C"/>
    <w:rsid w:val="00E253CF"/>
    <w:rsid w:val="00E253F6"/>
    <w:rsid w:val="00E25461"/>
    <w:rsid w:val="00E2547E"/>
    <w:rsid w:val="00E254A5"/>
    <w:rsid w:val="00E254B7"/>
    <w:rsid w:val="00E255A6"/>
    <w:rsid w:val="00E25641"/>
    <w:rsid w:val="00E25744"/>
    <w:rsid w:val="00E2585E"/>
    <w:rsid w:val="00E25A26"/>
    <w:rsid w:val="00E25BD5"/>
    <w:rsid w:val="00E25D59"/>
    <w:rsid w:val="00E25E08"/>
    <w:rsid w:val="00E25EB7"/>
    <w:rsid w:val="00E25F0B"/>
    <w:rsid w:val="00E260F1"/>
    <w:rsid w:val="00E26143"/>
    <w:rsid w:val="00E261B3"/>
    <w:rsid w:val="00E264A0"/>
    <w:rsid w:val="00E26753"/>
    <w:rsid w:val="00E26778"/>
    <w:rsid w:val="00E267B7"/>
    <w:rsid w:val="00E26818"/>
    <w:rsid w:val="00E26A33"/>
    <w:rsid w:val="00E26CA4"/>
    <w:rsid w:val="00E26CE0"/>
    <w:rsid w:val="00E26E07"/>
    <w:rsid w:val="00E26E1E"/>
    <w:rsid w:val="00E26EBA"/>
    <w:rsid w:val="00E26EE9"/>
    <w:rsid w:val="00E26F35"/>
    <w:rsid w:val="00E26F5B"/>
    <w:rsid w:val="00E26F6B"/>
    <w:rsid w:val="00E270FB"/>
    <w:rsid w:val="00E27218"/>
    <w:rsid w:val="00E27263"/>
    <w:rsid w:val="00E27324"/>
    <w:rsid w:val="00E27420"/>
    <w:rsid w:val="00E27515"/>
    <w:rsid w:val="00E275D9"/>
    <w:rsid w:val="00E277F7"/>
    <w:rsid w:val="00E27A04"/>
    <w:rsid w:val="00E27B28"/>
    <w:rsid w:val="00E27C9A"/>
    <w:rsid w:val="00E27CC2"/>
    <w:rsid w:val="00E27F4F"/>
    <w:rsid w:val="00E27FFC"/>
    <w:rsid w:val="00E30003"/>
    <w:rsid w:val="00E30023"/>
    <w:rsid w:val="00E3009D"/>
    <w:rsid w:val="00E30125"/>
    <w:rsid w:val="00E30137"/>
    <w:rsid w:val="00E305E5"/>
    <w:rsid w:val="00E30755"/>
    <w:rsid w:val="00E30848"/>
    <w:rsid w:val="00E309C4"/>
    <w:rsid w:val="00E30AD4"/>
    <w:rsid w:val="00E30B06"/>
    <w:rsid w:val="00E30B15"/>
    <w:rsid w:val="00E30B50"/>
    <w:rsid w:val="00E30D76"/>
    <w:rsid w:val="00E30FE4"/>
    <w:rsid w:val="00E310A4"/>
    <w:rsid w:val="00E312AD"/>
    <w:rsid w:val="00E313B5"/>
    <w:rsid w:val="00E31518"/>
    <w:rsid w:val="00E3166E"/>
    <w:rsid w:val="00E3179A"/>
    <w:rsid w:val="00E3180C"/>
    <w:rsid w:val="00E31838"/>
    <w:rsid w:val="00E31969"/>
    <w:rsid w:val="00E31B13"/>
    <w:rsid w:val="00E31B22"/>
    <w:rsid w:val="00E31D9D"/>
    <w:rsid w:val="00E31E4B"/>
    <w:rsid w:val="00E31E6A"/>
    <w:rsid w:val="00E31E73"/>
    <w:rsid w:val="00E31F33"/>
    <w:rsid w:val="00E3216D"/>
    <w:rsid w:val="00E322A1"/>
    <w:rsid w:val="00E32325"/>
    <w:rsid w:val="00E3251A"/>
    <w:rsid w:val="00E32811"/>
    <w:rsid w:val="00E328C2"/>
    <w:rsid w:val="00E328E5"/>
    <w:rsid w:val="00E32913"/>
    <w:rsid w:val="00E32AD0"/>
    <w:rsid w:val="00E32B22"/>
    <w:rsid w:val="00E32D79"/>
    <w:rsid w:val="00E32DDA"/>
    <w:rsid w:val="00E32E17"/>
    <w:rsid w:val="00E32E8B"/>
    <w:rsid w:val="00E32F08"/>
    <w:rsid w:val="00E32F0B"/>
    <w:rsid w:val="00E32F91"/>
    <w:rsid w:val="00E3307A"/>
    <w:rsid w:val="00E330DF"/>
    <w:rsid w:val="00E33145"/>
    <w:rsid w:val="00E33149"/>
    <w:rsid w:val="00E33151"/>
    <w:rsid w:val="00E33154"/>
    <w:rsid w:val="00E33230"/>
    <w:rsid w:val="00E33237"/>
    <w:rsid w:val="00E332D3"/>
    <w:rsid w:val="00E3332B"/>
    <w:rsid w:val="00E333AF"/>
    <w:rsid w:val="00E333C7"/>
    <w:rsid w:val="00E333CE"/>
    <w:rsid w:val="00E333EA"/>
    <w:rsid w:val="00E33556"/>
    <w:rsid w:val="00E3362D"/>
    <w:rsid w:val="00E3372D"/>
    <w:rsid w:val="00E338EB"/>
    <w:rsid w:val="00E338F6"/>
    <w:rsid w:val="00E33A41"/>
    <w:rsid w:val="00E33BB7"/>
    <w:rsid w:val="00E33BCB"/>
    <w:rsid w:val="00E33D0D"/>
    <w:rsid w:val="00E33DB7"/>
    <w:rsid w:val="00E33EF8"/>
    <w:rsid w:val="00E33F29"/>
    <w:rsid w:val="00E33F57"/>
    <w:rsid w:val="00E33FE3"/>
    <w:rsid w:val="00E340BD"/>
    <w:rsid w:val="00E34167"/>
    <w:rsid w:val="00E34232"/>
    <w:rsid w:val="00E342A5"/>
    <w:rsid w:val="00E342F1"/>
    <w:rsid w:val="00E343DF"/>
    <w:rsid w:val="00E3447D"/>
    <w:rsid w:val="00E345CD"/>
    <w:rsid w:val="00E34710"/>
    <w:rsid w:val="00E34797"/>
    <w:rsid w:val="00E347CA"/>
    <w:rsid w:val="00E34876"/>
    <w:rsid w:val="00E3488A"/>
    <w:rsid w:val="00E34976"/>
    <w:rsid w:val="00E34B15"/>
    <w:rsid w:val="00E34C49"/>
    <w:rsid w:val="00E34CCC"/>
    <w:rsid w:val="00E34CF5"/>
    <w:rsid w:val="00E34FC8"/>
    <w:rsid w:val="00E34FCB"/>
    <w:rsid w:val="00E34FD9"/>
    <w:rsid w:val="00E35045"/>
    <w:rsid w:val="00E352F1"/>
    <w:rsid w:val="00E35547"/>
    <w:rsid w:val="00E35591"/>
    <w:rsid w:val="00E3562F"/>
    <w:rsid w:val="00E35638"/>
    <w:rsid w:val="00E35757"/>
    <w:rsid w:val="00E357B4"/>
    <w:rsid w:val="00E358DF"/>
    <w:rsid w:val="00E35939"/>
    <w:rsid w:val="00E35A7A"/>
    <w:rsid w:val="00E35B14"/>
    <w:rsid w:val="00E35BD1"/>
    <w:rsid w:val="00E35E1C"/>
    <w:rsid w:val="00E35EBF"/>
    <w:rsid w:val="00E35F3C"/>
    <w:rsid w:val="00E36084"/>
    <w:rsid w:val="00E360FF"/>
    <w:rsid w:val="00E3612D"/>
    <w:rsid w:val="00E362BD"/>
    <w:rsid w:val="00E36454"/>
    <w:rsid w:val="00E365AB"/>
    <w:rsid w:val="00E3664A"/>
    <w:rsid w:val="00E367BE"/>
    <w:rsid w:val="00E3681E"/>
    <w:rsid w:val="00E368BA"/>
    <w:rsid w:val="00E368CC"/>
    <w:rsid w:val="00E369A5"/>
    <w:rsid w:val="00E369FD"/>
    <w:rsid w:val="00E36A69"/>
    <w:rsid w:val="00E36AF0"/>
    <w:rsid w:val="00E36B99"/>
    <w:rsid w:val="00E36C93"/>
    <w:rsid w:val="00E36CCA"/>
    <w:rsid w:val="00E36FF7"/>
    <w:rsid w:val="00E3719D"/>
    <w:rsid w:val="00E3742F"/>
    <w:rsid w:val="00E374B5"/>
    <w:rsid w:val="00E375C5"/>
    <w:rsid w:val="00E37709"/>
    <w:rsid w:val="00E378BA"/>
    <w:rsid w:val="00E378D9"/>
    <w:rsid w:val="00E37C09"/>
    <w:rsid w:val="00E37E6A"/>
    <w:rsid w:val="00E37EEE"/>
    <w:rsid w:val="00E37F9E"/>
    <w:rsid w:val="00E37FD7"/>
    <w:rsid w:val="00E40181"/>
    <w:rsid w:val="00E402D5"/>
    <w:rsid w:val="00E40303"/>
    <w:rsid w:val="00E40304"/>
    <w:rsid w:val="00E40321"/>
    <w:rsid w:val="00E4042D"/>
    <w:rsid w:val="00E40465"/>
    <w:rsid w:val="00E40486"/>
    <w:rsid w:val="00E40500"/>
    <w:rsid w:val="00E406F3"/>
    <w:rsid w:val="00E40770"/>
    <w:rsid w:val="00E4088D"/>
    <w:rsid w:val="00E409FB"/>
    <w:rsid w:val="00E40A05"/>
    <w:rsid w:val="00E40B47"/>
    <w:rsid w:val="00E40B71"/>
    <w:rsid w:val="00E40E8E"/>
    <w:rsid w:val="00E40F00"/>
    <w:rsid w:val="00E40F99"/>
    <w:rsid w:val="00E40FB5"/>
    <w:rsid w:val="00E40FDB"/>
    <w:rsid w:val="00E4106E"/>
    <w:rsid w:val="00E410AF"/>
    <w:rsid w:val="00E4126F"/>
    <w:rsid w:val="00E412A9"/>
    <w:rsid w:val="00E413DC"/>
    <w:rsid w:val="00E4151B"/>
    <w:rsid w:val="00E4152B"/>
    <w:rsid w:val="00E4163B"/>
    <w:rsid w:val="00E417CE"/>
    <w:rsid w:val="00E418D6"/>
    <w:rsid w:val="00E41A07"/>
    <w:rsid w:val="00E41CB6"/>
    <w:rsid w:val="00E41ECA"/>
    <w:rsid w:val="00E41FAC"/>
    <w:rsid w:val="00E42183"/>
    <w:rsid w:val="00E422A3"/>
    <w:rsid w:val="00E42343"/>
    <w:rsid w:val="00E42429"/>
    <w:rsid w:val="00E424EB"/>
    <w:rsid w:val="00E425E5"/>
    <w:rsid w:val="00E42797"/>
    <w:rsid w:val="00E42949"/>
    <w:rsid w:val="00E42A49"/>
    <w:rsid w:val="00E42B1F"/>
    <w:rsid w:val="00E42BAD"/>
    <w:rsid w:val="00E42BCA"/>
    <w:rsid w:val="00E42C35"/>
    <w:rsid w:val="00E42CCB"/>
    <w:rsid w:val="00E42D04"/>
    <w:rsid w:val="00E42F36"/>
    <w:rsid w:val="00E42F80"/>
    <w:rsid w:val="00E43006"/>
    <w:rsid w:val="00E43105"/>
    <w:rsid w:val="00E4335A"/>
    <w:rsid w:val="00E43478"/>
    <w:rsid w:val="00E435F0"/>
    <w:rsid w:val="00E43642"/>
    <w:rsid w:val="00E43781"/>
    <w:rsid w:val="00E438A9"/>
    <w:rsid w:val="00E439FD"/>
    <w:rsid w:val="00E43A77"/>
    <w:rsid w:val="00E43A7F"/>
    <w:rsid w:val="00E43CF7"/>
    <w:rsid w:val="00E43E06"/>
    <w:rsid w:val="00E43E85"/>
    <w:rsid w:val="00E43F32"/>
    <w:rsid w:val="00E4407F"/>
    <w:rsid w:val="00E44087"/>
    <w:rsid w:val="00E44184"/>
    <w:rsid w:val="00E442F0"/>
    <w:rsid w:val="00E4432B"/>
    <w:rsid w:val="00E443CB"/>
    <w:rsid w:val="00E444D6"/>
    <w:rsid w:val="00E44915"/>
    <w:rsid w:val="00E44923"/>
    <w:rsid w:val="00E44A7E"/>
    <w:rsid w:val="00E44AA4"/>
    <w:rsid w:val="00E44ADB"/>
    <w:rsid w:val="00E44C95"/>
    <w:rsid w:val="00E44D98"/>
    <w:rsid w:val="00E44DB8"/>
    <w:rsid w:val="00E44E1B"/>
    <w:rsid w:val="00E44E4B"/>
    <w:rsid w:val="00E44EB1"/>
    <w:rsid w:val="00E44EDC"/>
    <w:rsid w:val="00E44F2F"/>
    <w:rsid w:val="00E44F72"/>
    <w:rsid w:val="00E4525B"/>
    <w:rsid w:val="00E452A1"/>
    <w:rsid w:val="00E454BE"/>
    <w:rsid w:val="00E454EF"/>
    <w:rsid w:val="00E455BB"/>
    <w:rsid w:val="00E45685"/>
    <w:rsid w:val="00E458C3"/>
    <w:rsid w:val="00E459ED"/>
    <w:rsid w:val="00E45AB3"/>
    <w:rsid w:val="00E45AE6"/>
    <w:rsid w:val="00E45B29"/>
    <w:rsid w:val="00E45B47"/>
    <w:rsid w:val="00E45E49"/>
    <w:rsid w:val="00E45F02"/>
    <w:rsid w:val="00E45F0F"/>
    <w:rsid w:val="00E460A5"/>
    <w:rsid w:val="00E46191"/>
    <w:rsid w:val="00E461AB"/>
    <w:rsid w:val="00E4622F"/>
    <w:rsid w:val="00E46269"/>
    <w:rsid w:val="00E4628D"/>
    <w:rsid w:val="00E463E8"/>
    <w:rsid w:val="00E46541"/>
    <w:rsid w:val="00E468E2"/>
    <w:rsid w:val="00E469F7"/>
    <w:rsid w:val="00E46ACB"/>
    <w:rsid w:val="00E46BF4"/>
    <w:rsid w:val="00E46CEE"/>
    <w:rsid w:val="00E46E9A"/>
    <w:rsid w:val="00E46F40"/>
    <w:rsid w:val="00E47137"/>
    <w:rsid w:val="00E471C0"/>
    <w:rsid w:val="00E472D5"/>
    <w:rsid w:val="00E4746B"/>
    <w:rsid w:val="00E474E4"/>
    <w:rsid w:val="00E4753D"/>
    <w:rsid w:val="00E47682"/>
    <w:rsid w:val="00E47737"/>
    <w:rsid w:val="00E47754"/>
    <w:rsid w:val="00E477B3"/>
    <w:rsid w:val="00E478F5"/>
    <w:rsid w:val="00E479C5"/>
    <w:rsid w:val="00E47A09"/>
    <w:rsid w:val="00E47A69"/>
    <w:rsid w:val="00E47ABF"/>
    <w:rsid w:val="00E47B1D"/>
    <w:rsid w:val="00E47D9B"/>
    <w:rsid w:val="00E47E11"/>
    <w:rsid w:val="00E47E4D"/>
    <w:rsid w:val="00E47E6E"/>
    <w:rsid w:val="00E503B7"/>
    <w:rsid w:val="00E503DB"/>
    <w:rsid w:val="00E50562"/>
    <w:rsid w:val="00E5056D"/>
    <w:rsid w:val="00E505F7"/>
    <w:rsid w:val="00E50689"/>
    <w:rsid w:val="00E50697"/>
    <w:rsid w:val="00E506A3"/>
    <w:rsid w:val="00E50786"/>
    <w:rsid w:val="00E50846"/>
    <w:rsid w:val="00E5095A"/>
    <w:rsid w:val="00E509DA"/>
    <w:rsid w:val="00E50AD5"/>
    <w:rsid w:val="00E50C32"/>
    <w:rsid w:val="00E50D2A"/>
    <w:rsid w:val="00E50E20"/>
    <w:rsid w:val="00E510EA"/>
    <w:rsid w:val="00E51248"/>
    <w:rsid w:val="00E512DE"/>
    <w:rsid w:val="00E51417"/>
    <w:rsid w:val="00E51489"/>
    <w:rsid w:val="00E51599"/>
    <w:rsid w:val="00E517CC"/>
    <w:rsid w:val="00E5181A"/>
    <w:rsid w:val="00E51820"/>
    <w:rsid w:val="00E5190A"/>
    <w:rsid w:val="00E5198B"/>
    <w:rsid w:val="00E519B0"/>
    <w:rsid w:val="00E51C43"/>
    <w:rsid w:val="00E51F8A"/>
    <w:rsid w:val="00E52017"/>
    <w:rsid w:val="00E52499"/>
    <w:rsid w:val="00E524DD"/>
    <w:rsid w:val="00E52579"/>
    <w:rsid w:val="00E5272E"/>
    <w:rsid w:val="00E527A1"/>
    <w:rsid w:val="00E527AF"/>
    <w:rsid w:val="00E527EF"/>
    <w:rsid w:val="00E528E3"/>
    <w:rsid w:val="00E5292D"/>
    <w:rsid w:val="00E52941"/>
    <w:rsid w:val="00E52966"/>
    <w:rsid w:val="00E52995"/>
    <w:rsid w:val="00E52AF8"/>
    <w:rsid w:val="00E52CBE"/>
    <w:rsid w:val="00E52E8F"/>
    <w:rsid w:val="00E52F6D"/>
    <w:rsid w:val="00E5320B"/>
    <w:rsid w:val="00E53386"/>
    <w:rsid w:val="00E53659"/>
    <w:rsid w:val="00E538F5"/>
    <w:rsid w:val="00E53955"/>
    <w:rsid w:val="00E5396B"/>
    <w:rsid w:val="00E539FB"/>
    <w:rsid w:val="00E53AC4"/>
    <w:rsid w:val="00E53BE8"/>
    <w:rsid w:val="00E53D58"/>
    <w:rsid w:val="00E53D81"/>
    <w:rsid w:val="00E53DEF"/>
    <w:rsid w:val="00E53F0E"/>
    <w:rsid w:val="00E53F39"/>
    <w:rsid w:val="00E53F94"/>
    <w:rsid w:val="00E540B5"/>
    <w:rsid w:val="00E541D6"/>
    <w:rsid w:val="00E54344"/>
    <w:rsid w:val="00E5435E"/>
    <w:rsid w:val="00E543EC"/>
    <w:rsid w:val="00E544F5"/>
    <w:rsid w:val="00E545BE"/>
    <w:rsid w:val="00E5462F"/>
    <w:rsid w:val="00E5470C"/>
    <w:rsid w:val="00E54883"/>
    <w:rsid w:val="00E548AA"/>
    <w:rsid w:val="00E54950"/>
    <w:rsid w:val="00E5496B"/>
    <w:rsid w:val="00E54991"/>
    <w:rsid w:val="00E54DC1"/>
    <w:rsid w:val="00E54E80"/>
    <w:rsid w:val="00E54EED"/>
    <w:rsid w:val="00E54F1A"/>
    <w:rsid w:val="00E5502C"/>
    <w:rsid w:val="00E55103"/>
    <w:rsid w:val="00E5520D"/>
    <w:rsid w:val="00E552D9"/>
    <w:rsid w:val="00E552DE"/>
    <w:rsid w:val="00E5536F"/>
    <w:rsid w:val="00E556C7"/>
    <w:rsid w:val="00E556E5"/>
    <w:rsid w:val="00E556F6"/>
    <w:rsid w:val="00E557DD"/>
    <w:rsid w:val="00E55888"/>
    <w:rsid w:val="00E55896"/>
    <w:rsid w:val="00E55912"/>
    <w:rsid w:val="00E55D06"/>
    <w:rsid w:val="00E55D71"/>
    <w:rsid w:val="00E55F8A"/>
    <w:rsid w:val="00E55F92"/>
    <w:rsid w:val="00E55FB3"/>
    <w:rsid w:val="00E560DF"/>
    <w:rsid w:val="00E56195"/>
    <w:rsid w:val="00E561C0"/>
    <w:rsid w:val="00E56367"/>
    <w:rsid w:val="00E5646C"/>
    <w:rsid w:val="00E5646D"/>
    <w:rsid w:val="00E56483"/>
    <w:rsid w:val="00E567D7"/>
    <w:rsid w:val="00E56830"/>
    <w:rsid w:val="00E56999"/>
    <w:rsid w:val="00E56A01"/>
    <w:rsid w:val="00E56A26"/>
    <w:rsid w:val="00E56B50"/>
    <w:rsid w:val="00E56C40"/>
    <w:rsid w:val="00E56EA5"/>
    <w:rsid w:val="00E56F86"/>
    <w:rsid w:val="00E56FBD"/>
    <w:rsid w:val="00E56FD5"/>
    <w:rsid w:val="00E570E9"/>
    <w:rsid w:val="00E57126"/>
    <w:rsid w:val="00E573DE"/>
    <w:rsid w:val="00E573E1"/>
    <w:rsid w:val="00E5745F"/>
    <w:rsid w:val="00E57499"/>
    <w:rsid w:val="00E5751E"/>
    <w:rsid w:val="00E57538"/>
    <w:rsid w:val="00E5756D"/>
    <w:rsid w:val="00E575C0"/>
    <w:rsid w:val="00E57688"/>
    <w:rsid w:val="00E576D2"/>
    <w:rsid w:val="00E5778A"/>
    <w:rsid w:val="00E57868"/>
    <w:rsid w:val="00E578F2"/>
    <w:rsid w:val="00E57BF5"/>
    <w:rsid w:val="00E57EFC"/>
    <w:rsid w:val="00E57F07"/>
    <w:rsid w:val="00E57F9B"/>
    <w:rsid w:val="00E60037"/>
    <w:rsid w:val="00E6003E"/>
    <w:rsid w:val="00E60254"/>
    <w:rsid w:val="00E603DD"/>
    <w:rsid w:val="00E60462"/>
    <w:rsid w:val="00E60547"/>
    <w:rsid w:val="00E60564"/>
    <w:rsid w:val="00E606D3"/>
    <w:rsid w:val="00E606F9"/>
    <w:rsid w:val="00E60818"/>
    <w:rsid w:val="00E60841"/>
    <w:rsid w:val="00E60902"/>
    <w:rsid w:val="00E60CD5"/>
    <w:rsid w:val="00E61211"/>
    <w:rsid w:val="00E61280"/>
    <w:rsid w:val="00E6137C"/>
    <w:rsid w:val="00E61442"/>
    <w:rsid w:val="00E615F1"/>
    <w:rsid w:val="00E6165C"/>
    <w:rsid w:val="00E6169F"/>
    <w:rsid w:val="00E6173A"/>
    <w:rsid w:val="00E61784"/>
    <w:rsid w:val="00E617A8"/>
    <w:rsid w:val="00E61B41"/>
    <w:rsid w:val="00E61B52"/>
    <w:rsid w:val="00E61CAE"/>
    <w:rsid w:val="00E61E22"/>
    <w:rsid w:val="00E61EDD"/>
    <w:rsid w:val="00E61F52"/>
    <w:rsid w:val="00E61FB0"/>
    <w:rsid w:val="00E62016"/>
    <w:rsid w:val="00E620DC"/>
    <w:rsid w:val="00E621BA"/>
    <w:rsid w:val="00E6221B"/>
    <w:rsid w:val="00E62397"/>
    <w:rsid w:val="00E62463"/>
    <w:rsid w:val="00E6248D"/>
    <w:rsid w:val="00E629A1"/>
    <w:rsid w:val="00E629AE"/>
    <w:rsid w:val="00E62A1B"/>
    <w:rsid w:val="00E62A3B"/>
    <w:rsid w:val="00E62B16"/>
    <w:rsid w:val="00E62B7A"/>
    <w:rsid w:val="00E62C07"/>
    <w:rsid w:val="00E62C29"/>
    <w:rsid w:val="00E62CF1"/>
    <w:rsid w:val="00E62DB6"/>
    <w:rsid w:val="00E62E27"/>
    <w:rsid w:val="00E62E37"/>
    <w:rsid w:val="00E62E4E"/>
    <w:rsid w:val="00E62EFB"/>
    <w:rsid w:val="00E63049"/>
    <w:rsid w:val="00E630F9"/>
    <w:rsid w:val="00E633BB"/>
    <w:rsid w:val="00E633DE"/>
    <w:rsid w:val="00E634CC"/>
    <w:rsid w:val="00E635A8"/>
    <w:rsid w:val="00E63690"/>
    <w:rsid w:val="00E636EB"/>
    <w:rsid w:val="00E6375D"/>
    <w:rsid w:val="00E63835"/>
    <w:rsid w:val="00E6395C"/>
    <w:rsid w:val="00E63963"/>
    <w:rsid w:val="00E6396A"/>
    <w:rsid w:val="00E6397C"/>
    <w:rsid w:val="00E639D5"/>
    <w:rsid w:val="00E63B49"/>
    <w:rsid w:val="00E63BF5"/>
    <w:rsid w:val="00E63C33"/>
    <w:rsid w:val="00E63C83"/>
    <w:rsid w:val="00E63DB9"/>
    <w:rsid w:val="00E63E62"/>
    <w:rsid w:val="00E63ECA"/>
    <w:rsid w:val="00E63EE2"/>
    <w:rsid w:val="00E63F73"/>
    <w:rsid w:val="00E63F9C"/>
    <w:rsid w:val="00E63FBF"/>
    <w:rsid w:val="00E64004"/>
    <w:rsid w:val="00E640A6"/>
    <w:rsid w:val="00E640E1"/>
    <w:rsid w:val="00E643E2"/>
    <w:rsid w:val="00E64435"/>
    <w:rsid w:val="00E6458F"/>
    <w:rsid w:val="00E645DB"/>
    <w:rsid w:val="00E64719"/>
    <w:rsid w:val="00E647BD"/>
    <w:rsid w:val="00E6481F"/>
    <w:rsid w:val="00E64890"/>
    <w:rsid w:val="00E648EC"/>
    <w:rsid w:val="00E64BCE"/>
    <w:rsid w:val="00E64D18"/>
    <w:rsid w:val="00E64DBC"/>
    <w:rsid w:val="00E64DE6"/>
    <w:rsid w:val="00E64FB6"/>
    <w:rsid w:val="00E64FF0"/>
    <w:rsid w:val="00E65175"/>
    <w:rsid w:val="00E651D2"/>
    <w:rsid w:val="00E65223"/>
    <w:rsid w:val="00E654A8"/>
    <w:rsid w:val="00E65560"/>
    <w:rsid w:val="00E6556B"/>
    <w:rsid w:val="00E6558A"/>
    <w:rsid w:val="00E6587E"/>
    <w:rsid w:val="00E65A49"/>
    <w:rsid w:val="00E65A55"/>
    <w:rsid w:val="00E65AC4"/>
    <w:rsid w:val="00E65CB0"/>
    <w:rsid w:val="00E65D29"/>
    <w:rsid w:val="00E65F07"/>
    <w:rsid w:val="00E66073"/>
    <w:rsid w:val="00E661F2"/>
    <w:rsid w:val="00E6649D"/>
    <w:rsid w:val="00E6654F"/>
    <w:rsid w:val="00E66629"/>
    <w:rsid w:val="00E6669B"/>
    <w:rsid w:val="00E666FB"/>
    <w:rsid w:val="00E6680A"/>
    <w:rsid w:val="00E669F8"/>
    <w:rsid w:val="00E66C70"/>
    <w:rsid w:val="00E66D2E"/>
    <w:rsid w:val="00E66D9C"/>
    <w:rsid w:val="00E66D9E"/>
    <w:rsid w:val="00E66F43"/>
    <w:rsid w:val="00E66F4F"/>
    <w:rsid w:val="00E66F9E"/>
    <w:rsid w:val="00E671AD"/>
    <w:rsid w:val="00E67203"/>
    <w:rsid w:val="00E67353"/>
    <w:rsid w:val="00E67363"/>
    <w:rsid w:val="00E673BE"/>
    <w:rsid w:val="00E67425"/>
    <w:rsid w:val="00E67482"/>
    <w:rsid w:val="00E674FC"/>
    <w:rsid w:val="00E675FB"/>
    <w:rsid w:val="00E6761B"/>
    <w:rsid w:val="00E6787A"/>
    <w:rsid w:val="00E6794C"/>
    <w:rsid w:val="00E67B87"/>
    <w:rsid w:val="00E67C0C"/>
    <w:rsid w:val="00E67C30"/>
    <w:rsid w:val="00E67C35"/>
    <w:rsid w:val="00E67E04"/>
    <w:rsid w:val="00E67F40"/>
    <w:rsid w:val="00E700B6"/>
    <w:rsid w:val="00E700DE"/>
    <w:rsid w:val="00E70186"/>
    <w:rsid w:val="00E702B9"/>
    <w:rsid w:val="00E703DF"/>
    <w:rsid w:val="00E70625"/>
    <w:rsid w:val="00E706D2"/>
    <w:rsid w:val="00E708C0"/>
    <w:rsid w:val="00E70997"/>
    <w:rsid w:val="00E70AC5"/>
    <w:rsid w:val="00E70B03"/>
    <w:rsid w:val="00E70D02"/>
    <w:rsid w:val="00E70D41"/>
    <w:rsid w:val="00E70DF0"/>
    <w:rsid w:val="00E70E57"/>
    <w:rsid w:val="00E71021"/>
    <w:rsid w:val="00E71093"/>
    <w:rsid w:val="00E711E6"/>
    <w:rsid w:val="00E71203"/>
    <w:rsid w:val="00E713DF"/>
    <w:rsid w:val="00E71415"/>
    <w:rsid w:val="00E714F8"/>
    <w:rsid w:val="00E71591"/>
    <w:rsid w:val="00E71635"/>
    <w:rsid w:val="00E71838"/>
    <w:rsid w:val="00E71850"/>
    <w:rsid w:val="00E719F6"/>
    <w:rsid w:val="00E71BFF"/>
    <w:rsid w:val="00E71C9B"/>
    <w:rsid w:val="00E71CC5"/>
    <w:rsid w:val="00E71CC6"/>
    <w:rsid w:val="00E71CEB"/>
    <w:rsid w:val="00E71D7F"/>
    <w:rsid w:val="00E71D96"/>
    <w:rsid w:val="00E71F5B"/>
    <w:rsid w:val="00E71F65"/>
    <w:rsid w:val="00E720C9"/>
    <w:rsid w:val="00E720EA"/>
    <w:rsid w:val="00E7237C"/>
    <w:rsid w:val="00E7242B"/>
    <w:rsid w:val="00E72490"/>
    <w:rsid w:val="00E724B9"/>
    <w:rsid w:val="00E724CA"/>
    <w:rsid w:val="00E7250F"/>
    <w:rsid w:val="00E7256C"/>
    <w:rsid w:val="00E7258C"/>
    <w:rsid w:val="00E729CE"/>
    <w:rsid w:val="00E72A8E"/>
    <w:rsid w:val="00E72AC7"/>
    <w:rsid w:val="00E72AEF"/>
    <w:rsid w:val="00E72BD7"/>
    <w:rsid w:val="00E72C14"/>
    <w:rsid w:val="00E72C66"/>
    <w:rsid w:val="00E72D72"/>
    <w:rsid w:val="00E72DC6"/>
    <w:rsid w:val="00E72E36"/>
    <w:rsid w:val="00E72EA8"/>
    <w:rsid w:val="00E72F54"/>
    <w:rsid w:val="00E72F91"/>
    <w:rsid w:val="00E73070"/>
    <w:rsid w:val="00E7308C"/>
    <w:rsid w:val="00E734CB"/>
    <w:rsid w:val="00E73652"/>
    <w:rsid w:val="00E73675"/>
    <w:rsid w:val="00E73862"/>
    <w:rsid w:val="00E738A3"/>
    <w:rsid w:val="00E738B9"/>
    <w:rsid w:val="00E73988"/>
    <w:rsid w:val="00E7399C"/>
    <w:rsid w:val="00E739A4"/>
    <w:rsid w:val="00E73A0C"/>
    <w:rsid w:val="00E73A29"/>
    <w:rsid w:val="00E73AC0"/>
    <w:rsid w:val="00E73B08"/>
    <w:rsid w:val="00E73B96"/>
    <w:rsid w:val="00E73D63"/>
    <w:rsid w:val="00E73FE0"/>
    <w:rsid w:val="00E740A4"/>
    <w:rsid w:val="00E74197"/>
    <w:rsid w:val="00E741C2"/>
    <w:rsid w:val="00E74257"/>
    <w:rsid w:val="00E743E6"/>
    <w:rsid w:val="00E74421"/>
    <w:rsid w:val="00E744D7"/>
    <w:rsid w:val="00E745C8"/>
    <w:rsid w:val="00E746FF"/>
    <w:rsid w:val="00E7474F"/>
    <w:rsid w:val="00E747D6"/>
    <w:rsid w:val="00E7490A"/>
    <w:rsid w:val="00E749C0"/>
    <w:rsid w:val="00E74A3A"/>
    <w:rsid w:val="00E74A4C"/>
    <w:rsid w:val="00E74A7D"/>
    <w:rsid w:val="00E74AB1"/>
    <w:rsid w:val="00E74BAA"/>
    <w:rsid w:val="00E74BAB"/>
    <w:rsid w:val="00E74C94"/>
    <w:rsid w:val="00E74EF4"/>
    <w:rsid w:val="00E74EFE"/>
    <w:rsid w:val="00E75426"/>
    <w:rsid w:val="00E7543F"/>
    <w:rsid w:val="00E75458"/>
    <w:rsid w:val="00E755F8"/>
    <w:rsid w:val="00E756A0"/>
    <w:rsid w:val="00E75835"/>
    <w:rsid w:val="00E75958"/>
    <w:rsid w:val="00E75B4F"/>
    <w:rsid w:val="00E75BD0"/>
    <w:rsid w:val="00E75C77"/>
    <w:rsid w:val="00E75CBA"/>
    <w:rsid w:val="00E75E32"/>
    <w:rsid w:val="00E75F51"/>
    <w:rsid w:val="00E75F76"/>
    <w:rsid w:val="00E76062"/>
    <w:rsid w:val="00E76123"/>
    <w:rsid w:val="00E76223"/>
    <w:rsid w:val="00E762A3"/>
    <w:rsid w:val="00E763D8"/>
    <w:rsid w:val="00E76588"/>
    <w:rsid w:val="00E76628"/>
    <w:rsid w:val="00E76949"/>
    <w:rsid w:val="00E76A0D"/>
    <w:rsid w:val="00E76A28"/>
    <w:rsid w:val="00E76CB9"/>
    <w:rsid w:val="00E76CBC"/>
    <w:rsid w:val="00E76E20"/>
    <w:rsid w:val="00E7716C"/>
    <w:rsid w:val="00E7717C"/>
    <w:rsid w:val="00E771AE"/>
    <w:rsid w:val="00E772E8"/>
    <w:rsid w:val="00E77347"/>
    <w:rsid w:val="00E7741D"/>
    <w:rsid w:val="00E7751E"/>
    <w:rsid w:val="00E77521"/>
    <w:rsid w:val="00E77546"/>
    <w:rsid w:val="00E776BE"/>
    <w:rsid w:val="00E776E4"/>
    <w:rsid w:val="00E77702"/>
    <w:rsid w:val="00E7773B"/>
    <w:rsid w:val="00E778C1"/>
    <w:rsid w:val="00E77930"/>
    <w:rsid w:val="00E77938"/>
    <w:rsid w:val="00E77A02"/>
    <w:rsid w:val="00E77A36"/>
    <w:rsid w:val="00E77A90"/>
    <w:rsid w:val="00E77D82"/>
    <w:rsid w:val="00E77DB3"/>
    <w:rsid w:val="00E77E3A"/>
    <w:rsid w:val="00E77F89"/>
    <w:rsid w:val="00E800AD"/>
    <w:rsid w:val="00E80162"/>
    <w:rsid w:val="00E80324"/>
    <w:rsid w:val="00E80335"/>
    <w:rsid w:val="00E805A9"/>
    <w:rsid w:val="00E805B0"/>
    <w:rsid w:val="00E80610"/>
    <w:rsid w:val="00E80700"/>
    <w:rsid w:val="00E8071F"/>
    <w:rsid w:val="00E80816"/>
    <w:rsid w:val="00E80927"/>
    <w:rsid w:val="00E80A98"/>
    <w:rsid w:val="00E80AAE"/>
    <w:rsid w:val="00E80C8F"/>
    <w:rsid w:val="00E80DE3"/>
    <w:rsid w:val="00E80F8F"/>
    <w:rsid w:val="00E81150"/>
    <w:rsid w:val="00E8118D"/>
    <w:rsid w:val="00E81237"/>
    <w:rsid w:val="00E813F0"/>
    <w:rsid w:val="00E8147B"/>
    <w:rsid w:val="00E81526"/>
    <w:rsid w:val="00E816C3"/>
    <w:rsid w:val="00E81729"/>
    <w:rsid w:val="00E81736"/>
    <w:rsid w:val="00E81742"/>
    <w:rsid w:val="00E817AF"/>
    <w:rsid w:val="00E8180A"/>
    <w:rsid w:val="00E8199C"/>
    <w:rsid w:val="00E81AD9"/>
    <w:rsid w:val="00E81CAD"/>
    <w:rsid w:val="00E81E50"/>
    <w:rsid w:val="00E81E57"/>
    <w:rsid w:val="00E81F01"/>
    <w:rsid w:val="00E81F9C"/>
    <w:rsid w:val="00E81FA0"/>
    <w:rsid w:val="00E82039"/>
    <w:rsid w:val="00E82140"/>
    <w:rsid w:val="00E82169"/>
    <w:rsid w:val="00E82176"/>
    <w:rsid w:val="00E821A8"/>
    <w:rsid w:val="00E82543"/>
    <w:rsid w:val="00E82725"/>
    <w:rsid w:val="00E8282D"/>
    <w:rsid w:val="00E828BF"/>
    <w:rsid w:val="00E82A54"/>
    <w:rsid w:val="00E82A5B"/>
    <w:rsid w:val="00E82A91"/>
    <w:rsid w:val="00E82AAD"/>
    <w:rsid w:val="00E82BF2"/>
    <w:rsid w:val="00E82C55"/>
    <w:rsid w:val="00E83023"/>
    <w:rsid w:val="00E830B4"/>
    <w:rsid w:val="00E830B6"/>
    <w:rsid w:val="00E8316A"/>
    <w:rsid w:val="00E8323B"/>
    <w:rsid w:val="00E8325F"/>
    <w:rsid w:val="00E83262"/>
    <w:rsid w:val="00E83299"/>
    <w:rsid w:val="00E832F2"/>
    <w:rsid w:val="00E8349D"/>
    <w:rsid w:val="00E837AB"/>
    <w:rsid w:val="00E837D6"/>
    <w:rsid w:val="00E8399B"/>
    <w:rsid w:val="00E839EC"/>
    <w:rsid w:val="00E83A9C"/>
    <w:rsid w:val="00E83AFE"/>
    <w:rsid w:val="00E83B95"/>
    <w:rsid w:val="00E83BF1"/>
    <w:rsid w:val="00E83C56"/>
    <w:rsid w:val="00E83D44"/>
    <w:rsid w:val="00E83D8D"/>
    <w:rsid w:val="00E83F85"/>
    <w:rsid w:val="00E83FC4"/>
    <w:rsid w:val="00E84034"/>
    <w:rsid w:val="00E8416D"/>
    <w:rsid w:val="00E8421E"/>
    <w:rsid w:val="00E8424F"/>
    <w:rsid w:val="00E8429F"/>
    <w:rsid w:val="00E84388"/>
    <w:rsid w:val="00E8438D"/>
    <w:rsid w:val="00E84390"/>
    <w:rsid w:val="00E844A3"/>
    <w:rsid w:val="00E8458A"/>
    <w:rsid w:val="00E845B8"/>
    <w:rsid w:val="00E846C0"/>
    <w:rsid w:val="00E84703"/>
    <w:rsid w:val="00E84716"/>
    <w:rsid w:val="00E84813"/>
    <w:rsid w:val="00E8494C"/>
    <w:rsid w:val="00E849C2"/>
    <w:rsid w:val="00E84A67"/>
    <w:rsid w:val="00E84A85"/>
    <w:rsid w:val="00E84AC9"/>
    <w:rsid w:val="00E84B6C"/>
    <w:rsid w:val="00E84BE7"/>
    <w:rsid w:val="00E84BF6"/>
    <w:rsid w:val="00E84C07"/>
    <w:rsid w:val="00E84DAB"/>
    <w:rsid w:val="00E84EA7"/>
    <w:rsid w:val="00E84EE0"/>
    <w:rsid w:val="00E84F25"/>
    <w:rsid w:val="00E8504D"/>
    <w:rsid w:val="00E8513B"/>
    <w:rsid w:val="00E851AF"/>
    <w:rsid w:val="00E85232"/>
    <w:rsid w:val="00E85245"/>
    <w:rsid w:val="00E852A9"/>
    <w:rsid w:val="00E853C1"/>
    <w:rsid w:val="00E853DA"/>
    <w:rsid w:val="00E85407"/>
    <w:rsid w:val="00E85411"/>
    <w:rsid w:val="00E8548D"/>
    <w:rsid w:val="00E854C0"/>
    <w:rsid w:val="00E854D5"/>
    <w:rsid w:val="00E85724"/>
    <w:rsid w:val="00E85787"/>
    <w:rsid w:val="00E8578E"/>
    <w:rsid w:val="00E85843"/>
    <w:rsid w:val="00E859F5"/>
    <w:rsid w:val="00E85A57"/>
    <w:rsid w:val="00E85A74"/>
    <w:rsid w:val="00E85BBA"/>
    <w:rsid w:val="00E85C20"/>
    <w:rsid w:val="00E85D41"/>
    <w:rsid w:val="00E85D92"/>
    <w:rsid w:val="00E85EDD"/>
    <w:rsid w:val="00E85FC7"/>
    <w:rsid w:val="00E86034"/>
    <w:rsid w:val="00E860EE"/>
    <w:rsid w:val="00E86213"/>
    <w:rsid w:val="00E86347"/>
    <w:rsid w:val="00E8635D"/>
    <w:rsid w:val="00E8654D"/>
    <w:rsid w:val="00E8655A"/>
    <w:rsid w:val="00E86624"/>
    <w:rsid w:val="00E86685"/>
    <w:rsid w:val="00E866AC"/>
    <w:rsid w:val="00E86834"/>
    <w:rsid w:val="00E8690D"/>
    <w:rsid w:val="00E86AFE"/>
    <w:rsid w:val="00E86B76"/>
    <w:rsid w:val="00E86C47"/>
    <w:rsid w:val="00E86F0C"/>
    <w:rsid w:val="00E86FD3"/>
    <w:rsid w:val="00E87004"/>
    <w:rsid w:val="00E8701A"/>
    <w:rsid w:val="00E87182"/>
    <w:rsid w:val="00E8746B"/>
    <w:rsid w:val="00E874CC"/>
    <w:rsid w:val="00E874CD"/>
    <w:rsid w:val="00E875A9"/>
    <w:rsid w:val="00E876DF"/>
    <w:rsid w:val="00E87728"/>
    <w:rsid w:val="00E8787E"/>
    <w:rsid w:val="00E87B08"/>
    <w:rsid w:val="00E87B24"/>
    <w:rsid w:val="00E87C43"/>
    <w:rsid w:val="00E87E53"/>
    <w:rsid w:val="00E90007"/>
    <w:rsid w:val="00E9000C"/>
    <w:rsid w:val="00E90214"/>
    <w:rsid w:val="00E903CD"/>
    <w:rsid w:val="00E904B5"/>
    <w:rsid w:val="00E9054D"/>
    <w:rsid w:val="00E90703"/>
    <w:rsid w:val="00E9079C"/>
    <w:rsid w:val="00E909B9"/>
    <w:rsid w:val="00E909FB"/>
    <w:rsid w:val="00E90A82"/>
    <w:rsid w:val="00E90A85"/>
    <w:rsid w:val="00E90F41"/>
    <w:rsid w:val="00E90F6A"/>
    <w:rsid w:val="00E90FAF"/>
    <w:rsid w:val="00E912B0"/>
    <w:rsid w:val="00E91350"/>
    <w:rsid w:val="00E913A6"/>
    <w:rsid w:val="00E91559"/>
    <w:rsid w:val="00E91687"/>
    <w:rsid w:val="00E918AC"/>
    <w:rsid w:val="00E919C4"/>
    <w:rsid w:val="00E919E9"/>
    <w:rsid w:val="00E91AE0"/>
    <w:rsid w:val="00E91B50"/>
    <w:rsid w:val="00E91E2A"/>
    <w:rsid w:val="00E91E73"/>
    <w:rsid w:val="00E91F45"/>
    <w:rsid w:val="00E91F92"/>
    <w:rsid w:val="00E92137"/>
    <w:rsid w:val="00E92283"/>
    <w:rsid w:val="00E92350"/>
    <w:rsid w:val="00E925CE"/>
    <w:rsid w:val="00E926CB"/>
    <w:rsid w:val="00E92716"/>
    <w:rsid w:val="00E9276D"/>
    <w:rsid w:val="00E92808"/>
    <w:rsid w:val="00E92889"/>
    <w:rsid w:val="00E92936"/>
    <w:rsid w:val="00E929C5"/>
    <w:rsid w:val="00E92AC3"/>
    <w:rsid w:val="00E92B41"/>
    <w:rsid w:val="00E92B88"/>
    <w:rsid w:val="00E92C6F"/>
    <w:rsid w:val="00E92E1B"/>
    <w:rsid w:val="00E9336D"/>
    <w:rsid w:val="00E93383"/>
    <w:rsid w:val="00E9338B"/>
    <w:rsid w:val="00E93435"/>
    <w:rsid w:val="00E93478"/>
    <w:rsid w:val="00E934A0"/>
    <w:rsid w:val="00E936A0"/>
    <w:rsid w:val="00E9382A"/>
    <w:rsid w:val="00E93846"/>
    <w:rsid w:val="00E938D8"/>
    <w:rsid w:val="00E93938"/>
    <w:rsid w:val="00E93A12"/>
    <w:rsid w:val="00E93A2E"/>
    <w:rsid w:val="00E93A76"/>
    <w:rsid w:val="00E93B18"/>
    <w:rsid w:val="00E93B58"/>
    <w:rsid w:val="00E93C35"/>
    <w:rsid w:val="00E93C51"/>
    <w:rsid w:val="00E93C75"/>
    <w:rsid w:val="00E93D02"/>
    <w:rsid w:val="00E93D51"/>
    <w:rsid w:val="00E93F20"/>
    <w:rsid w:val="00E940AD"/>
    <w:rsid w:val="00E941D0"/>
    <w:rsid w:val="00E94361"/>
    <w:rsid w:val="00E94379"/>
    <w:rsid w:val="00E9447C"/>
    <w:rsid w:val="00E94525"/>
    <w:rsid w:val="00E94538"/>
    <w:rsid w:val="00E94571"/>
    <w:rsid w:val="00E94634"/>
    <w:rsid w:val="00E946AF"/>
    <w:rsid w:val="00E946C0"/>
    <w:rsid w:val="00E946CE"/>
    <w:rsid w:val="00E947CF"/>
    <w:rsid w:val="00E94915"/>
    <w:rsid w:val="00E949AB"/>
    <w:rsid w:val="00E94B6C"/>
    <w:rsid w:val="00E94C12"/>
    <w:rsid w:val="00E94CB3"/>
    <w:rsid w:val="00E94D39"/>
    <w:rsid w:val="00E94DA8"/>
    <w:rsid w:val="00E94E99"/>
    <w:rsid w:val="00E94EA6"/>
    <w:rsid w:val="00E94F15"/>
    <w:rsid w:val="00E94F30"/>
    <w:rsid w:val="00E94F78"/>
    <w:rsid w:val="00E94FB1"/>
    <w:rsid w:val="00E9500E"/>
    <w:rsid w:val="00E95086"/>
    <w:rsid w:val="00E950D9"/>
    <w:rsid w:val="00E95123"/>
    <w:rsid w:val="00E951EC"/>
    <w:rsid w:val="00E952C4"/>
    <w:rsid w:val="00E953DC"/>
    <w:rsid w:val="00E95516"/>
    <w:rsid w:val="00E95564"/>
    <w:rsid w:val="00E9571B"/>
    <w:rsid w:val="00E95723"/>
    <w:rsid w:val="00E9576C"/>
    <w:rsid w:val="00E95825"/>
    <w:rsid w:val="00E95A2E"/>
    <w:rsid w:val="00E95CCE"/>
    <w:rsid w:val="00E95CF7"/>
    <w:rsid w:val="00E95E78"/>
    <w:rsid w:val="00E96025"/>
    <w:rsid w:val="00E960CD"/>
    <w:rsid w:val="00E96120"/>
    <w:rsid w:val="00E962D0"/>
    <w:rsid w:val="00E96489"/>
    <w:rsid w:val="00E9664B"/>
    <w:rsid w:val="00E966D6"/>
    <w:rsid w:val="00E96728"/>
    <w:rsid w:val="00E968F1"/>
    <w:rsid w:val="00E96917"/>
    <w:rsid w:val="00E96982"/>
    <w:rsid w:val="00E96A4B"/>
    <w:rsid w:val="00E96B34"/>
    <w:rsid w:val="00E96B85"/>
    <w:rsid w:val="00E96C52"/>
    <w:rsid w:val="00E96D5B"/>
    <w:rsid w:val="00E96FFC"/>
    <w:rsid w:val="00E970E2"/>
    <w:rsid w:val="00E9710A"/>
    <w:rsid w:val="00E972F4"/>
    <w:rsid w:val="00E9734A"/>
    <w:rsid w:val="00E97491"/>
    <w:rsid w:val="00E975E7"/>
    <w:rsid w:val="00E9767B"/>
    <w:rsid w:val="00E977FD"/>
    <w:rsid w:val="00E9780B"/>
    <w:rsid w:val="00E97875"/>
    <w:rsid w:val="00E97AF6"/>
    <w:rsid w:val="00E97B49"/>
    <w:rsid w:val="00E97BAF"/>
    <w:rsid w:val="00E97C0C"/>
    <w:rsid w:val="00E97C9D"/>
    <w:rsid w:val="00E97E3C"/>
    <w:rsid w:val="00E97EFF"/>
    <w:rsid w:val="00E97FC4"/>
    <w:rsid w:val="00EA0248"/>
    <w:rsid w:val="00EA0323"/>
    <w:rsid w:val="00EA0345"/>
    <w:rsid w:val="00EA044C"/>
    <w:rsid w:val="00EA044E"/>
    <w:rsid w:val="00EA04B5"/>
    <w:rsid w:val="00EA0506"/>
    <w:rsid w:val="00EA0585"/>
    <w:rsid w:val="00EA077C"/>
    <w:rsid w:val="00EA07B7"/>
    <w:rsid w:val="00EA07FC"/>
    <w:rsid w:val="00EA0841"/>
    <w:rsid w:val="00EA0848"/>
    <w:rsid w:val="00EA092F"/>
    <w:rsid w:val="00EA0A22"/>
    <w:rsid w:val="00EA0B68"/>
    <w:rsid w:val="00EA0DEE"/>
    <w:rsid w:val="00EA0E59"/>
    <w:rsid w:val="00EA0F26"/>
    <w:rsid w:val="00EA0F53"/>
    <w:rsid w:val="00EA1066"/>
    <w:rsid w:val="00EA141A"/>
    <w:rsid w:val="00EA15A1"/>
    <w:rsid w:val="00EA1672"/>
    <w:rsid w:val="00EA1718"/>
    <w:rsid w:val="00EA191A"/>
    <w:rsid w:val="00EA1984"/>
    <w:rsid w:val="00EA1A90"/>
    <w:rsid w:val="00EA1BC1"/>
    <w:rsid w:val="00EA1D99"/>
    <w:rsid w:val="00EA1DC2"/>
    <w:rsid w:val="00EA1DFF"/>
    <w:rsid w:val="00EA1E53"/>
    <w:rsid w:val="00EA1EAE"/>
    <w:rsid w:val="00EA2068"/>
    <w:rsid w:val="00EA210C"/>
    <w:rsid w:val="00EA215C"/>
    <w:rsid w:val="00EA21CC"/>
    <w:rsid w:val="00EA2270"/>
    <w:rsid w:val="00EA22BB"/>
    <w:rsid w:val="00EA239D"/>
    <w:rsid w:val="00EA2451"/>
    <w:rsid w:val="00EA2688"/>
    <w:rsid w:val="00EA286C"/>
    <w:rsid w:val="00EA28AD"/>
    <w:rsid w:val="00EA2A3D"/>
    <w:rsid w:val="00EA2AAE"/>
    <w:rsid w:val="00EA2ACD"/>
    <w:rsid w:val="00EA2B3D"/>
    <w:rsid w:val="00EA2CF8"/>
    <w:rsid w:val="00EA2D77"/>
    <w:rsid w:val="00EA2D98"/>
    <w:rsid w:val="00EA2DE0"/>
    <w:rsid w:val="00EA2F6A"/>
    <w:rsid w:val="00EA31C7"/>
    <w:rsid w:val="00EA337D"/>
    <w:rsid w:val="00EA34F8"/>
    <w:rsid w:val="00EA358A"/>
    <w:rsid w:val="00EA360D"/>
    <w:rsid w:val="00EA36B2"/>
    <w:rsid w:val="00EA375A"/>
    <w:rsid w:val="00EA382E"/>
    <w:rsid w:val="00EA3A52"/>
    <w:rsid w:val="00EA3AF9"/>
    <w:rsid w:val="00EA3F5C"/>
    <w:rsid w:val="00EA4071"/>
    <w:rsid w:val="00EA40E6"/>
    <w:rsid w:val="00EA42C6"/>
    <w:rsid w:val="00EA42EF"/>
    <w:rsid w:val="00EA450A"/>
    <w:rsid w:val="00EA4592"/>
    <w:rsid w:val="00EA469E"/>
    <w:rsid w:val="00EA46DF"/>
    <w:rsid w:val="00EA47AB"/>
    <w:rsid w:val="00EA47BF"/>
    <w:rsid w:val="00EA48D8"/>
    <w:rsid w:val="00EA48DC"/>
    <w:rsid w:val="00EA49CB"/>
    <w:rsid w:val="00EA49DD"/>
    <w:rsid w:val="00EA4A71"/>
    <w:rsid w:val="00EA4D60"/>
    <w:rsid w:val="00EA4D84"/>
    <w:rsid w:val="00EA4DE5"/>
    <w:rsid w:val="00EA5044"/>
    <w:rsid w:val="00EA5096"/>
    <w:rsid w:val="00EA513D"/>
    <w:rsid w:val="00EA5141"/>
    <w:rsid w:val="00EA5190"/>
    <w:rsid w:val="00EA51AD"/>
    <w:rsid w:val="00EA51B6"/>
    <w:rsid w:val="00EA51EE"/>
    <w:rsid w:val="00EA565D"/>
    <w:rsid w:val="00EA5979"/>
    <w:rsid w:val="00EA5986"/>
    <w:rsid w:val="00EA59C8"/>
    <w:rsid w:val="00EA59EA"/>
    <w:rsid w:val="00EA5A87"/>
    <w:rsid w:val="00EA5D73"/>
    <w:rsid w:val="00EA5D91"/>
    <w:rsid w:val="00EA6017"/>
    <w:rsid w:val="00EA609D"/>
    <w:rsid w:val="00EA628A"/>
    <w:rsid w:val="00EA6358"/>
    <w:rsid w:val="00EA63E1"/>
    <w:rsid w:val="00EA6523"/>
    <w:rsid w:val="00EA65BB"/>
    <w:rsid w:val="00EA6685"/>
    <w:rsid w:val="00EA669E"/>
    <w:rsid w:val="00EA670A"/>
    <w:rsid w:val="00EA6766"/>
    <w:rsid w:val="00EA67C3"/>
    <w:rsid w:val="00EA694A"/>
    <w:rsid w:val="00EA6968"/>
    <w:rsid w:val="00EA6BD5"/>
    <w:rsid w:val="00EA6BF0"/>
    <w:rsid w:val="00EA6D0D"/>
    <w:rsid w:val="00EA6D3F"/>
    <w:rsid w:val="00EA6EE6"/>
    <w:rsid w:val="00EA6F41"/>
    <w:rsid w:val="00EA70E9"/>
    <w:rsid w:val="00EA7297"/>
    <w:rsid w:val="00EA72DA"/>
    <w:rsid w:val="00EA72FE"/>
    <w:rsid w:val="00EA741D"/>
    <w:rsid w:val="00EA7428"/>
    <w:rsid w:val="00EA7515"/>
    <w:rsid w:val="00EA7674"/>
    <w:rsid w:val="00EA76B5"/>
    <w:rsid w:val="00EA76B7"/>
    <w:rsid w:val="00EA777D"/>
    <w:rsid w:val="00EA7846"/>
    <w:rsid w:val="00EA794F"/>
    <w:rsid w:val="00EA7994"/>
    <w:rsid w:val="00EA7A4E"/>
    <w:rsid w:val="00EA7C08"/>
    <w:rsid w:val="00EA7C0E"/>
    <w:rsid w:val="00EA7C18"/>
    <w:rsid w:val="00EA7CCD"/>
    <w:rsid w:val="00EB0002"/>
    <w:rsid w:val="00EB00D5"/>
    <w:rsid w:val="00EB00DA"/>
    <w:rsid w:val="00EB00E0"/>
    <w:rsid w:val="00EB0121"/>
    <w:rsid w:val="00EB0128"/>
    <w:rsid w:val="00EB01BE"/>
    <w:rsid w:val="00EB01FA"/>
    <w:rsid w:val="00EB0229"/>
    <w:rsid w:val="00EB028F"/>
    <w:rsid w:val="00EB03D3"/>
    <w:rsid w:val="00EB03EA"/>
    <w:rsid w:val="00EB058D"/>
    <w:rsid w:val="00EB05D5"/>
    <w:rsid w:val="00EB0605"/>
    <w:rsid w:val="00EB0935"/>
    <w:rsid w:val="00EB0B41"/>
    <w:rsid w:val="00EB0CA4"/>
    <w:rsid w:val="00EB0CBF"/>
    <w:rsid w:val="00EB0D1B"/>
    <w:rsid w:val="00EB0FDA"/>
    <w:rsid w:val="00EB10C2"/>
    <w:rsid w:val="00EB118D"/>
    <w:rsid w:val="00EB11E4"/>
    <w:rsid w:val="00EB12A6"/>
    <w:rsid w:val="00EB148F"/>
    <w:rsid w:val="00EB14B5"/>
    <w:rsid w:val="00EB14BC"/>
    <w:rsid w:val="00EB150E"/>
    <w:rsid w:val="00EB1549"/>
    <w:rsid w:val="00EB1624"/>
    <w:rsid w:val="00EB1756"/>
    <w:rsid w:val="00EB175B"/>
    <w:rsid w:val="00EB19AE"/>
    <w:rsid w:val="00EB19EB"/>
    <w:rsid w:val="00EB1A66"/>
    <w:rsid w:val="00EB1B4C"/>
    <w:rsid w:val="00EB1BA4"/>
    <w:rsid w:val="00EB1DFE"/>
    <w:rsid w:val="00EB1EE9"/>
    <w:rsid w:val="00EB2008"/>
    <w:rsid w:val="00EB2123"/>
    <w:rsid w:val="00EB2233"/>
    <w:rsid w:val="00EB2268"/>
    <w:rsid w:val="00EB2363"/>
    <w:rsid w:val="00EB2378"/>
    <w:rsid w:val="00EB2591"/>
    <w:rsid w:val="00EB26E4"/>
    <w:rsid w:val="00EB278F"/>
    <w:rsid w:val="00EB28C6"/>
    <w:rsid w:val="00EB2997"/>
    <w:rsid w:val="00EB29BB"/>
    <w:rsid w:val="00EB2C0C"/>
    <w:rsid w:val="00EB2C5B"/>
    <w:rsid w:val="00EB2D67"/>
    <w:rsid w:val="00EB2E6E"/>
    <w:rsid w:val="00EB2ED0"/>
    <w:rsid w:val="00EB2F7D"/>
    <w:rsid w:val="00EB2FC2"/>
    <w:rsid w:val="00EB3029"/>
    <w:rsid w:val="00EB309D"/>
    <w:rsid w:val="00EB322F"/>
    <w:rsid w:val="00EB3596"/>
    <w:rsid w:val="00EB359D"/>
    <w:rsid w:val="00EB3650"/>
    <w:rsid w:val="00EB375E"/>
    <w:rsid w:val="00EB379A"/>
    <w:rsid w:val="00EB379D"/>
    <w:rsid w:val="00EB37E7"/>
    <w:rsid w:val="00EB38F1"/>
    <w:rsid w:val="00EB3A21"/>
    <w:rsid w:val="00EB3A9E"/>
    <w:rsid w:val="00EB3AAA"/>
    <w:rsid w:val="00EB3C52"/>
    <w:rsid w:val="00EB3C7A"/>
    <w:rsid w:val="00EB40DC"/>
    <w:rsid w:val="00EB41BA"/>
    <w:rsid w:val="00EB4232"/>
    <w:rsid w:val="00EB4325"/>
    <w:rsid w:val="00EB443A"/>
    <w:rsid w:val="00EB456D"/>
    <w:rsid w:val="00EB4586"/>
    <w:rsid w:val="00EB46F1"/>
    <w:rsid w:val="00EB4851"/>
    <w:rsid w:val="00EB486A"/>
    <w:rsid w:val="00EB4909"/>
    <w:rsid w:val="00EB4932"/>
    <w:rsid w:val="00EB4AD9"/>
    <w:rsid w:val="00EB4AFC"/>
    <w:rsid w:val="00EB4B16"/>
    <w:rsid w:val="00EB4BC7"/>
    <w:rsid w:val="00EB4C5B"/>
    <w:rsid w:val="00EB4DA6"/>
    <w:rsid w:val="00EB4DF3"/>
    <w:rsid w:val="00EB4F2B"/>
    <w:rsid w:val="00EB4FEF"/>
    <w:rsid w:val="00EB5005"/>
    <w:rsid w:val="00EB5091"/>
    <w:rsid w:val="00EB5093"/>
    <w:rsid w:val="00EB5096"/>
    <w:rsid w:val="00EB5174"/>
    <w:rsid w:val="00EB517E"/>
    <w:rsid w:val="00EB51A4"/>
    <w:rsid w:val="00EB5345"/>
    <w:rsid w:val="00EB5355"/>
    <w:rsid w:val="00EB539F"/>
    <w:rsid w:val="00EB53FA"/>
    <w:rsid w:val="00EB5435"/>
    <w:rsid w:val="00EB55AF"/>
    <w:rsid w:val="00EB55D9"/>
    <w:rsid w:val="00EB561E"/>
    <w:rsid w:val="00EB57E4"/>
    <w:rsid w:val="00EB5879"/>
    <w:rsid w:val="00EB587E"/>
    <w:rsid w:val="00EB5911"/>
    <w:rsid w:val="00EB5924"/>
    <w:rsid w:val="00EB5C40"/>
    <w:rsid w:val="00EB5CF1"/>
    <w:rsid w:val="00EB5D08"/>
    <w:rsid w:val="00EB5DF6"/>
    <w:rsid w:val="00EB5E20"/>
    <w:rsid w:val="00EB5E71"/>
    <w:rsid w:val="00EB6180"/>
    <w:rsid w:val="00EB6207"/>
    <w:rsid w:val="00EB62B4"/>
    <w:rsid w:val="00EB64F1"/>
    <w:rsid w:val="00EB66B7"/>
    <w:rsid w:val="00EB66BE"/>
    <w:rsid w:val="00EB6710"/>
    <w:rsid w:val="00EB6736"/>
    <w:rsid w:val="00EB6825"/>
    <w:rsid w:val="00EB6A1D"/>
    <w:rsid w:val="00EB6AFF"/>
    <w:rsid w:val="00EB6B35"/>
    <w:rsid w:val="00EB6BDE"/>
    <w:rsid w:val="00EB6C40"/>
    <w:rsid w:val="00EB6C59"/>
    <w:rsid w:val="00EB6D5D"/>
    <w:rsid w:val="00EB6D72"/>
    <w:rsid w:val="00EB6ED3"/>
    <w:rsid w:val="00EB6F04"/>
    <w:rsid w:val="00EB6F3E"/>
    <w:rsid w:val="00EB6FD2"/>
    <w:rsid w:val="00EB6FF5"/>
    <w:rsid w:val="00EB710E"/>
    <w:rsid w:val="00EB719B"/>
    <w:rsid w:val="00EB721E"/>
    <w:rsid w:val="00EB7265"/>
    <w:rsid w:val="00EB74B6"/>
    <w:rsid w:val="00EB7896"/>
    <w:rsid w:val="00EB797A"/>
    <w:rsid w:val="00EB7999"/>
    <w:rsid w:val="00EB79CB"/>
    <w:rsid w:val="00EB7A47"/>
    <w:rsid w:val="00EB7D16"/>
    <w:rsid w:val="00EB7D23"/>
    <w:rsid w:val="00EB7E4E"/>
    <w:rsid w:val="00EB7E88"/>
    <w:rsid w:val="00EB7EF1"/>
    <w:rsid w:val="00EB7F79"/>
    <w:rsid w:val="00EB7FB0"/>
    <w:rsid w:val="00EC0048"/>
    <w:rsid w:val="00EC03F6"/>
    <w:rsid w:val="00EC049F"/>
    <w:rsid w:val="00EC059F"/>
    <w:rsid w:val="00EC0691"/>
    <w:rsid w:val="00EC09F7"/>
    <w:rsid w:val="00EC0AB4"/>
    <w:rsid w:val="00EC0B9C"/>
    <w:rsid w:val="00EC0BB7"/>
    <w:rsid w:val="00EC0BD8"/>
    <w:rsid w:val="00EC0DAF"/>
    <w:rsid w:val="00EC0DE9"/>
    <w:rsid w:val="00EC0E49"/>
    <w:rsid w:val="00EC0E61"/>
    <w:rsid w:val="00EC134C"/>
    <w:rsid w:val="00EC1358"/>
    <w:rsid w:val="00EC1383"/>
    <w:rsid w:val="00EC1386"/>
    <w:rsid w:val="00EC13C3"/>
    <w:rsid w:val="00EC1527"/>
    <w:rsid w:val="00EC1783"/>
    <w:rsid w:val="00EC17D7"/>
    <w:rsid w:val="00EC1AA5"/>
    <w:rsid w:val="00EC1AFD"/>
    <w:rsid w:val="00EC1B29"/>
    <w:rsid w:val="00EC1B50"/>
    <w:rsid w:val="00EC1B69"/>
    <w:rsid w:val="00EC1BC6"/>
    <w:rsid w:val="00EC1BE8"/>
    <w:rsid w:val="00EC1C14"/>
    <w:rsid w:val="00EC1C40"/>
    <w:rsid w:val="00EC1DC8"/>
    <w:rsid w:val="00EC1F20"/>
    <w:rsid w:val="00EC1F24"/>
    <w:rsid w:val="00EC1F76"/>
    <w:rsid w:val="00EC209B"/>
    <w:rsid w:val="00EC20B6"/>
    <w:rsid w:val="00EC21DB"/>
    <w:rsid w:val="00EC2214"/>
    <w:rsid w:val="00EC222D"/>
    <w:rsid w:val="00EC2254"/>
    <w:rsid w:val="00EC2280"/>
    <w:rsid w:val="00EC22AA"/>
    <w:rsid w:val="00EC22F6"/>
    <w:rsid w:val="00EC2311"/>
    <w:rsid w:val="00EC2321"/>
    <w:rsid w:val="00EC246E"/>
    <w:rsid w:val="00EC26BE"/>
    <w:rsid w:val="00EC281F"/>
    <w:rsid w:val="00EC295E"/>
    <w:rsid w:val="00EC297B"/>
    <w:rsid w:val="00EC298D"/>
    <w:rsid w:val="00EC2A12"/>
    <w:rsid w:val="00EC2ACD"/>
    <w:rsid w:val="00EC2B40"/>
    <w:rsid w:val="00EC2BDA"/>
    <w:rsid w:val="00EC2C3A"/>
    <w:rsid w:val="00EC2C54"/>
    <w:rsid w:val="00EC2C9F"/>
    <w:rsid w:val="00EC2DD8"/>
    <w:rsid w:val="00EC2E54"/>
    <w:rsid w:val="00EC2FDB"/>
    <w:rsid w:val="00EC31BC"/>
    <w:rsid w:val="00EC32A9"/>
    <w:rsid w:val="00EC3399"/>
    <w:rsid w:val="00EC345B"/>
    <w:rsid w:val="00EC3607"/>
    <w:rsid w:val="00EC362F"/>
    <w:rsid w:val="00EC3704"/>
    <w:rsid w:val="00EC372A"/>
    <w:rsid w:val="00EC3826"/>
    <w:rsid w:val="00EC3844"/>
    <w:rsid w:val="00EC385C"/>
    <w:rsid w:val="00EC3916"/>
    <w:rsid w:val="00EC39D3"/>
    <w:rsid w:val="00EC3A58"/>
    <w:rsid w:val="00EC3A6E"/>
    <w:rsid w:val="00EC3A98"/>
    <w:rsid w:val="00EC3B1A"/>
    <w:rsid w:val="00EC3B28"/>
    <w:rsid w:val="00EC3C2B"/>
    <w:rsid w:val="00EC3C38"/>
    <w:rsid w:val="00EC3C94"/>
    <w:rsid w:val="00EC3DB9"/>
    <w:rsid w:val="00EC3E25"/>
    <w:rsid w:val="00EC4184"/>
    <w:rsid w:val="00EC4450"/>
    <w:rsid w:val="00EC45AC"/>
    <w:rsid w:val="00EC4605"/>
    <w:rsid w:val="00EC4699"/>
    <w:rsid w:val="00EC4748"/>
    <w:rsid w:val="00EC4A99"/>
    <w:rsid w:val="00EC4AF5"/>
    <w:rsid w:val="00EC4D22"/>
    <w:rsid w:val="00EC4F9C"/>
    <w:rsid w:val="00EC5067"/>
    <w:rsid w:val="00EC5199"/>
    <w:rsid w:val="00EC51FF"/>
    <w:rsid w:val="00EC5499"/>
    <w:rsid w:val="00EC5511"/>
    <w:rsid w:val="00EC56C1"/>
    <w:rsid w:val="00EC577C"/>
    <w:rsid w:val="00EC58DE"/>
    <w:rsid w:val="00EC59CB"/>
    <w:rsid w:val="00EC5B45"/>
    <w:rsid w:val="00EC5BC4"/>
    <w:rsid w:val="00EC5C11"/>
    <w:rsid w:val="00EC5CE3"/>
    <w:rsid w:val="00EC5F5D"/>
    <w:rsid w:val="00EC5F65"/>
    <w:rsid w:val="00EC600F"/>
    <w:rsid w:val="00EC6126"/>
    <w:rsid w:val="00EC62AA"/>
    <w:rsid w:val="00EC62B0"/>
    <w:rsid w:val="00EC62D4"/>
    <w:rsid w:val="00EC633E"/>
    <w:rsid w:val="00EC6563"/>
    <w:rsid w:val="00EC65CB"/>
    <w:rsid w:val="00EC669C"/>
    <w:rsid w:val="00EC66AB"/>
    <w:rsid w:val="00EC6732"/>
    <w:rsid w:val="00EC6C36"/>
    <w:rsid w:val="00EC6C4F"/>
    <w:rsid w:val="00EC6DAD"/>
    <w:rsid w:val="00EC6E1C"/>
    <w:rsid w:val="00EC6EDD"/>
    <w:rsid w:val="00EC709C"/>
    <w:rsid w:val="00EC717A"/>
    <w:rsid w:val="00EC71BD"/>
    <w:rsid w:val="00EC728F"/>
    <w:rsid w:val="00EC7317"/>
    <w:rsid w:val="00EC74A8"/>
    <w:rsid w:val="00EC74D7"/>
    <w:rsid w:val="00EC7648"/>
    <w:rsid w:val="00EC774B"/>
    <w:rsid w:val="00EC7777"/>
    <w:rsid w:val="00EC784B"/>
    <w:rsid w:val="00EC7A52"/>
    <w:rsid w:val="00EC7C7E"/>
    <w:rsid w:val="00EC7CC9"/>
    <w:rsid w:val="00EC7EC0"/>
    <w:rsid w:val="00EC7F8B"/>
    <w:rsid w:val="00EC7F97"/>
    <w:rsid w:val="00ED00BA"/>
    <w:rsid w:val="00ED02CB"/>
    <w:rsid w:val="00ED02E7"/>
    <w:rsid w:val="00ED0355"/>
    <w:rsid w:val="00ED0364"/>
    <w:rsid w:val="00ED0372"/>
    <w:rsid w:val="00ED0541"/>
    <w:rsid w:val="00ED054C"/>
    <w:rsid w:val="00ED0552"/>
    <w:rsid w:val="00ED07F8"/>
    <w:rsid w:val="00ED0863"/>
    <w:rsid w:val="00ED08E7"/>
    <w:rsid w:val="00ED0925"/>
    <w:rsid w:val="00ED09C6"/>
    <w:rsid w:val="00ED0B3C"/>
    <w:rsid w:val="00ED0BC5"/>
    <w:rsid w:val="00ED0E61"/>
    <w:rsid w:val="00ED0EC0"/>
    <w:rsid w:val="00ED0FC2"/>
    <w:rsid w:val="00ED1002"/>
    <w:rsid w:val="00ED11AD"/>
    <w:rsid w:val="00ED1331"/>
    <w:rsid w:val="00ED143A"/>
    <w:rsid w:val="00ED1506"/>
    <w:rsid w:val="00ED15C3"/>
    <w:rsid w:val="00ED161D"/>
    <w:rsid w:val="00ED164E"/>
    <w:rsid w:val="00ED17F7"/>
    <w:rsid w:val="00ED18F6"/>
    <w:rsid w:val="00ED1B26"/>
    <w:rsid w:val="00ED1CAA"/>
    <w:rsid w:val="00ED1F0F"/>
    <w:rsid w:val="00ED211D"/>
    <w:rsid w:val="00ED240D"/>
    <w:rsid w:val="00ED2593"/>
    <w:rsid w:val="00ED2623"/>
    <w:rsid w:val="00ED27DE"/>
    <w:rsid w:val="00ED28C6"/>
    <w:rsid w:val="00ED2A0C"/>
    <w:rsid w:val="00ED2A5E"/>
    <w:rsid w:val="00ED2B00"/>
    <w:rsid w:val="00ED2C3C"/>
    <w:rsid w:val="00ED2C3D"/>
    <w:rsid w:val="00ED2C67"/>
    <w:rsid w:val="00ED2E9D"/>
    <w:rsid w:val="00ED2F22"/>
    <w:rsid w:val="00ED3030"/>
    <w:rsid w:val="00ED340E"/>
    <w:rsid w:val="00ED34E2"/>
    <w:rsid w:val="00ED363B"/>
    <w:rsid w:val="00ED365A"/>
    <w:rsid w:val="00ED374F"/>
    <w:rsid w:val="00ED38FB"/>
    <w:rsid w:val="00ED3A82"/>
    <w:rsid w:val="00ED3AAA"/>
    <w:rsid w:val="00ED3B29"/>
    <w:rsid w:val="00ED3B94"/>
    <w:rsid w:val="00ED3C2C"/>
    <w:rsid w:val="00ED3E89"/>
    <w:rsid w:val="00ED3F45"/>
    <w:rsid w:val="00ED3F83"/>
    <w:rsid w:val="00ED3FB0"/>
    <w:rsid w:val="00ED4185"/>
    <w:rsid w:val="00ED43BE"/>
    <w:rsid w:val="00ED4418"/>
    <w:rsid w:val="00ED45A1"/>
    <w:rsid w:val="00ED45E7"/>
    <w:rsid w:val="00ED45F5"/>
    <w:rsid w:val="00ED4622"/>
    <w:rsid w:val="00ED46EF"/>
    <w:rsid w:val="00ED4710"/>
    <w:rsid w:val="00ED4757"/>
    <w:rsid w:val="00ED49B3"/>
    <w:rsid w:val="00ED4AD5"/>
    <w:rsid w:val="00ED4B0B"/>
    <w:rsid w:val="00ED4C5B"/>
    <w:rsid w:val="00ED4D8E"/>
    <w:rsid w:val="00ED4DB8"/>
    <w:rsid w:val="00ED4EF8"/>
    <w:rsid w:val="00ED4FF9"/>
    <w:rsid w:val="00ED52AB"/>
    <w:rsid w:val="00ED533E"/>
    <w:rsid w:val="00ED53E9"/>
    <w:rsid w:val="00ED5457"/>
    <w:rsid w:val="00ED5701"/>
    <w:rsid w:val="00ED5706"/>
    <w:rsid w:val="00ED57CC"/>
    <w:rsid w:val="00ED57D0"/>
    <w:rsid w:val="00ED58E3"/>
    <w:rsid w:val="00ED5949"/>
    <w:rsid w:val="00ED5A72"/>
    <w:rsid w:val="00ED5A8D"/>
    <w:rsid w:val="00ED5A9A"/>
    <w:rsid w:val="00ED5B3F"/>
    <w:rsid w:val="00ED5B9B"/>
    <w:rsid w:val="00ED5CED"/>
    <w:rsid w:val="00ED5CFE"/>
    <w:rsid w:val="00ED5CFF"/>
    <w:rsid w:val="00ED5D67"/>
    <w:rsid w:val="00ED5D92"/>
    <w:rsid w:val="00ED5ECA"/>
    <w:rsid w:val="00ED5F73"/>
    <w:rsid w:val="00ED60CB"/>
    <w:rsid w:val="00ED61B3"/>
    <w:rsid w:val="00ED6212"/>
    <w:rsid w:val="00ED62A8"/>
    <w:rsid w:val="00ED64A9"/>
    <w:rsid w:val="00ED663A"/>
    <w:rsid w:val="00ED67CD"/>
    <w:rsid w:val="00ED689A"/>
    <w:rsid w:val="00ED68FB"/>
    <w:rsid w:val="00ED6A6D"/>
    <w:rsid w:val="00ED6AA0"/>
    <w:rsid w:val="00ED6B8A"/>
    <w:rsid w:val="00ED6BAD"/>
    <w:rsid w:val="00ED6C24"/>
    <w:rsid w:val="00ED6C97"/>
    <w:rsid w:val="00ED6DBC"/>
    <w:rsid w:val="00ED6DEE"/>
    <w:rsid w:val="00ED6F87"/>
    <w:rsid w:val="00ED7042"/>
    <w:rsid w:val="00ED714C"/>
    <w:rsid w:val="00ED73DA"/>
    <w:rsid w:val="00ED7447"/>
    <w:rsid w:val="00ED7487"/>
    <w:rsid w:val="00ED755B"/>
    <w:rsid w:val="00ED75B6"/>
    <w:rsid w:val="00ED7650"/>
    <w:rsid w:val="00ED7762"/>
    <w:rsid w:val="00ED7839"/>
    <w:rsid w:val="00ED785B"/>
    <w:rsid w:val="00ED78F7"/>
    <w:rsid w:val="00ED79BD"/>
    <w:rsid w:val="00ED79F7"/>
    <w:rsid w:val="00ED7AC3"/>
    <w:rsid w:val="00ED7C61"/>
    <w:rsid w:val="00ED7E3A"/>
    <w:rsid w:val="00ED7EB7"/>
    <w:rsid w:val="00ED7FD2"/>
    <w:rsid w:val="00EE0028"/>
    <w:rsid w:val="00EE00D6"/>
    <w:rsid w:val="00EE00E9"/>
    <w:rsid w:val="00EE011B"/>
    <w:rsid w:val="00EE0181"/>
    <w:rsid w:val="00EE02A1"/>
    <w:rsid w:val="00EE0513"/>
    <w:rsid w:val="00EE056E"/>
    <w:rsid w:val="00EE0689"/>
    <w:rsid w:val="00EE06EA"/>
    <w:rsid w:val="00EE0802"/>
    <w:rsid w:val="00EE081C"/>
    <w:rsid w:val="00EE0902"/>
    <w:rsid w:val="00EE0A59"/>
    <w:rsid w:val="00EE0A5C"/>
    <w:rsid w:val="00EE0B59"/>
    <w:rsid w:val="00EE0BA0"/>
    <w:rsid w:val="00EE0CBB"/>
    <w:rsid w:val="00EE0D60"/>
    <w:rsid w:val="00EE0DF5"/>
    <w:rsid w:val="00EE0F96"/>
    <w:rsid w:val="00EE0FF7"/>
    <w:rsid w:val="00EE0FFD"/>
    <w:rsid w:val="00EE1089"/>
    <w:rsid w:val="00EE11B5"/>
    <w:rsid w:val="00EE11E7"/>
    <w:rsid w:val="00EE11FE"/>
    <w:rsid w:val="00EE1355"/>
    <w:rsid w:val="00EE1372"/>
    <w:rsid w:val="00EE138C"/>
    <w:rsid w:val="00EE1461"/>
    <w:rsid w:val="00EE1488"/>
    <w:rsid w:val="00EE152E"/>
    <w:rsid w:val="00EE15D2"/>
    <w:rsid w:val="00EE172E"/>
    <w:rsid w:val="00EE18E8"/>
    <w:rsid w:val="00EE194C"/>
    <w:rsid w:val="00EE1AC4"/>
    <w:rsid w:val="00EE1C9F"/>
    <w:rsid w:val="00EE1CE1"/>
    <w:rsid w:val="00EE1CFE"/>
    <w:rsid w:val="00EE1D8B"/>
    <w:rsid w:val="00EE201B"/>
    <w:rsid w:val="00EE20EF"/>
    <w:rsid w:val="00EE2105"/>
    <w:rsid w:val="00EE2112"/>
    <w:rsid w:val="00EE213C"/>
    <w:rsid w:val="00EE2326"/>
    <w:rsid w:val="00EE2427"/>
    <w:rsid w:val="00EE24A7"/>
    <w:rsid w:val="00EE25B5"/>
    <w:rsid w:val="00EE25BE"/>
    <w:rsid w:val="00EE26B8"/>
    <w:rsid w:val="00EE26DE"/>
    <w:rsid w:val="00EE274F"/>
    <w:rsid w:val="00EE2807"/>
    <w:rsid w:val="00EE28FF"/>
    <w:rsid w:val="00EE29AD"/>
    <w:rsid w:val="00EE29E9"/>
    <w:rsid w:val="00EE2BEE"/>
    <w:rsid w:val="00EE2E06"/>
    <w:rsid w:val="00EE2E72"/>
    <w:rsid w:val="00EE2E7E"/>
    <w:rsid w:val="00EE2EC8"/>
    <w:rsid w:val="00EE2F84"/>
    <w:rsid w:val="00EE31E8"/>
    <w:rsid w:val="00EE33CC"/>
    <w:rsid w:val="00EE347A"/>
    <w:rsid w:val="00EE349E"/>
    <w:rsid w:val="00EE3506"/>
    <w:rsid w:val="00EE364F"/>
    <w:rsid w:val="00EE3825"/>
    <w:rsid w:val="00EE393B"/>
    <w:rsid w:val="00EE39C1"/>
    <w:rsid w:val="00EE3A3E"/>
    <w:rsid w:val="00EE3AC9"/>
    <w:rsid w:val="00EE3E24"/>
    <w:rsid w:val="00EE3F9F"/>
    <w:rsid w:val="00EE3FA4"/>
    <w:rsid w:val="00EE4010"/>
    <w:rsid w:val="00EE408B"/>
    <w:rsid w:val="00EE4163"/>
    <w:rsid w:val="00EE4367"/>
    <w:rsid w:val="00EE4395"/>
    <w:rsid w:val="00EE43A7"/>
    <w:rsid w:val="00EE4485"/>
    <w:rsid w:val="00EE4539"/>
    <w:rsid w:val="00EE4653"/>
    <w:rsid w:val="00EE46D5"/>
    <w:rsid w:val="00EE48AA"/>
    <w:rsid w:val="00EE4AE2"/>
    <w:rsid w:val="00EE4C06"/>
    <w:rsid w:val="00EE4D31"/>
    <w:rsid w:val="00EE4D5D"/>
    <w:rsid w:val="00EE4F3B"/>
    <w:rsid w:val="00EE50E1"/>
    <w:rsid w:val="00EE5131"/>
    <w:rsid w:val="00EE5166"/>
    <w:rsid w:val="00EE529D"/>
    <w:rsid w:val="00EE5415"/>
    <w:rsid w:val="00EE554F"/>
    <w:rsid w:val="00EE59BE"/>
    <w:rsid w:val="00EE5C00"/>
    <w:rsid w:val="00EE5C0A"/>
    <w:rsid w:val="00EE5E81"/>
    <w:rsid w:val="00EE5EA9"/>
    <w:rsid w:val="00EE5F21"/>
    <w:rsid w:val="00EE6190"/>
    <w:rsid w:val="00EE61F7"/>
    <w:rsid w:val="00EE6228"/>
    <w:rsid w:val="00EE62F3"/>
    <w:rsid w:val="00EE6353"/>
    <w:rsid w:val="00EE6356"/>
    <w:rsid w:val="00EE643B"/>
    <w:rsid w:val="00EE65A9"/>
    <w:rsid w:val="00EE66CC"/>
    <w:rsid w:val="00EE673A"/>
    <w:rsid w:val="00EE67C1"/>
    <w:rsid w:val="00EE67FE"/>
    <w:rsid w:val="00EE68D8"/>
    <w:rsid w:val="00EE6942"/>
    <w:rsid w:val="00EE69DD"/>
    <w:rsid w:val="00EE6B05"/>
    <w:rsid w:val="00EE6B17"/>
    <w:rsid w:val="00EE6DEE"/>
    <w:rsid w:val="00EE6FC7"/>
    <w:rsid w:val="00EE6FC8"/>
    <w:rsid w:val="00EE6FDE"/>
    <w:rsid w:val="00EE71B0"/>
    <w:rsid w:val="00EE7268"/>
    <w:rsid w:val="00EE72F8"/>
    <w:rsid w:val="00EE7396"/>
    <w:rsid w:val="00EE7477"/>
    <w:rsid w:val="00EE7546"/>
    <w:rsid w:val="00EE757E"/>
    <w:rsid w:val="00EE759E"/>
    <w:rsid w:val="00EE761E"/>
    <w:rsid w:val="00EE7681"/>
    <w:rsid w:val="00EE777C"/>
    <w:rsid w:val="00EE789D"/>
    <w:rsid w:val="00EE78A4"/>
    <w:rsid w:val="00EE79D3"/>
    <w:rsid w:val="00EE7A65"/>
    <w:rsid w:val="00EE7A7E"/>
    <w:rsid w:val="00EE7C56"/>
    <w:rsid w:val="00EF00CE"/>
    <w:rsid w:val="00EF01D6"/>
    <w:rsid w:val="00EF026A"/>
    <w:rsid w:val="00EF041B"/>
    <w:rsid w:val="00EF0467"/>
    <w:rsid w:val="00EF047B"/>
    <w:rsid w:val="00EF049B"/>
    <w:rsid w:val="00EF04C8"/>
    <w:rsid w:val="00EF04D3"/>
    <w:rsid w:val="00EF04D7"/>
    <w:rsid w:val="00EF052A"/>
    <w:rsid w:val="00EF055A"/>
    <w:rsid w:val="00EF0586"/>
    <w:rsid w:val="00EF0739"/>
    <w:rsid w:val="00EF0932"/>
    <w:rsid w:val="00EF0A83"/>
    <w:rsid w:val="00EF0B2C"/>
    <w:rsid w:val="00EF0BB9"/>
    <w:rsid w:val="00EF0DCD"/>
    <w:rsid w:val="00EF0F72"/>
    <w:rsid w:val="00EF0F92"/>
    <w:rsid w:val="00EF109B"/>
    <w:rsid w:val="00EF1249"/>
    <w:rsid w:val="00EF141D"/>
    <w:rsid w:val="00EF1457"/>
    <w:rsid w:val="00EF1468"/>
    <w:rsid w:val="00EF1600"/>
    <w:rsid w:val="00EF1641"/>
    <w:rsid w:val="00EF1648"/>
    <w:rsid w:val="00EF1702"/>
    <w:rsid w:val="00EF18A3"/>
    <w:rsid w:val="00EF1946"/>
    <w:rsid w:val="00EF1B15"/>
    <w:rsid w:val="00EF1E61"/>
    <w:rsid w:val="00EF2003"/>
    <w:rsid w:val="00EF200C"/>
    <w:rsid w:val="00EF201C"/>
    <w:rsid w:val="00EF20D5"/>
    <w:rsid w:val="00EF2212"/>
    <w:rsid w:val="00EF2248"/>
    <w:rsid w:val="00EF2459"/>
    <w:rsid w:val="00EF2531"/>
    <w:rsid w:val="00EF25AE"/>
    <w:rsid w:val="00EF265B"/>
    <w:rsid w:val="00EF26A8"/>
    <w:rsid w:val="00EF28C2"/>
    <w:rsid w:val="00EF28F0"/>
    <w:rsid w:val="00EF28F7"/>
    <w:rsid w:val="00EF2A72"/>
    <w:rsid w:val="00EF2A81"/>
    <w:rsid w:val="00EF2BE1"/>
    <w:rsid w:val="00EF2C72"/>
    <w:rsid w:val="00EF2F95"/>
    <w:rsid w:val="00EF3460"/>
    <w:rsid w:val="00EF35E3"/>
    <w:rsid w:val="00EF3668"/>
    <w:rsid w:val="00EF3669"/>
    <w:rsid w:val="00EF36AF"/>
    <w:rsid w:val="00EF36DA"/>
    <w:rsid w:val="00EF385F"/>
    <w:rsid w:val="00EF3B12"/>
    <w:rsid w:val="00EF3CCA"/>
    <w:rsid w:val="00EF3CFF"/>
    <w:rsid w:val="00EF3F5F"/>
    <w:rsid w:val="00EF3F81"/>
    <w:rsid w:val="00EF3FA2"/>
    <w:rsid w:val="00EF3FC3"/>
    <w:rsid w:val="00EF4141"/>
    <w:rsid w:val="00EF41FA"/>
    <w:rsid w:val="00EF42BC"/>
    <w:rsid w:val="00EF4320"/>
    <w:rsid w:val="00EF43AE"/>
    <w:rsid w:val="00EF43DE"/>
    <w:rsid w:val="00EF4465"/>
    <w:rsid w:val="00EF44EF"/>
    <w:rsid w:val="00EF45FC"/>
    <w:rsid w:val="00EF4946"/>
    <w:rsid w:val="00EF4B1B"/>
    <w:rsid w:val="00EF4C79"/>
    <w:rsid w:val="00EF4CF4"/>
    <w:rsid w:val="00EF4F5B"/>
    <w:rsid w:val="00EF4FB3"/>
    <w:rsid w:val="00EF5141"/>
    <w:rsid w:val="00EF516C"/>
    <w:rsid w:val="00EF51F6"/>
    <w:rsid w:val="00EF539B"/>
    <w:rsid w:val="00EF53AC"/>
    <w:rsid w:val="00EF5487"/>
    <w:rsid w:val="00EF55D9"/>
    <w:rsid w:val="00EF5615"/>
    <w:rsid w:val="00EF5676"/>
    <w:rsid w:val="00EF56EC"/>
    <w:rsid w:val="00EF5786"/>
    <w:rsid w:val="00EF57F5"/>
    <w:rsid w:val="00EF59A3"/>
    <w:rsid w:val="00EF5A68"/>
    <w:rsid w:val="00EF5AA8"/>
    <w:rsid w:val="00EF5BEB"/>
    <w:rsid w:val="00EF5C19"/>
    <w:rsid w:val="00EF5D16"/>
    <w:rsid w:val="00EF5D84"/>
    <w:rsid w:val="00EF5DE6"/>
    <w:rsid w:val="00EF5F57"/>
    <w:rsid w:val="00EF6071"/>
    <w:rsid w:val="00EF60C0"/>
    <w:rsid w:val="00EF6212"/>
    <w:rsid w:val="00EF6303"/>
    <w:rsid w:val="00EF639A"/>
    <w:rsid w:val="00EF6551"/>
    <w:rsid w:val="00EF666F"/>
    <w:rsid w:val="00EF6675"/>
    <w:rsid w:val="00EF66C5"/>
    <w:rsid w:val="00EF66D7"/>
    <w:rsid w:val="00EF67EF"/>
    <w:rsid w:val="00EF68D3"/>
    <w:rsid w:val="00EF6918"/>
    <w:rsid w:val="00EF6988"/>
    <w:rsid w:val="00EF69BA"/>
    <w:rsid w:val="00EF6A41"/>
    <w:rsid w:val="00EF6AA7"/>
    <w:rsid w:val="00EF6C46"/>
    <w:rsid w:val="00EF6C70"/>
    <w:rsid w:val="00EF6CFA"/>
    <w:rsid w:val="00EF6E9D"/>
    <w:rsid w:val="00EF6EE8"/>
    <w:rsid w:val="00EF713B"/>
    <w:rsid w:val="00EF7180"/>
    <w:rsid w:val="00EF72AE"/>
    <w:rsid w:val="00EF7436"/>
    <w:rsid w:val="00EF74DB"/>
    <w:rsid w:val="00EF74ED"/>
    <w:rsid w:val="00EF7530"/>
    <w:rsid w:val="00EF7623"/>
    <w:rsid w:val="00EF7698"/>
    <w:rsid w:val="00EF7797"/>
    <w:rsid w:val="00EF7946"/>
    <w:rsid w:val="00EF7A02"/>
    <w:rsid w:val="00EF7A83"/>
    <w:rsid w:val="00EF7B2E"/>
    <w:rsid w:val="00EF7B31"/>
    <w:rsid w:val="00EF7BF1"/>
    <w:rsid w:val="00EF7CC2"/>
    <w:rsid w:val="00EF7D9E"/>
    <w:rsid w:val="00EF7E16"/>
    <w:rsid w:val="00EF7E40"/>
    <w:rsid w:val="00F00139"/>
    <w:rsid w:val="00F00143"/>
    <w:rsid w:val="00F0063D"/>
    <w:rsid w:val="00F0063E"/>
    <w:rsid w:val="00F006FD"/>
    <w:rsid w:val="00F00824"/>
    <w:rsid w:val="00F00861"/>
    <w:rsid w:val="00F00865"/>
    <w:rsid w:val="00F00983"/>
    <w:rsid w:val="00F00C82"/>
    <w:rsid w:val="00F00D07"/>
    <w:rsid w:val="00F00E14"/>
    <w:rsid w:val="00F00E82"/>
    <w:rsid w:val="00F00F9C"/>
    <w:rsid w:val="00F01060"/>
    <w:rsid w:val="00F010B1"/>
    <w:rsid w:val="00F01129"/>
    <w:rsid w:val="00F011C6"/>
    <w:rsid w:val="00F011FE"/>
    <w:rsid w:val="00F01224"/>
    <w:rsid w:val="00F013DF"/>
    <w:rsid w:val="00F013E7"/>
    <w:rsid w:val="00F0140D"/>
    <w:rsid w:val="00F01472"/>
    <w:rsid w:val="00F015A3"/>
    <w:rsid w:val="00F01620"/>
    <w:rsid w:val="00F017DB"/>
    <w:rsid w:val="00F01896"/>
    <w:rsid w:val="00F01954"/>
    <w:rsid w:val="00F01A87"/>
    <w:rsid w:val="00F01AE1"/>
    <w:rsid w:val="00F01BBB"/>
    <w:rsid w:val="00F01BDF"/>
    <w:rsid w:val="00F01C28"/>
    <w:rsid w:val="00F01C9D"/>
    <w:rsid w:val="00F01D2F"/>
    <w:rsid w:val="00F01E5F"/>
    <w:rsid w:val="00F01EF0"/>
    <w:rsid w:val="00F01FA7"/>
    <w:rsid w:val="00F01FB4"/>
    <w:rsid w:val="00F01FC3"/>
    <w:rsid w:val="00F0211B"/>
    <w:rsid w:val="00F02131"/>
    <w:rsid w:val="00F02191"/>
    <w:rsid w:val="00F021CB"/>
    <w:rsid w:val="00F022FE"/>
    <w:rsid w:val="00F02496"/>
    <w:rsid w:val="00F024B1"/>
    <w:rsid w:val="00F024EC"/>
    <w:rsid w:val="00F024F3"/>
    <w:rsid w:val="00F025AF"/>
    <w:rsid w:val="00F026DE"/>
    <w:rsid w:val="00F0284C"/>
    <w:rsid w:val="00F02883"/>
    <w:rsid w:val="00F029D4"/>
    <w:rsid w:val="00F02A84"/>
    <w:rsid w:val="00F02ABA"/>
    <w:rsid w:val="00F02BCB"/>
    <w:rsid w:val="00F02C0C"/>
    <w:rsid w:val="00F02C81"/>
    <w:rsid w:val="00F02CEF"/>
    <w:rsid w:val="00F02E7D"/>
    <w:rsid w:val="00F02F5F"/>
    <w:rsid w:val="00F03084"/>
    <w:rsid w:val="00F0336D"/>
    <w:rsid w:val="00F035A7"/>
    <w:rsid w:val="00F0367C"/>
    <w:rsid w:val="00F03690"/>
    <w:rsid w:val="00F0393D"/>
    <w:rsid w:val="00F039E1"/>
    <w:rsid w:val="00F03AC2"/>
    <w:rsid w:val="00F03D29"/>
    <w:rsid w:val="00F03D8D"/>
    <w:rsid w:val="00F03DCB"/>
    <w:rsid w:val="00F03E0D"/>
    <w:rsid w:val="00F03E7F"/>
    <w:rsid w:val="00F03EC7"/>
    <w:rsid w:val="00F03EE0"/>
    <w:rsid w:val="00F03FBF"/>
    <w:rsid w:val="00F04032"/>
    <w:rsid w:val="00F04195"/>
    <w:rsid w:val="00F0432D"/>
    <w:rsid w:val="00F0437A"/>
    <w:rsid w:val="00F043EF"/>
    <w:rsid w:val="00F04455"/>
    <w:rsid w:val="00F04467"/>
    <w:rsid w:val="00F046E4"/>
    <w:rsid w:val="00F04743"/>
    <w:rsid w:val="00F0492F"/>
    <w:rsid w:val="00F04970"/>
    <w:rsid w:val="00F04D96"/>
    <w:rsid w:val="00F04DBC"/>
    <w:rsid w:val="00F04DDF"/>
    <w:rsid w:val="00F04EF2"/>
    <w:rsid w:val="00F0502A"/>
    <w:rsid w:val="00F0507E"/>
    <w:rsid w:val="00F050A1"/>
    <w:rsid w:val="00F050C3"/>
    <w:rsid w:val="00F05234"/>
    <w:rsid w:val="00F0524B"/>
    <w:rsid w:val="00F052E4"/>
    <w:rsid w:val="00F0564B"/>
    <w:rsid w:val="00F05843"/>
    <w:rsid w:val="00F05A9E"/>
    <w:rsid w:val="00F05C35"/>
    <w:rsid w:val="00F05DA6"/>
    <w:rsid w:val="00F06022"/>
    <w:rsid w:val="00F06057"/>
    <w:rsid w:val="00F06081"/>
    <w:rsid w:val="00F06134"/>
    <w:rsid w:val="00F0616A"/>
    <w:rsid w:val="00F0618A"/>
    <w:rsid w:val="00F0620C"/>
    <w:rsid w:val="00F065B0"/>
    <w:rsid w:val="00F06612"/>
    <w:rsid w:val="00F06635"/>
    <w:rsid w:val="00F067AD"/>
    <w:rsid w:val="00F067D1"/>
    <w:rsid w:val="00F0685D"/>
    <w:rsid w:val="00F06988"/>
    <w:rsid w:val="00F06997"/>
    <w:rsid w:val="00F06A5F"/>
    <w:rsid w:val="00F06B6B"/>
    <w:rsid w:val="00F06D04"/>
    <w:rsid w:val="00F06D6A"/>
    <w:rsid w:val="00F06DE9"/>
    <w:rsid w:val="00F06DEB"/>
    <w:rsid w:val="00F07048"/>
    <w:rsid w:val="00F07187"/>
    <w:rsid w:val="00F07236"/>
    <w:rsid w:val="00F0730B"/>
    <w:rsid w:val="00F073C3"/>
    <w:rsid w:val="00F07405"/>
    <w:rsid w:val="00F0757F"/>
    <w:rsid w:val="00F075F3"/>
    <w:rsid w:val="00F07605"/>
    <w:rsid w:val="00F0772C"/>
    <w:rsid w:val="00F07796"/>
    <w:rsid w:val="00F0783D"/>
    <w:rsid w:val="00F07965"/>
    <w:rsid w:val="00F07AD5"/>
    <w:rsid w:val="00F07E12"/>
    <w:rsid w:val="00F07FAC"/>
    <w:rsid w:val="00F100D6"/>
    <w:rsid w:val="00F100DB"/>
    <w:rsid w:val="00F100F3"/>
    <w:rsid w:val="00F1016B"/>
    <w:rsid w:val="00F1016E"/>
    <w:rsid w:val="00F1019E"/>
    <w:rsid w:val="00F101B8"/>
    <w:rsid w:val="00F10204"/>
    <w:rsid w:val="00F10255"/>
    <w:rsid w:val="00F103C6"/>
    <w:rsid w:val="00F103E5"/>
    <w:rsid w:val="00F10421"/>
    <w:rsid w:val="00F105C4"/>
    <w:rsid w:val="00F10669"/>
    <w:rsid w:val="00F106DD"/>
    <w:rsid w:val="00F107AA"/>
    <w:rsid w:val="00F108CF"/>
    <w:rsid w:val="00F10930"/>
    <w:rsid w:val="00F1099D"/>
    <w:rsid w:val="00F10A52"/>
    <w:rsid w:val="00F10B44"/>
    <w:rsid w:val="00F10DD6"/>
    <w:rsid w:val="00F10E66"/>
    <w:rsid w:val="00F10E80"/>
    <w:rsid w:val="00F10F34"/>
    <w:rsid w:val="00F11037"/>
    <w:rsid w:val="00F111E2"/>
    <w:rsid w:val="00F11323"/>
    <w:rsid w:val="00F11415"/>
    <w:rsid w:val="00F11457"/>
    <w:rsid w:val="00F11604"/>
    <w:rsid w:val="00F1176C"/>
    <w:rsid w:val="00F117B8"/>
    <w:rsid w:val="00F11866"/>
    <w:rsid w:val="00F11AB0"/>
    <w:rsid w:val="00F11C43"/>
    <w:rsid w:val="00F11D5F"/>
    <w:rsid w:val="00F11D79"/>
    <w:rsid w:val="00F11F7F"/>
    <w:rsid w:val="00F120C7"/>
    <w:rsid w:val="00F1216C"/>
    <w:rsid w:val="00F12424"/>
    <w:rsid w:val="00F1247C"/>
    <w:rsid w:val="00F12484"/>
    <w:rsid w:val="00F12493"/>
    <w:rsid w:val="00F124D9"/>
    <w:rsid w:val="00F126DA"/>
    <w:rsid w:val="00F127E3"/>
    <w:rsid w:val="00F12820"/>
    <w:rsid w:val="00F12926"/>
    <w:rsid w:val="00F12975"/>
    <w:rsid w:val="00F12A3A"/>
    <w:rsid w:val="00F12AAF"/>
    <w:rsid w:val="00F12B1F"/>
    <w:rsid w:val="00F12B67"/>
    <w:rsid w:val="00F12C66"/>
    <w:rsid w:val="00F12CA2"/>
    <w:rsid w:val="00F12CAA"/>
    <w:rsid w:val="00F12D57"/>
    <w:rsid w:val="00F12DF2"/>
    <w:rsid w:val="00F12E0E"/>
    <w:rsid w:val="00F12ED9"/>
    <w:rsid w:val="00F12EDF"/>
    <w:rsid w:val="00F131A6"/>
    <w:rsid w:val="00F1325B"/>
    <w:rsid w:val="00F13491"/>
    <w:rsid w:val="00F1364D"/>
    <w:rsid w:val="00F136B5"/>
    <w:rsid w:val="00F136B9"/>
    <w:rsid w:val="00F1370A"/>
    <w:rsid w:val="00F13714"/>
    <w:rsid w:val="00F1373D"/>
    <w:rsid w:val="00F13796"/>
    <w:rsid w:val="00F137A1"/>
    <w:rsid w:val="00F139EF"/>
    <w:rsid w:val="00F13A12"/>
    <w:rsid w:val="00F13A50"/>
    <w:rsid w:val="00F13A8F"/>
    <w:rsid w:val="00F13AB9"/>
    <w:rsid w:val="00F13C52"/>
    <w:rsid w:val="00F13D9F"/>
    <w:rsid w:val="00F13ED1"/>
    <w:rsid w:val="00F14127"/>
    <w:rsid w:val="00F14139"/>
    <w:rsid w:val="00F141A1"/>
    <w:rsid w:val="00F141D0"/>
    <w:rsid w:val="00F14256"/>
    <w:rsid w:val="00F142A3"/>
    <w:rsid w:val="00F14306"/>
    <w:rsid w:val="00F14472"/>
    <w:rsid w:val="00F144AA"/>
    <w:rsid w:val="00F14513"/>
    <w:rsid w:val="00F148BB"/>
    <w:rsid w:val="00F148EA"/>
    <w:rsid w:val="00F14966"/>
    <w:rsid w:val="00F14AE2"/>
    <w:rsid w:val="00F14B45"/>
    <w:rsid w:val="00F14C33"/>
    <w:rsid w:val="00F14D16"/>
    <w:rsid w:val="00F14D91"/>
    <w:rsid w:val="00F14D9D"/>
    <w:rsid w:val="00F14F50"/>
    <w:rsid w:val="00F14FC1"/>
    <w:rsid w:val="00F14FD7"/>
    <w:rsid w:val="00F14FE2"/>
    <w:rsid w:val="00F15069"/>
    <w:rsid w:val="00F152A9"/>
    <w:rsid w:val="00F152C1"/>
    <w:rsid w:val="00F15385"/>
    <w:rsid w:val="00F15434"/>
    <w:rsid w:val="00F15510"/>
    <w:rsid w:val="00F155AD"/>
    <w:rsid w:val="00F15667"/>
    <w:rsid w:val="00F15692"/>
    <w:rsid w:val="00F156F1"/>
    <w:rsid w:val="00F1580C"/>
    <w:rsid w:val="00F15B1A"/>
    <w:rsid w:val="00F15B64"/>
    <w:rsid w:val="00F15BFB"/>
    <w:rsid w:val="00F15C7C"/>
    <w:rsid w:val="00F15DF7"/>
    <w:rsid w:val="00F15E1B"/>
    <w:rsid w:val="00F15E7E"/>
    <w:rsid w:val="00F15FE3"/>
    <w:rsid w:val="00F160A7"/>
    <w:rsid w:val="00F160F1"/>
    <w:rsid w:val="00F1610C"/>
    <w:rsid w:val="00F16123"/>
    <w:rsid w:val="00F16176"/>
    <w:rsid w:val="00F161AB"/>
    <w:rsid w:val="00F161B2"/>
    <w:rsid w:val="00F162A9"/>
    <w:rsid w:val="00F16421"/>
    <w:rsid w:val="00F16522"/>
    <w:rsid w:val="00F1653F"/>
    <w:rsid w:val="00F167CB"/>
    <w:rsid w:val="00F16819"/>
    <w:rsid w:val="00F168AD"/>
    <w:rsid w:val="00F168F4"/>
    <w:rsid w:val="00F16B93"/>
    <w:rsid w:val="00F16F1B"/>
    <w:rsid w:val="00F16FEC"/>
    <w:rsid w:val="00F1705B"/>
    <w:rsid w:val="00F170A9"/>
    <w:rsid w:val="00F171A9"/>
    <w:rsid w:val="00F17280"/>
    <w:rsid w:val="00F1735B"/>
    <w:rsid w:val="00F1747F"/>
    <w:rsid w:val="00F174E5"/>
    <w:rsid w:val="00F17516"/>
    <w:rsid w:val="00F17700"/>
    <w:rsid w:val="00F1773A"/>
    <w:rsid w:val="00F17871"/>
    <w:rsid w:val="00F17A44"/>
    <w:rsid w:val="00F17A6B"/>
    <w:rsid w:val="00F17BF0"/>
    <w:rsid w:val="00F17C4E"/>
    <w:rsid w:val="00F17CD6"/>
    <w:rsid w:val="00F17DB4"/>
    <w:rsid w:val="00F17F67"/>
    <w:rsid w:val="00F17F6E"/>
    <w:rsid w:val="00F200CA"/>
    <w:rsid w:val="00F2016A"/>
    <w:rsid w:val="00F201D9"/>
    <w:rsid w:val="00F2035A"/>
    <w:rsid w:val="00F2040A"/>
    <w:rsid w:val="00F20428"/>
    <w:rsid w:val="00F205D2"/>
    <w:rsid w:val="00F206F7"/>
    <w:rsid w:val="00F20833"/>
    <w:rsid w:val="00F209F5"/>
    <w:rsid w:val="00F20BD6"/>
    <w:rsid w:val="00F20C6D"/>
    <w:rsid w:val="00F20CC6"/>
    <w:rsid w:val="00F20E26"/>
    <w:rsid w:val="00F21118"/>
    <w:rsid w:val="00F211F9"/>
    <w:rsid w:val="00F212A7"/>
    <w:rsid w:val="00F212D9"/>
    <w:rsid w:val="00F2133B"/>
    <w:rsid w:val="00F21387"/>
    <w:rsid w:val="00F213EF"/>
    <w:rsid w:val="00F21407"/>
    <w:rsid w:val="00F21620"/>
    <w:rsid w:val="00F216BF"/>
    <w:rsid w:val="00F217A8"/>
    <w:rsid w:val="00F2183C"/>
    <w:rsid w:val="00F2183D"/>
    <w:rsid w:val="00F219A9"/>
    <w:rsid w:val="00F21A17"/>
    <w:rsid w:val="00F21A5F"/>
    <w:rsid w:val="00F21C1B"/>
    <w:rsid w:val="00F21C84"/>
    <w:rsid w:val="00F21E1C"/>
    <w:rsid w:val="00F21F0E"/>
    <w:rsid w:val="00F21FF2"/>
    <w:rsid w:val="00F221B7"/>
    <w:rsid w:val="00F22450"/>
    <w:rsid w:val="00F225E7"/>
    <w:rsid w:val="00F22744"/>
    <w:rsid w:val="00F227F2"/>
    <w:rsid w:val="00F2283D"/>
    <w:rsid w:val="00F228EC"/>
    <w:rsid w:val="00F229B7"/>
    <w:rsid w:val="00F229D1"/>
    <w:rsid w:val="00F22D1A"/>
    <w:rsid w:val="00F22E86"/>
    <w:rsid w:val="00F22F86"/>
    <w:rsid w:val="00F22FE2"/>
    <w:rsid w:val="00F22FFB"/>
    <w:rsid w:val="00F231A5"/>
    <w:rsid w:val="00F231FD"/>
    <w:rsid w:val="00F23231"/>
    <w:rsid w:val="00F23247"/>
    <w:rsid w:val="00F233AF"/>
    <w:rsid w:val="00F234B2"/>
    <w:rsid w:val="00F234BD"/>
    <w:rsid w:val="00F2369B"/>
    <w:rsid w:val="00F236AB"/>
    <w:rsid w:val="00F238C7"/>
    <w:rsid w:val="00F23A62"/>
    <w:rsid w:val="00F23A68"/>
    <w:rsid w:val="00F23A87"/>
    <w:rsid w:val="00F23AA1"/>
    <w:rsid w:val="00F23AAD"/>
    <w:rsid w:val="00F23B5D"/>
    <w:rsid w:val="00F23D23"/>
    <w:rsid w:val="00F23DC2"/>
    <w:rsid w:val="00F23EBD"/>
    <w:rsid w:val="00F23FD5"/>
    <w:rsid w:val="00F24055"/>
    <w:rsid w:val="00F240BF"/>
    <w:rsid w:val="00F24206"/>
    <w:rsid w:val="00F24283"/>
    <w:rsid w:val="00F243CE"/>
    <w:rsid w:val="00F24443"/>
    <w:rsid w:val="00F245C2"/>
    <w:rsid w:val="00F246A9"/>
    <w:rsid w:val="00F246E9"/>
    <w:rsid w:val="00F247D1"/>
    <w:rsid w:val="00F24A1D"/>
    <w:rsid w:val="00F24B3F"/>
    <w:rsid w:val="00F24B74"/>
    <w:rsid w:val="00F24BC8"/>
    <w:rsid w:val="00F24CAC"/>
    <w:rsid w:val="00F24D22"/>
    <w:rsid w:val="00F24DEA"/>
    <w:rsid w:val="00F24F2B"/>
    <w:rsid w:val="00F250A9"/>
    <w:rsid w:val="00F25272"/>
    <w:rsid w:val="00F252B6"/>
    <w:rsid w:val="00F2543B"/>
    <w:rsid w:val="00F255FC"/>
    <w:rsid w:val="00F25616"/>
    <w:rsid w:val="00F2564E"/>
    <w:rsid w:val="00F258C2"/>
    <w:rsid w:val="00F25C78"/>
    <w:rsid w:val="00F25D05"/>
    <w:rsid w:val="00F25DFA"/>
    <w:rsid w:val="00F25E3E"/>
    <w:rsid w:val="00F25E54"/>
    <w:rsid w:val="00F25EEE"/>
    <w:rsid w:val="00F25F06"/>
    <w:rsid w:val="00F25F2F"/>
    <w:rsid w:val="00F260E5"/>
    <w:rsid w:val="00F260E8"/>
    <w:rsid w:val="00F2615B"/>
    <w:rsid w:val="00F261BE"/>
    <w:rsid w:val="00F261DC"/>
    <w:rsid w:val="00F2623F"/>
    <w:rsid w:val="00F262C2"/>
    <w:rsid w:val="00F263B2"/>
    <w:rsid w:val="00F263D0"/>
    <w:rsid w:val="00F2657B"/>
    <w:rsid w:val="00F266EA"/>
    <w:rsid w:val="00F2671F"/>
    <w:rsid w:val="00F267AF"/>
    <w:rsid w:val="00F26A64"/>
    <w:rsid w:val="00F26A75"/>
    <w:rsid w:val="00F26B1C"/>
    <w:rsid w:val="00F26B95"/>
    <w:rsid w:val="00F26BA6"/>
    <w:rsid w:val="00F26C26"/>
    <w:rsid w:val="00F26C8A"/>
    <w:rsid w:val="00F26D03"/>
    <w:rsid w:val="00F26DDF"/>
    <w:rsid w:val="00F26E8B"/>
    <w:rsid w:val="00F26F50"/>
    <w:rsid w:val="00F26FE8"/>
    <w:rsid w:val="00F27005"/>
    <w:rsid w:val="00F2701C"/>
    <w:rsid w:val="00F27061"/>
    <w:rsid w:val="00F27067"/>
    <w:rsid w:val="00F27280"/>
    <w:rsid w:val="00F27447"/>
    <w:rsid w:val="00F274D6"/>
    <w:rsid w:val="00F2780B"/>
    <w:rsid w:val="00F27A79"/>
    <w:rsid w:val="00F27AE3"/>
    <w:rsid w:val="00F27B4D"/>
    <w:rsid w:val="00F27CB5"/>
    <w:rsid w:val="00F27D61"/>
    <w:rsid w:val="00F27E35"/>
    <w:rsid w:val="00F27F30"/>
    <w:rsid w:val="00F27F3B"/>
    <w:rsid w:val="00F27F43"/>
    <w:rsid w:val="00F30171"/>
    <w:rsid w:val="00F30206"/>
    <w:rsid w:val="00F30364"/>
    <w:rsid w:val="00F304B9"/>
    <w:rsid w:val="00F30653"/>
    <w:rsid w:val="00F3076E"/>
    <w:rsid w:val="00F307B7"/>
    <w:rsid w:val="00F3097E"/>
    <w:rsid w:val="00F309B6"/>
    <w:rsid w:val="00F309D4"/>
    <w:rsid w:val="00F30A61"/>
    <w:rsid w:val="00F30BE3"/>
    <w:rsid w:val="00F30C3C"/>
    <w:rsid w:val="00F30C49"/>
    <w:rsid w:val="00F30F5E"/>
    <w:rsid w:val="00F30F9E"/>
    <w:rsid w:val="00F30FF4"/>
    <w:rsid w:val="00F31048"/>
    <w:rsid w:val="00F310C7"/>
    <w:rsid w:val="00F310FC"/>
    <w:rsid w:val="00F31117"/>
    <w:rsid w:val="00F3122E"/>
    <w:rsid w:val="00F31294"/>
    <w:rsid w:val="00F3132F"/>
    <w:rsid w:val="00F313C2"/>
    <w:rsid w:val="00F313C6"/>
    <w:rsid w:val="00F313F7"/>
    <w:rsid w:val="00F31466"/>
    <w:rsid w:val="00F314B8"/>
    <w:rsid w:val="00F31641"/>
    <w:rsid w:val="00F316DC"/>
    <w:rsid w:val="00F316E5"/>
    <w:rsid w:val="00F31762"/>
    <w:rsid w:val="00F31868"/>
    <w:rsid w:val="00F3198B"/>
    <w:rsid w:val="00F319FF"/>
    <w:rsid w:val="00F31A55"/>
    <w:rsid w:val="00F31C0A"/>
    <w:rsid w:val="00F31C15"/>
    <w:rsid w:val="00F31DC2"/>
    <w:rsid w:val="00F31E60"/>
    <w:rsid w:val="00F31F0F"/>
    <w:rsid w:val="00F31F56"/>
    <w:rsid w:val="00F31FA4"/>
    <w:rsid w:val="00F32013"/>
    <w:rsid w:val="00F32072"/>
    <w:rsid w:val="00F3208A"/>
    <w:rsid w:val="00F320E4"/>
    <w:rsid w:val="00F3214F"/>
    <w:rsid w:val="00F32368"/>
    <w:rsid w:val="00F3285D"/>
    <w:rsid w:val="00F3286C"/>
    <w:rsid w:val="00F328D9"/>
    <w:rsid w:val="00F3293C"/>
    <w:rsid w:val="00F329A8"/>
    <w:rsid w:val="00F32A60"/>
    <w:rsid w:val="00F32ADC"/>
    <w:rsid w:val="00F32CC5"/>
    <w:rsid w:val="00F32F08"/>
    <w:rsid w:val="00F32FF2"/>
    <w:rsid w:val="00F33098"/>
    <w:rsid w:val="00F3315D"/>
    <w:rsid w:val="00F331AD"/>
    <w:rsid w:val="00F331AE"/>
    <w:rsid w:val="00F33317"/>
    <w:rsid w:val="00F333C3"/>
    <w:rsid w:val="00F333E5"/>
    <w:rsid w:val="00F33405"/>
    <w:rsid w:val="00F33506"/>
    <w:rsid w:val="00F33551"/>
    <w:rsid w:val="00F33567"/>
    <w:rsid w:val="00F33578"/>
    <w:rsid w:val="00F33630"/>
    <w:rsid w:val="00F33723"/>
    <w:rsid w:val="00F33822"/>
    <w:rsid w:val="00F33BA1"/>
    <w:rsid w:val="00F33C16"/>
    <w:rsid w:val="00F33C55"/>
    <w:rsid w:val="00F33D3B"/>
    <w:rsid w:val="00F33D3C"/>
    <w:rsid w:val="00F33EB2"/>
    <w:rsid w:val="00F33F79"/>
    <w:rsid w:val="00F33FEB"/>
    <w:rsid w:val="00F3419F"/>
    <w:rsid w:val="00F3422F"/>
    <w:rsid w:val="00F34308"/>
    <w:rsid w:val="00F34522"/>
    <w:rsid w:val="00F34523"/>
    <w:rsid w:val="00F346F6"/>
    <w:rsid w:val="00F3474D"/>
    <w:rsid w:val="00F347A2"/>
    <w:rsid w:val="00F348E2"/>
    <w:rsid w:val="00F349F9"/>
    <w:rsid w:val="00F34A44"/>
    <w:rsid w:val="00F34B27"/>
    <w:rsid w:val="00F34B82"/>
    <w:rsid w:val="00F34B9B"/>
    <w:rsid w:val="00F34BA1"/>
    <w:rsid w:val="00F34D87"/>
    <w:rsid w:val="00F35076"/>
    <w:rsid w:val="00F35077"/>
    <w:rsid w:val="00F35287"/>
    <w:rsid w:val="00F35309"/>
    <w:rsid w:val="00F354B6"/>
    <w:rsid w:val="00F35645"/>
    <w:rsid w:val="00F35666"/>
    <w:rsid w:val="00F3572D"/>
    <w:rsid w:val="00F357CA"/>
    <w:rsid w:val="00F359C4"/>
    <w:rsid w:val="00F35A28"/>
    <w:rsid w:val="00F35AB9"/>
    <w:rsid w:val="00F35ACE"/>
    <w:rsid w:val="00F35BA0"/>
    <w:rsid w:val="00F35C10"/>
    <w:rsid w:val="00F35ED6"/>
    <w:rsid w:val="00F35F02"/>
    <w:rsid w:val="00F35F40"/>
    <w:rsid w:val="00F35FE8"/>
    <w:rsid w:val="00F36076"/>
    <w:rsid w:val="00F360F9"/>
    <w:rsid w:val="00F36190"/>
    <w:rsid w:val="00F3623C"/>
    <w:rsid w:val="00F3624D"/>
    <w:rsid w:val="00F3626A"/>
    <w:rsid w:val="00F363FB"/>
    <w:rsid w:val="00F363FE"/>
    <w:rsid w:val="00F3659D"/>
    <w:rsid w:val="00F365A5"/>
    <w:rsid w:val="00F3664F"/>
    <w:rsid w:val="00F366A7"/>
    <w:rsid w:val="00F3671A"/>
    <w:rsid w:val="00F367B4"/>
    <w:rsid w:val="00F367DC"/>
    <w:rsid w:val="00F367E6"/>
    <w:rsid w:val="00F368F3"/>
    <w:rsid w:val="00F369B0"/>
    <w:rsid w:val="00F36D01"/>
    <w:rsid w:val="00F36D88"/>
    <w:rsid w:val="00F36D8E"/>
    <w:rsid w:val="00F36E23"/>
    <w:rsid w:val="00F36E78"/>
    <w:rsid w:val="00F36FA1"/>
    <w:rsid w:val="00F37014"/>
    <w:rsid w:val="00F37055"/>
    <w:rsid w:val="00F370AD"/>
    <w:rsid w:val="00F37171"/>
    <w:rsid w:val="00F3771C"/>
    <w:rsid w:val="00F377CE"/>
    <w:rsid w:val="00F3784A"/>
    <w:rsid w:val="00F37B03"/>
    <w:rsid w:val="00F37B6C"/>
    <w:rsid w:val="00F37BF6"/>
    <w:rsid w:val="00F37C01"/>
    <w:rsid w:val="00F37C7D"/>
    <w:rsid w:val="00F37DE8"/>
    <w:rsid w:val="00F37E4A"/>
    <w:rsid w:val="00F37F8C"/>
    <w:rsid w:val="00F40078"/>
    <w:rsid w:val="00F40236"/>
    <w:rsid w:val="00F40250"/>
    <w:rsid w:val="00F40325"/>
    <w:rsid w:val="00F40404"/>
    <w:rsid w:val="00F40454"/>
    <w:rsid w:val="00F40467"/>
    <w:rsid w:val="00F404F3"/>
    <w:rsid w:val="00F40514"/>
    <w:rsid w:val="00F405A1"/>
    <w:rsid w:val="00F405D0"/>
    <w:rsid w:val="00F40700"/>
    <w:rsid w:val="00F40715"/>
    <w:rsid w:val="00F4091C"/>
    <w:rsid w:val="00F4093B"/>
    <w:rsid w:val="00F40999"/>
    <w:rsid w:val="00F409E1"/>
    <w:rsid w:val="00F40A70"/>
    <w:rsid w:val="00F40C63"/>
    <w:rsid w:val="00F40D36"/>
    <w:rsid w:val="00F40D39"/>
    <w:rsid w:val="00F40E34"/>
    <w:rsid w:val="00F40EC9"/>
    <w:rsid w:val="00F40EDE"/>
    <w:rsid w:val="00F4101A"/>
    <w:rsid w:val="00F4108F"/>
    <w:rsid w:val="00F4118E"/>
    <w:rsid w:val="00F411C0"/>
    <w:rsid w:val="00F41302"/>
    <w:rsid w:val="00F41335"/>
    <w:rsid w:val="00F41336"/>
    <w:rsid w:val="00F4144E"/>
    <w:rsid w:val="00F41475"/>
    <w:rsid w:val="00F414CD"/>
    <w:rsid w:val="00F41629"/>
    <w:rsid w:val="00F41806"/>
    <w:rsid w:val="00F4188D"/>
    <w:rsid w:val="00F41914"/>
    <w:rsid w:val="00F41CC7"/>
    <w:rsid w:val="00F41E3E"/>
    <w:rsid w:val="00F41EAE"/>
    <w:rsid w:val="00F42113"/>
    <w:rsid w:val="00F4212E"/>
    <w:rsid w:val="00F42145"/>
    <w:rsid w:val="00F421D7"/>
    <w:rsid w:val="00F422E8"/>
    <w:rsid w:val="00F42453"/>
    <w:rsid w:val="00F42523"/>
    <w:rsid w:val="00F42701"/>
    <w:rsid w:val="00F42795"/>
    <w:rsid w:val="00F427E0"/>
    <w:rsid w:val="00F42836"/>
    <w:rsid w:val="00F4292B"/>
    <w:rsid w:val="00F4294A"/>
    <w:rsid w:val="00F42980"/>
    <w:rsid w:val="00F429F2"/>
    <w:rsid w:val="00F42C0F"/>
    <w:rsid w:val="00F42C1D"/>
    <w:rsid w:val="00F42D1C"/>
    <w:rsid w:val="00F42D9B"/>
    <w:rsid w:val="00F42E46"/>
    <w:rsid w:val="00F42E5B"/>
    <w:rsid w:val="00F42E6A"/>
    <w:rsid w:val="00F42EE2"/>
    <w:rsid w:val="00F42EF6"/>
    <w:rsid w:val="00F42F34"/>
    <w:rsid w:val="00F42F80"/>
    <w:rsid w:val="00F43035"/>
    <w:rsid w:val="00F43108"/>
    <w:rsid w:val="00F4343C"/>
    <w:rsid w:val="00F43486"/>
    <w:rsid w:val="00F434B2"/>
    <w:rsid w:val="00F43546"/>
    <w:rsid w:val="00F436E9"/>
    <w:rsid w:val="00F43977"/>
    <w:rsid w:val="00F43A19"/>
    <w:rsid w:val="00F43A37"/>
    <w:rsid w:val="00F43B0C"/>
    <w:rsid w:val="00F43D5D"/>
    <w:rsid w:val="00F43DBC"/>
    <w:rsid w:val="00F43EDD"/>
    <w:rsid w:val="00F43F0C"/>
    <w:rsid w:val="00F43FB3"/>
    <w:rsid w:val="00F43FFA"/>
    <w:rsid w:val="00F44093"/>
    <w:rsid w:val="00F441F1"/>
    <w:rsid w:val="00F4428A"/>
    <w:rsid w:val="00F442B3"/>
    <w:rsid w:val="00F4441D"/>
    <w:rsid w:val="00F44444"/>
    <w:rsid w:val="00F444D7"/>
    <w:rsid w:val="00F44546"/>
    <w:rsid w:val="00F448E5"/>
    <w:rsid w:val="00F44905"/>
    <w:rsid w:val="00F44917"/>
    <w:rsid w:val="00F44C9A"/>
    <w:rsid w:val="00F44CC9"/>
    <w:rsid w:val="00F44D92"/>
    <w:rsid w:val="00F44E45"/>
    <w:rsid w:val="00F44EAF"/>
    <w:rsid w:val="00F44FC1"/>
    <w:rsid w:val="00F4525A"/>
    <w:rsid w:val="00F452E6"/>
    <w:rsid w:val="00F453A8"/>
    <w:rsid w:val="00F453B1"/>
    <w:rsid w:val="00F453C0"/>
    <w:rsid w:val="00F454F2"/>
    <w:rsid w:val="00F456A3"/>
    <w:rsid w:val="00F4570A"/>
    <w:rsid w:val="00F45792"/>
    <w:rsid w:val="00F4579E"/>
    <w:rsid w:val="00F457E4"/>
    <w:rsid w:val="00F45813"/>
    <w:rsid w:val="00F4583D"/>
    <w:rsid w:val="00F45852"/>
    <w:rsid w:val="00F4591E"/>
    <w:rsid w:val="00F45A12"/>
    <w:rsid w:val="00F45EA3"/>
    <w:rsid w:val="00F45F47"/>
    <w:rsid w:val="00F45F4C"/>
    <w:rsid w:val="00F45F56"/>
    <w:rsid w:val="00F45F77"/>
    <w:rsid w:val="00F45F9C"/>
    <w:rsid w:val="00F4608F"/>
    <w:rsid w:val="00F460B4"/>
    <w:rsid w:val="00F461A3"/>
    <w:rsid w:val="00F46285"/>
    <w:rsid w:val="00F4641B"/>
    <w:rsid w:val="00F46560"/>
    <w:rsid w:val="00F465B0"/>
    <w:rsid w:val="00F465BC"/>
    <w:rsid w:val="00F465C2"/>
    <w:rsid w:val="00F466EF"/>
    <w:rsid w:val="00F4679D"/>
    <w:rsid w:val="00F467F9"/>
    <w:rsid w:val="00F468BC"/>
    <w:rsid w:val="00F46961"/>
    <w:rsid w:val="00F469F6"/>
    <w:rsid w:val="00F46BBB"/>
    <w:rsid w:val="00F46C0C"/>
    <w:rsid w:val="00F46C32"/>
    <w:rsid w:val="00F46C54"/>
    <w:rsid w:val="00F46C66"/>
    <w:rsid w:val="00F46EB8"/>
    <w:rsid w:val="00F46F0B"/>
    <w:rsid w:val="00F47044"/>
    <w:rsid w:val="00F47146"/>
    <w:rsid w:val="00F471B4"/>
    <w:rsid w:val="00F4724D"/>
    <w:rsid w:val="00F47468"/>
    <w:rsid w:val="00F47472"/>
    <w:rsid w:val="00F4759B"/>
    <w:rsid w:val="00F47674"/>
    <w:rsid w:val="00F4781B"/>
    <w:rsid w:val="00F47844"/>
    <w:rsid w:val="00F478AA"/>
    <w:rsid w:val="00F47AF3"/>
    <w:rsid w:val="00F47C5B"/>
    <w:rsid w:val="00F47D9F"/>
    <w:rsid w:val="00F47E75"/>
    <w:rsid w:val="00F501CB"/>
    <w:rsid w:val="00F5030C"/>
    <w:rsid w:val="00F504A2"/>
    <w:rsid w:val="00F50654"/>
    <w:rsid w:val="00F50663"/>
    <w:rsid w:val="00F5068E"/>
    <w:rsid w:val="00F506EB"/>
    <w:rsid w:val="00F5092A"/>
    <w:rsid w:val="00F5094B"/>
    <w:rsid w:val="00F50A6F"/>
    <w:rsid w:val="00F50AA3"/>
    <w:rsid w:val="00F50BBE"/>
    <w:rsid w:val="00F50CAF"/>
    <w:rsid w:val="00F50CD1"/>
    <w:rsid w:val="00F50EE1"/>
    <w:rsid w:val="00F50F58"/>
    <w:rsid w:val="00F50F90"/>
    <w:rsid w:val="00F51089"/>
    <w:rsid w:val="00F5108C"/>
    <w:rsid w:val="00F5108E"/>
    <w:rsid w:val="00F511AE"/>
    <w:rsid w:val="00F511E4"/>
    <w:rsid w:val="00F51237"/>
    <w:rsid w:val="00F512B8"/>
    <w:rsid w:val="00F512CA"/>
    <w:rsid w:val="00F5134E"/>
    <w:rsid w:val="00F513FE"/>
    <w:rsid w:val="00F517C5"/>
    <w:rsid w:val="00F51825"/>
    <w:rsid w:val="00F518DE"/>
    <w:rsid w:val="00F51932"/>
    <w:rsid w:val="00F519BE"/>
    <w:rsid w:val="00F51A5B"/>
    <w:rsid w:val="00F51A91"/>
    <w:rsid w:val="00F51AFF"/>
    <w:rsid w:val="00F51B95"/>
    <w:rsid w:val="00F51CF1"/>
    <w:rsid w:val="00F51D33"/>
    <w:rsid w:val="00F51E54"/>
    <w:rsid w:val="00F51F25"/>
    <w:rsid w:val="00F51F93"/>
    <w:rsid w:val="00F51FBF"/>
    <w:rsid w:val="00F52005"/>
    <w:rsid w:val="00F52021"/>
    <w:rsid w:val="00F52103"/>
    <w:rsid w:val="00F5212A"/>
    <w:rsid w:val="00F52440"/>
    <w:rsid w:val="00F5250D"/>
    <w:rsid w:val="00F527B7"/>
    <w:rsid w:val="00F52810"/>
    <w:rsid w:val="00F5287A"/>
    <w:rsid w:val="00F52889"/>
    <w:rsid w:val="00F528B6"/>
    <w:rsid w:val="00F528E0"/>
    <w:rsid w:val="00F52AA4"/>
    <w:rsid w:val="00F52B31"/>
    <w:rsid w:val="00F52B8A"/>
    <w:rsid w:val="00F52BAA"/>
    <w:rsid w:val="00F52C1E"/>
    <w:rsid w:val="00F52C8D"/>
    <w:rsid w:val="00F52D09"/>
    <w:rsid w:val="00F52E08"/>
    <w:rsid w:val="00F52E54"/>
    <w:rsid w:val="00F53007"/>
    <w:rsid w:val="00F53102"/>
    <w:rsid w:val="00F532DB"/>
    <w:rsid w:val="00F53475"/>
    <w:rsid w:val="00F53516"/>
    <w:rsid w:val="00F535F3"/>
    <w:rsid w:val="00F53627"/>
    <w:rsid w:val="00F53858"/>
    <w:rsid w:val="00F539F2"/>
    <w:rsid w:val="00F53A66"/>
    <w:rsid w:val="00F53C29"/>
    <w:rsid w:val="00F53D19"/>
    <w:rsid w:val="00F53DDF"/>
    <w:rsid w:val="00F53E31"/>
    <w:rsid w:val="00F53FBA"/>
    <w:rsid w:val="00F53FD5"/>
    <w:rsid w:val="00F54121"/>
    <w:rsid w:val="00F54270"/>
    <w:rsid w:val="00F54330"/>
    <w:rsid w:val="00F5440D"/>
    <w:rsid w:val="00F54479"/>
    <w:rsid w:val="00F545F5"/>
    <w:rsid w:val="00F5462D"/>
    <w:rsid w:val="00F54662"/>
    <w:rsid w:val="00F5477D"/>
    <w:rsid w:val="00F547D8"/>
    <w:rsid w:val="00F54805"/>
    <w:rsid w:val="00F5485A"/>
    <w:rsid w:val="00F54AEB"/>
    <w:rsid w:val="00F553C0"/>
    <w:rsid w:val="00F553D5"/>
    <w:rsid w:val="00F5547B"/>
    <w:rsid w:val="00F55537"/>
    <w:rsid w:val="00F555F8"/>
    <w:rsid w:val="00F55674"/>
    <w:rsid w:val="00F55734"/>
    <w:rsid w:val="00F55780"/>
    <w:rsid w:val="00F557F9"/>
    <w:rsid w:val="00F5589A"/>
    <w:rsid w:val="00F5591F"/>
    <w:rsid w:val="00F55B21"/>
    <w:rsid w:val="00F55B7C"/>
    <w:rsid w:val="00F55B9E"/>
    <w:rsid w:val="00F55C31"/>
    <w:rsid w:val="00F55F7D"/>
    <w:rsid w:val="00F55FB3"/>
    <w:rsid w:val="00F55FD7"/>
    <w:rsid w:val="00F56170"/>
    <w:rsid w:val="00F56193"/>
    <w:rsid w:val="00F562CB"/>
    <w:rsid w:val="00F562D8"/>
    <w:rsid w:val="00F56355"/>
    <w:rsid w:val="00F5665F"/>
    <w:rsid w:val="00F566EE"/>
    <w:rsid w:val="00F56799"/>
    <w:rsid w:val="00F568F4"/>
    <w:rsid w:val="00F569C4"/>
    <w:rsid w:val="00F569ED"/>
    <w:rsid w:val="00F56A24"/>
    <w:rsid w:val="00F56B78"/>
    <w:rsid w:val="00F56B7B"/>
    <w:rsid w:val="00F56EF6"/>
    <w:rsid w:val="00F56F84"/>
    <w:rsid w:val="00F570FB"/>
    <w:rsid w:val="00F57241"/>
    <w:rsid w:val="00F57259"/>
    <w:rsid w:val="00F5733B"/>
    <w:rsid w:val="00F5742F"/>
    <w:rsid w:val="00F57521"/>
    <w:rsid w:val="00F57550"/>
    <w:rsid w:val="00F57634"/>
    <w:rsid w:val="00F57673"/>
    <w:rsid w:val="00F5777E"/>
    <w:rsid w:val="00F578C0"/>
    <w:rsid w:val="00F57BD0"/>
    <w:rsid w:val="00F57CBF"/>
    <w:rsid w:val="00F57E73"/>
    <w:rsid w:val="00F57F58"/>
    <w:rsid w:val="00F60056"/>
    <w:rsid w:val="00F60082"/>
    <w:rsid w:val="00F600AD"/>
    <w:rsid w:val="00F601C0"/>
    <w:rsid w:val="00F60307"/>
    <w:rsid w:val="00F6032D"/>
    <w:rsid w:val="00F60498"/>
    <w:rsid w:val="00F604D9"/>
    <w:rsid w:val="00F6085C"/>
    <w:rsid w:val="00F6096B"/>
    <w:rsid w:val="00F609EB"/>
    <w:rsid w:val="00F60A42"/>
    <w:rsid w:val="00F60B4E"/>
    <w:rsid w:val="00F6103D"/>
    <w:rsid w:val="00F6108D"/>
    <w:rsid w:val="00F6113D"/>
    <w:rsid w:val="00F6115C"/>
    <w:rsid w:val="00F6130E"/>
    <w:rsid w:val="00F61330"/>
    <w:rsid w:val="00F61365"/>
    <w:rsid w:val="00F6145D"/>
    <w:rsid w:val="00F6153D"/>
    <w:rsid w:val="00F61615"/>
    <w:rsid w:val="00F616BD"/>
    <w:rsid w:val="00F616C9"/>
    <w:rsid w:val="00F617D7"/>
    <w:rsid w:val="00F618AA"/>
    <w:rsid w:val="00F61A15"/>
    <w:rsid w:val="00F61A9F"/>
    <w:rsid w:val="00F61B5F"/>
    <w:rsid w:val="00F61DF9"/>
    <w:rsid w:val="00F61E06"/>
    <w:rsid w:val="00F61E8C"/>
    <w:rsid w:val="00F61EB4"/>
    <w:rsid w:val="00F61F2B"/>
    <w:rsid w:val="00F62074"/>
    <w:rsid w:val="00F6208B"/>
    <w:rsid w:val="00F622D6"/>
    <w:rsid w:val="00F62519"/>
    <w:rsid w:val="00F6252A"/>
    <w:rsid w:val="00F6257B"/>
    <w:rsid w:val="00F62667"/>
    <w:rsid w:val="00F62686"/>
    <w:rsid w:val="00F626F6"/>
    <w:rsid w:val="00F6272B"/>
    <w:rsid w:val="00F6274D"/>
    <w:rsid w:val="00F62C81"/>
    <w:rsid w:val="00F62C9B"/>
    <w:rsid w:val="00F62D80"/>
    <w:rsid w:val="00F62E29"/>
    <w:rsid w:val="00F62E76"/>
    <w:rsid w:val="00F630FE"/>
    <w:rsid w:val="00F6315E"/>
    <w:rsid w:val="00F63165"/>
    <w:rsid w:val="00F631E2"/>
    <w:rsid w:val="00F63369"/>
    <w:rsid w:val="00F634AD"/>
    <w:rsid w:val="00F63510"/>
    <w:rsid w:val="00F635A3"/>
    <w:rsid w:val="00F6362C"/>
    <w:rsid w:val="00F637EB"/>
    <w:rsid w:val="00F6384D"/>
    <w:rsid w:val="00F63858"/>
    <w:rsid w:val="00F6394D"/>
    <w:rsid w:val="00F639C3"/>
    <w:rsid w:val="00F63A09"/>
    <w:rsid w:val="00F63A15"/>
    <w:rsid w:val="00F63C67"/>
    <w:rsid w:val="00F63E4B"/>
    <w:rsid w:val="00F63FAB"/>
    <w:rsid w:val="00F6403D"/>
    <w:rsid w:val="00F641EB"/>
    <w:rsid w:val="00F64219"/>
    <w:rsid w:val="00F6428A"/>
    <w:rsid w:val="00F64318"/>
    <w:rsid w:val="00F644CB"/>
    <w:rsid w:val="00F6465A"/>
    <w:rsid w:val="00F64696"/>
    <w:rsid w:val="00F64722"/>
    <w:rsid w:val="00F64830"/>
    <w:rsid w:val="00F6486E"/>
    <w:rsid w:val="00F648DC"/>
    <w:rsid w:val="00F6490B"/>
    <w:rsid w:val="00F64916"/>
    <w:rsid w:val="00F64956"/>
    <w:rsid w:val="00F649AC"/>
    <w:rsid w:val="00F649DC"/>
    <w:rsid w:val="00F64A54"/>
    <w:rsid w:val="00F64B09"/>
    <w:rsid w:val="00F64B50"/>
    <w:rsid w:val="00F64B96"/>
    <w:rsid w:val="00F64C2B"/>
    <w:rsid w:val="00F64C69"/>
    <w:rsid w:val="00F64CAB"/>
    <w:rsid w:val="00F64CB3"/>
    <w:rsid w:val="00F64CE2"/>
    <w:rsid w:val="00F64D2A"/>
    <w:rsid w:val="00F64D49"/>
    <w:rsid w:val="00F64F49"/>
    <w:rsid w:val="00F64F63"/>
    <w:rsid w:val="00F64FF0"/>
    <w:rsid w:val="00F6525B"/>
    <w:rsid w:val="00F6525C"/>
    <w:rsid w:val="00F65377"/>
    <w:rsid w:val="00F655B8"/>
    <w:rsid w:val="00F656D0"/>
    <w:rsid w:val="00F6579E"/>
    <w:rsid w:val="00F658BD"/>
    <w:rsid w:val="00F659A8"/>
    <w:rsid w:val="00F65A0F"/>
    <w:rsid w:val="00F65A8A"/>
    <w:rsid w:val="00F65AA9"/>
    <w:rsid w:val="00F65B4A"/>
    <w:rsid w:val="00F65BE1"/>
    <w:rsid w:val="00F65D1B"/>
    <w:rsid w:val="00F65DE1"/>
    <w:rsid w:val="00F65F9E"/>
    <w:rsid w:val="00F65FEA"/>
    <w:rsid w:val="00F65FF7"/>
    <w:rsid w:val="00F66072"/>
    <w:rsid w:val="00F66127"/>
    <w:rsid w:val="00F66203"/>
    <w:rsid w:val="00F6624E"/>
    <w:rsid w:val="00F6627D"/>
    <w:rsid w:val="00F662FF"/>
    <w:rsid w:val="00F66410"/>
    <w:rsid w:val="00F6648B"/>
    <w:rsid w:val="00F664F3"/>
    <w:rsid w:val="00F66593"/>
    <w:rsid w:val="00F665A0"/>
    <w:rsid w:val="00F665D0"/>
    <w:rsid w:val="00F66654"/>
    <w:rsid w:val="00F667AE"/>
    <w:rsid w:val="00F66881"/>
    <w:rsid w:val="00F668FC"/>
    <w:rsid w:val="00F66BCB"/>
    <w:rsid w:val="00F66CEC"/>
    <w:rsid w:val="00F66E21"/>
    <w:rsid w:val="00F66E6B"/>
    <w:rsid w:val="00F66F87"/>
    <w:rsid w:val="00F67040"/>
    <w:rsid w:val="00F670B1"/>
    <w:rsid w:val="00F67152"/>
    <w:rsid w:val="00F67505"/>
    <w:rsid w:val="00F67581"/>
    <w:rsid w:val="00F675D9"/>
    <w:rsid w:val="00F6768F"/>
    <w:rsid w:val="00F67715"/>
    <w:rsid w:val="00F677C2"/>
    <w:rsid w:val="00F67811"/>
    <w:rsid w:val="00F67841"/>
    <w:rsid w:val="00F6788E"/>
    <w:rsid w:val="00F67952"/>
    <w:rsid w:val="00F67E54"/>
    <w:rsid w:val="00F67E9F"/>
    <w:rsid w:val="00F67F7C"/>
    <w:rsid w:val="00F70196"/>
    <w:rsid w:val="00F70206"/>
    <w:rsid w:val="00F703C8"/>
    <w:rsid w:val="00F7053F"/>
    <w:rsid w:val="00F70547"/>
    <w:rsid w:val="00F70563"/>
    <w:rsid w:val="00F70630"/>
    <w:rsid w:val="00F7067F"/>
    <w:rsid w:val="00F70764"/>
    <w:rsid w:val="00F7083E"/>
    <w:rsid w:val="00F70AF8"/>
    <w:rsid w:val="00F70CC4"/>
    <w:rsid w:val="00F70D56"/>
    <w:rsid w:val="00F70E42"/>
    <w:rsid w:val="00F70F12"/>
    <w:rsid w:val="00F70F96"/>
    <w:rsid w:val="00F7103E"/>
    <w:rsid w:val="00F711BF"/>
    <w:rsid w:val="00F71219"/>
    <w:rsid w:val="00F71248"/>
    <w:rsid w:val="00F71330"/>
    <w:rsid w:val="00F71366"/>
    <w:rsid w:val="00F7137C"/>
    <w:rsid w:val="00F7192B"/>
    <w:rsid w:val="00F7195D"/>
    <w:rsid w:val="00F71981"/>
    <w:rsid w:val="00F71B00"/>
    <w:rsid w:val="00F71BFC"/>
    <w:rsid w:val="00F71C36"/>
    <w:rsid w:val="00F71E63"/>
    <w:rsid w:val="00F71F04"/>
    <w:rsid w:val="00F71FA4"/>
    <w:rsid w:val="00F7219B"/>
    <w:rsid w:val="00F72217"/>
    <w:rsid w:val="00F72241"/>
    <w:rsid w:val="00F722C1"/>
    <w:rsid w:val="00F72451"/>
    <w:rsid w:val="00F72630"/>
    <w:rsid w:val="00F72642"/>
    <w:rsid w:val="00F727E2"/>
    <w:rsid w:val="00F72820"/>
    <w:rsid w:val="00F729EF"/>
    <w:rsid w:val="00F72B80"/>
    <w:rsid w:val="00F72C2C"/>
    <w:rsid w:val="00F7304C"/>
    <w:rsid w:val="00F7308F"/>
    <w:rsid w:val="00F7309E"/>
    <w:rsid w:val="00F73199"/>
    <w:rsid w:val="00F731C4"/>
    <w:rsid w:val="00F732EB"/>
    <w:rsid w:val="00F73514"/>
    <w:rsid w:val="00F737E4"/>
    <w:rsid w:val="00F73855"/>
    <w:rsid w:val="00F738F0"/>
    <w:rsid w:val="00F73A43"/>
    <w:rsid w:val="00F73BEC"/>
    <w:rsid w:val="00F73C59"/>
    <w:rsid w:val="00F73DF2"/>
    <w:rsid w:val="00F73E25"/>
    <w:rsid w:val="00F73F17"/>
    <w:rsid w:val="00F73F5C"/>
    <w:rsid w:val="00F73F7C"/>
    <w:rsid w:val="00F7415A"/>
    <w:rsid w:val="00F741F2"/>
    <w:rsid w:val="00F7435E"/>
    <w:rsid w:val="00F744BB"/>
    <w:rsid w:val="00F74816"/>
    <w:rsid w:val="00F748AC"/>
    <w:rsid w:val="00F74AA4"/>
    <w:rsid w:val="00F74B64"/>
    <w:rsid w:val="00F74B70"/>
    <w:rsid w:val="00F74B75"/>
    <w:rsid w:val="00F74BDC"/>
    <w:rsid w:val="00F74C01"/>
    <w:rsid w:val="00F74CD5"/>
    <w:rsid w:val="00F75140"/>
    <w:rsid w:val="00F75178"/>
    <w:rsid w:val="00F7517D"/>
    <w:rsid w:val="00F751F5"/>
    <w:rsid w:val="00F752C6"/>
    <w:rsid w:val="00F752DA"/>
    <w:rsid w:val="00F7530F"/>
    <w:rsid w:val="00F7533D"/>
    <w:rsid w:val="00F7548D"/>
    <w:rsid w:val="00F75536"/>
    <w:rsid w:val="00F75791"/>
    <w:rsid w:val="00F75808"/>
    <w:rsid w:val="00F75A50"/>
    <w:rsid w:val="00F75B14"/>
    <w:rsid w:val="00F75BCB"/>
    <w:rsid w:val="00F75C78"/>
    <w:rsid w:val="00F75EC2"/>
    <w:rsid w:val="00F75F72"/>
    <w:rsid w:val="00F761F3"/>
    <w:rsid w:val="00F7622B"/>
    <w:rsid w:val="00F76234"/>
    <w:rsid w:val="00F76235"/>
    <w:rsid w:val="00F76259"/>
    <w:rsid w:val="00F76340"/>
    <w:rsid w:val="00F763A5"/>
    <w:rsid w:val="00F76439"/>
    <w:rsid w:val="00F76465"/>
    <w:rsid w:val="00F764CE"/>
    <w:rsid w:val="00F76578"/>
    <w:rsid w:val="00F765A9"/>
    <w:rsid w:val="00F765F8"/>
    <w:rsid w:val="00F76643"/>
    <w:rsid w:val="00F76994"/>
    <w:rsid w:val="00F769ED"/>
    <w:rsid w:val="00F76B76"/>
    <w:rsid w:val="00F76C0D"/>
    <w:rsid w:val="00F76C3D"/>
    <w:rsid w:val="00F76CAB"/>
    <w:rsid w:val="00F76D1B"/>
    <w:rsid w:val="00F76D93"/>
    <w:rsid w:val="00F76DD4"/>
    <w:rsid w:val="00F76F40"/>
    <w:rsid w:val="00F770E6"/>
    <w:rsid w:val="00F77235"/>
    <w:rsid w:val="00F772C6"/>
    <w:rsid w:val="00F77390"/>
    <w:rsid w:val="00F773CD"/>
    <w:rsid w:val="00F773F2"/>
    <w:rsid w:val="00F774C6"/>
    <w:rsid w:val="00F774E9"/>
    <w:rsid w:val="00F7768F"/>
    <w:rsid w:val="00F777CF"/>
    <w:rsid w:val="00F77818"/>
    <w:rsid w:val="00F778D3"/>
    <w:rsid w:val="00F77902"/>
    <w:rsid w:val="00F77A1C"/>
    <w:rsid w:val="00F77BED"/>
    <w:rsid w:val="00F77C81"/>
    <w:rsid w:val="00F77D06"/>
    <w:rsid w:val="00F77D57"/>
    <w:rsid w:val="00F77D59"/>
    <w:rsid w:val="00F77F8B"/>
    <w:rsid w:val="00F800B1"/>
    <w:rsid w:val="00F8017E"/>
    <w:rsid w:val="00F802BD"/>
    <w:rsid w:val="00F80321"/>
    <w:rsid w:val="00F80360"/>
    <w:rsid w:val="00F80529"/>
    <w:rsid w:val="00F80651"/>
    <w:rsid w:val="00F807A6"/>
    <w:rsid w:val="00F807EF"/>
    <w:rsid w:val="00F80805"/>
    <w:rsid w:val="00F8088F"/>
    <w:rsid w:val="00F80927"/>
    <w:rsid w:val="00F8094E"/>
    <w:rsid w:val="00F809F3"/>
    <w:rsid w:val="00F80A1C"/>
    <w:rsid w:val="00F80AED"/>
    <w:rsid w:val="00F80C1F"/>
    <w:rsid w:val="00F80C7F"/>
    <w:rsid w:val="00F80D56"/>
    <w:rsid w:val="00F80DB2"/>
    <w:rsid w:val="00F80E74"/>
    <w:rsid w:val="00F80EA5"/>
    <w:rsid w:val="00F81078"/>
    <w:rsid w:val="00F81092"/>
    <w:rsid w:val="00F81118"/>
    <w:rsid w:val="00F8114F"/>
    <w:rsid w:val="00F811B1"/>
    <w:rsid w:val="00F812C6"/>
    <w:rsid w:val="00F815B5"/>
    <w:rsid w:val="00F81975"/>
    <w:rsid w:val="00F81A1B"/>
    <w:rsid w:val="00F81C37"/>
    <w:rsid w:val="00F81C92"/>
    <w:rsid w:val="00F81FB2"/>
    <w:rsid w:val="00F8223C"/>
    <w:rsid w:val="00F823E6"/>
    <w:rsid w:val="00F8245C"/>
    <w:rsid w:val="00F824F3"/>
    <w:rsid w:val="00F8257C"/>
    <w:rsid w:val="00F8259E"/>
    <w:rsid w:val="00F8263A"/>
    <w:rsid w:val="00F82665"/>
    <w:rsid w:val="00F82689"/>
    <w:rsid w:val="00F826B2"/>
    <w:rsid w:val="00F82737"/>
    <w:rsid w:val="00F82855"/>
    <w:rsid w:val="00F82A4B"/>
    <w:rsid w:val="00F82D4C"/>
    <w:rsid w:val="00F82E30"/>
    <w:rsid w:val="00F82E6D"/>
    <w:rsid w:val="00F82F07"/>
    <w:rsid w:val="00F82F53"/>
    <w:rsid w:val="00F82FD5"/>
    <w:rsid w:val="00F830A1"/>
    <w:rsid w:val="00F831EC"/>
    <w:rsid w:val="00F83356"/>
    <w:rsid w:val="00F83386"/>
    <w:rsid w:val="00F8356B"/>
    <w:rsid w:val="00F83616"/>
    <w:rsid w:val="00F8368B"/>
    <w:rsid w:val="00F837E9"/>
    <w:rsid w:val="00F83825"/>
    <w:rsid w:val="00F8384B"/>
    <w:rsid w:val="00F8396F"/>
    <w:rsid w:val="00F8398B"/>
    <w:rsid w:val="00F839AF"/>
    <w:rsid w:val="00F839C2"/>
    <w:rsid w:val="00F83A5F"/>
    <w:rsid w:val="00F83B86"/>
    <w:rsid w:val="00F83BBD"/>
    <w:rsid w:val="00F83D7A"/>
    <w:rsid w:val="00F83D96"/>
    <w:rsid w:val="00F83E6A"/>
    <w:rsid w:val="00F83EC6"/>
    <w:rsid w:val="00F83F42"/>
    <w:rsid w:val="00F83F5A"/>
    <w:rsid w:val="00F83FC0"/>
    <w:rsid w:val="00F84027"/>
    <w:rsid w:val="00F8450C"/>
    <w:rsid w:val="00F846B1"/>
    <w:rsid w:val="00F847A2"/>
    <w:rsid w:val="00F84978"/>
    <w:rsid w:val="00F84A6B"/>
    <w:rsid w:val="00F84AE6"/>
    <w:rsid w:val="00F84B75"/>
    <w:rsid w:val="00F84CF4"/>
    <w:rsid w:val="00F84DC7"/>
    <w:rsid w:val="00F84E6D"/>
    <w:rsid w:val="00F84F1C"/>
    <w:rsid w:val="00F85043"/>
    <w:rsid w:val="00F8505E"/>
    <w:rsid w:val="00F85085"/>
    <w:rsid w:val="00F85195"/>
    <w:rsid w:val="00F8533D"/>
    <w:rsid w:val="00F853A0"/>
    <w:rsid w:val="00F853DE"/>
    <w:rsid w:val="00F85421"/>
    <w:rsid w:val="00F8543E"/>
    <w:rsid w:val="00F85474"/>
    <w:rsid w:val="00F8557C"/>
    <w:rsid w:val="00F856BB"/>
    <w:rsid w:val="00F857D4"/>
    <w:rsid w:val="00F859A6"/>
    <w:rsid w:val="00F85A48"/>
    <w:rsid w:val="00F85A8B"/>
    <w:rsid w:val="00F85B4B"/>
    <w:rsid w:val="00F85B61"/>
    <w:rsid w:val="00F85D0C"/>
    <w:rsid w:val="00F85D34"/>
    <w:rsid w:val="00F85DB5"/>
    <w:rsid w:val="00F85E10"/>
    <w:rsid w:val="00F85F58"/>
    <w:rsid w:val="00F85F78"/>
    <w:rsid w:val="00F86036"/>
    <w:rsid w:val="00F8605F"/>
    <w:rsid w:val="00F860FD"/>
    <w:rsid w:val="00F862AA"/>
    <w:rsid w:val="00F863F2"/>
    <w:rsid w:val="00F864A5"/>
    <w:rsid w:val="00F86608"/>
    <w:rsid w:val="00F86728"/>
    <w:rsid w:val="00F86754"/>
    <w:rsid w:val="00F867C9"/>
    <w:rsid w:val="00F86815"/>
    <w:rsid w:val="00F86836"/>
    <w:rsid w:val="00F868E3"/>
    <w:rsid w:val="00F869DC"/>
    <w:rsid w:val="00F86D2E"/>
    <w:rsid w:val="00F86D55"/>
    <w:rsid w:val="00F86D95"/>
    <w:rsid w:val="00F8701C"/>
    <w:rsid w:val="00F87044"/>
    <w:rsid w:val="00F870DB"/>
    <w:rsid w:val="00F870F8"/>
    <w:rsid w:val="00F87172"/>
    <w:rsid w:val="00F8728B"/>
    <w:rsid w:val="00F87379"/>
    <w:rsid w:val="00F87438"/>
    <w:rsid w:val="00F8750F"/>
    <w:rsid w:val="00F87526"/>
    <w:rsid w:val="00F87635"/>
    <w:rsid w:val="00F877EE"/>
    <w:rsid w:val="00F87809"/>
    <w:rsid w:val="00F87AAC"/>
    <w:rsid w:val="00F87CE4"/>
    <w:rsid w:val="00F87D74"/>
    <w:rsid w:val="00F87D78"/>
    <w:rsid w:val="00F90094"/>
    <w:rsid w:val="00F9012F"/>
    <w:rsid w:val="00F902FC"/>
    <w:rsid w:val="00F9034C"/>
    <w:rsid w:val="00F90360"/>
    <w:rsid w:val="00F90588"/>
    <w:rsid w:val="00F9059B"/>
    <w:rsid w:val="00F905A8"/>
    <w:rsid w:val="00F90748"/>
    <w:rsid w:val="00F907A3"/>
    <w:rsid w:val="00F90801"/>
    <w:rsid w:val="00F908DC"/>
    <w:rsid w:val="00F90917"/>
    <w:rsid w:val="00F90926"/>
    <w:rsid w:val="00F90A64"/>
    <w:rsid w:val="00F90BD3"/>
    <w:rsid w:val="00F90C31"/>
    <w:rsid w:val="00F90C9D"/>
    <w:rsid w:val="00F90CA2"/>
    <w:rsid w:val="00F90F84"/>
    <w:rsid w:val="00F90F9F"/>
    <w:rsid w:val="00F91054"/>
    <w:rsid w:val="00F91121"/>
    <w:rsid w:val="00F9127C"/>
    <w:rsid w:val="00F91298"/>
    <w:rsid w:val="00F916C3"/>
    <w:rsid w:val="00F916C7"/>
    <w:rsid w:val="00F916F1"/>
    <w:rsid w:val="00F91746"/>
    <w:rsid w:val="00F9180B"/>
    <w:rsid w:val="00F91862"/>
    <w:rsid w:val="00F9188C"/>
    <w:rsid w:val="00F91957"/>
    <w:rsid w:val="00F91D4C"/>
    <w:rsid w:val="00F91EC1"/>
    <w:rsid w:val="00F92071"/>
    <w:rsid w:val="00F921AB"/>
    <w:rsid w:val="00F921BC"/>
    <w:rsid w:val="00F9242C"/>
    <w:rsid w:val="00F92522"/>
    <w:rsid w:val="00F92554"/>
    <w:rsid w:val="00F92615"/>
    <w:rsid w:val="00F927E4"/>
    <w:rsid w:val="00F92824"/>
    <w:rsid w:val="00F9290A"/>
    <w:rsid w:val="00F92B3C"/>
    <w:rsid w:val="00F92CA1"/>
    <w:rsid w:val="00F92D89"/>
    <w:rsid w:val="00F93043"/>
    <w:rsid w:val="00F930B5"/>
    <w:rsid w:val="00F930DD"/>
    <w:rsid w:val="00F932AD"/>
    <w:rsid w:val="00F932E1"/>
    <w:rsid w:val="00F9337D"/>
    <w:rsid w:val="00F93736"/>
    <w:rsid w:val="00F937DA"/>
    <w:rsid w:val="00F93802"/>
    <w:rsid w:val="00F93881"/>
    <w:rsid w:val="00F938BA"/>
    <w:rsid w:val="00F93910"/>
    <w:rsid w:val="00F93A04"/>
    <w:rsid w:val="00F93A45"/>
    <w:rsid w:val="00F93A59"/>
    <w:rsid w:val="00F93B14"/>
    <w:rsid w:val="00F93BDC"/>
    <w:rsid w:val="00F9409E"/>
    <w:rsid w:val="00F94126"/>
    <w:rsid w:val="00F94377"/>
    <w:rsid w:val="00F943CE"/>
    <w:rsid w:val="00F947AF"/>
    <w:rsid w:val="00F94A32"/>
    <w:rsid w:val="00F94B7F"/>
    <w:rsid w:val="00F94BEA"/>
    <w:rsid w:val="00F94CFC"/>
    <w:rsid w:val="00F94DB4"/>
    <w:rsid w:val="00F94DD4"/>
    <w:rsid w:val="00F94FD8"/>
    <w:rsid w:val="00F95001"/>
    <w:rsid w:val="00F95007"/>
    <w:rsid w:val="00F951DE"/>
    <w:rsid w:val="00F9529A"/>
    <w:rsid w:val="00F952E0"/>
    <w:rsid w:val="00F952F0"/>
    <w:rsid w:val="00F9533E"/>
    <w:rsid w:val="00F953EE"/>
    <w:rsid w:val="00F9540D"/>
    <w:rsid w:val="00F95479"/>
    <w:rsid w:val="00F955E0"/>
    <w:rsid w:val="00F95692"/>
    <w:rsid w:val="00F956B0"/>
    <w:rsid w:val="00F95710"/>
    <w:rsid w:val="00F95734"/>
    <w:rsid w:val="00F95766"/>
    <w:rsid w:val="00F957C4"/>
    <w:rsid w:val="00F959DA"/>
    <w:rsid w:val="00F959E3"/>
    <w:rsid w:val="00F95A59"/>
    <w:rsid w:val="00F95CFD"/>
    <w:rsid w:val="00F95D7F"/>
    <w:rsid w:val="00F95E0D"/>
    <w:rsid w:val="00F95E3E"/>
    <w:rsid w:val="00F95F6D"/>
    <w:rsid w:val="00F95FC1"/>
    <w:rsid w:val="00F9601A"/>
    <w:rsid w:val="00F9602C"/>
    <w:rsid w:val="00F960E2"/>
    <w:rsid w:val="00F96169"/>
    <w:rsid w:val="00F96172"/>
    <w:rsid w:val="00F96201"/>
    <w:rsid w:val="00F96218"/>
    <w:rsid w:val="00F96309"/>
    <w:rsid w:val="00F96456"/>
    <w:rsid w:val="00F96619"/>
    <w:rsid w:val="00F9683D"/>
    <w:rsid w:val="00F96A81"/>
    <w:rsid w:val="00F96AAF"/>
    <w:rsid w:val="00F96AC2"/>
    <w:rsid w:val="00F96AE9"/>
    <w:rsid w:val="00F96C43"/>
    <w:rsid w:val="00F96E83"/>
    <w:rsid w:val="00F96F20"/>
    <w:rsid w:val="00F97025"/>
    <w:rsid w:val="00F97089"/>
    <w:rsid w:val="00F97228"/>
    <w:rsid w:val="00F97270"/>
    <w:rsid w:val="00F9738E"/>
    <w:rsid w:val="00F975C7"/>
    <w:rsid w:val="00F975DA"/>
    <w:rsid w:val="00F9778D"/>
    <w:rsid w:val="00F97919"/>
    <w:rsid w:val="00F97951"/>
    <w:rsid w:val="00F97CF5"/>
    <w:rsid w:val="00F97DB5"/>
    <w:rsid w:val="00F97EDA"/>
    <w:rsid w:val="00FA0014"/>
    <w:rsid w:val="00FA016D"/>
    <w:rsid w:val="00FA032F"/>
    <w:rsid w:val="00FA036C"/>
    <w:rsid w:val="00FA03F1"/>
    <w:rsid w:val="00FA049D"/>
    <w:rsid w:val="00FA0728"/>
    <w:rsid w:val="00FA0751"/>
    <w:rsid w:val="00FA0979"/>
    <w:rsid w:val="00FA0A37"/>
    <w:rsid w:val="00FA0CA7"/>
    <w:rsid w:val="00FA0CF4"/>
    <w:rsid w:val="00FA0DB7"/>
    <w:rsid w:val="00FA0DD9"/>
    <w:rsid w:val="00FA1054"/>
    <w:rsid w:val="00FA1152"/>
    <w:rsid w:val="00FA1203"/>
    <w:rsid w:val="00FA13DB"/>
    <w:rsid w:val="00FA13FD"/>
    <w:rsid w:val="00FA147E"/>
    <w:rsid w:val="00FA152B"/>
    <w:rsid w:val="00FA156F"/>
    <w:rsid w:val="00FA1661"/>
    <w:rsid w:val="00FA1708"/>
    <w:rsid w:val="00FA1739"/>
    <w:rsid w:val="00FA175E"/>
    <w:rsid w:val="00FA184B"/>
    <w:rsid w:val="00FA185A"/>
    <w:rsid w:val="00FA1922"/>
    <w:rsid w:val="00FA19D1"/>
    <w:rsid w:val="00FA19DA"/>
    <w:rsid w:val="00FA1A97"/>
    <w:rsid w:val="00FA1E3D"/>
    <w:rsid w:val="00FA204C"/>
    <w:rsid w:val="00FA224D"/>
    <w:rsid w:val="00FA22B7"/>
    <w:rsid w:val="00FA2346"/>
    <w:rsid w:val="00FA24DC"/>
    <w:rsid w:val="00FA24F6"/>
    <w:rsid w:val="00FA25FA"/>
    <w:rsid w:val="00FA269F"/>
    <w:rsid w:val="00FA2A8E"/>
    <w:rsid w:val="00FA2AE6"/>
    <w:rsid w:val="00FA2B06"/>
    <w:rsid w:val="00FA2B35"/>
    <w:rsid w:val="00FA2BB7"/>
    <w:rsid w:val="00FA2C46"/>
    <w:rsid w:val="00FA2C74"/>
    <w:rsid w:val="00FA2DC8"/>
    <w:rsid w:val="00FA2E1C"/>
    <w:rsid w:val="00FA2E4C"/>
    <w:rsid w:val="00FA2F9D"/>
    <w:rsid w:val="00FA2FB1"/>
    <w:rsid w:val="00FA2FD0"/>
    <w:rsid w:val="00FA3020"/>
    <w:rsid w:val="00FA306A"/>
    <w:rsid w:val="00FA3074"/>
    <w:rsid w:val="00FA33A4"/>
    <w:rsid w:val="00FA3468"/>
    <w:rsid w:val="00FA348A"/>
    <w:rsid w:val="00FA3525"/>
    <w:rsid w:val="00FA352D"/>
    <w:rsid w:val="00FA364F"/>
    <w:rsid w:val="00FA37BD"/>
    <w:rsid w:val="00FA37F5"/>
    <w:rsid w:val="00FA3909"/>
    <w:rsid w:val="00FA39F5"/>
    <w:rsid w:val="00FA3B62"/>
    <w:rsid w:val="00FA3B90"/>
    <w:rsid w:val="00FA3C33"/>
    <w:rsid w:val="00FA3CAD"/>
    <w:rsid w:val="00FA3DF5"/>
    <w:rsid w:val="00FA3F6D"/>
    <w:rsid w:val="00FA4045"/>
    <w:rsid w:val="00FA41C8"/>
    <w:rsid w:val="00FA423B"/>
    <w:rsid w:val="00FA423E"/>
    <w:rsid w:val="00FA42E0"/>
    <w:rsid w:val="00FA4384"/>
    <w:rsid w:val="00FA43E5"/>
    <w:rsid w:val="00FA4543"/>
    <w:rsid w:val="00FA4570"/>
    <w:rsid w:val="00FA462A"/>
    <w:rsid w:val="00FA4676"/>
    <w:rsid w:val="00FA47AB"/>
    <w:rsid w:val="00FA47F5"/>
    <w:rsid w:val="00FA4931"/>
    <w:rsid w:val="00FA4D2C"/>
    <w:rsid w:val="00FA4DAD"/>
    <w:rsid w:val="00FA4DB5"/>
    <w:rsid w:val="00FA506D"/>
    <w:rsid w:val="00FA515F"/>
    <w:rsid w:val="00FA5362"/>
    <w:rsid w:val="00FA549F"/>
    <w:rsid w:val="00FA5681"/>
    <w:rsid w:val="00FA5786"/>
    <w:rsid w:val="00FA587B"/>
    <w:rsid w:val="00FA58A2"/>
    <w:rsid w:val="00FA58CB"/>
    <w:rsid w:val="00FA58CE"/>
    <w:rsid w:val="00FA59BA"/>
    <w:rsid w:val="00FA5A53"/>
    <w:rsid w:val="00FA5A87"/>
    <w:rsid w:val="00FA5B21"/>
    <w:rsid w:val="00FA5D01"/>
    <w:rsid w:val="00FA5D52"/>
    <w:rsid w:val="00FA5D75"/>
    <w:rsid w:val="00FA5FB6"/>
    <w:rsid w:val="00FA6152"/>
    <w:rsid w:val="00FA6187"/>
    <w:rsid w:val="00FA618A"/>
    <w:rsid w:val="00FA61D2"/>
    <w:rsid w:val="00FA63CA"/>
    <w:rsid w:val="00FA63DD"/>
    <w:rsid w:val="00FA6429"/>
    <w:rsid w:val="00FA6479"/>
    <w:rsid w:val="00FA650D"/>
    <w:rsid w:val="00FA6600"/>
    <w:rsid w:val="00FA672D"/>
    <w:rsid w:val="00FA6746"/>
    <w:rsid w:val="00FA6988"/>
    <w:rsid w:val="00FA6B57"/>
    <w:rsid w:val="00FA6E78"/>
    <w:rsid w:val="00FA6EFC"/>
    <w:rsid w:val="00FA6F36"/>
    <w:rsid w:val="00FA7042"/>
    <w:rsid w:val="00FA7190"/>
    <w:rsid w:val="00FA72EA"/>
    <w:rsid w:val="00FA7529"/>
    <w:rsid w:val="00FA75A3"/>
    <w:rsid w:val="00FA7709"/>
    <w:rsid w:val="00FA77A5"/>
    <w:rsid w:val="00FA77CE"/>
    <w:rsid w:val="00FA78A9"/>
    <w:rsid w:val="00FA7994"/>
    <w:rsid w:val="00FA79C8"/>
    <w:rsid w:val="00FA7A25"/>
    <w:rsid w:val="00FA7A88"/>
    <w:rsid w:val="00FA7B43"/>
    <w:rsid w:val="00FA7B8B"/>
    <w:rsid w:val="00FA7CF5"/>
    <w:rsid w:val="00FA7F74"/>
    <w:rsid w:val="00FB00AE"/>
    <w:rsid w:val="00FB0123"/>
    <w:rsid w:val="00FB01EA"/>
    <w:rsid w:val="00FB0344"/>
    <w:rsid w:val="00FB03B0"/>
    <w:rsid w:val="00FB06BB"/>
    <w:rsid w:val="00FB0795"/>
    <w:rsid w:val="00FB0873"/>
    <w:rsid w:val="00FB097F"/>
    <w:rsid w:val="00FB0A62"/>
    <w:rsid w:val="00FB0A73"/>
    <w:rsid w:val="00FB0B43"/>
    <w:rsid w:val="00FB0BFA"/>
    <w:rsid w:val="00FB0C36"/>
    <w:rsid w:val="00FB0D12"/>
    <w:rsid w:val="00FB0E30"/>
    <w:rsid w:val="00FB0E44"/>
    <w:rsid w:val="00FB0F7A"/>
    <w:rsid w:val="00FB1016"/>
    <w:rsid w:val="00FB1083"/>
    <w:rsid w:val="00FB10B0"/>
    <w:rsid w:val="00FB112F"/>
    <w:rsid w:val="00FB1143"/>
    <w:rsid w:val="00FB116C"/>
    <w:rsid w:val="00FB11E8"/>
    <w:rsid w:val="00FB135D"/>
    <w:rsid w:val="00FB1464"/>
    <w:rsid w:val="00FB14B2"/>
    <w:rsid w:val="00FB1669"/>
    <w:rsid w:val="00FB17E3"/>
    <w:rsid w:val="00FB17E9"/>
    <w:rsid w:val="00FB1A27"/>
    <w:rsid w:val="00FB1ADD"/>
    <w:rsid w:val="00FB1C23"/>
    <w:rsid w:val="00FB1CA1"/>
    <w:rsid w:val="00FB1DC0"/>
    <w:rsid w:val="00FB1DF3"/>
    <w:rsid w:val="00FB1E1E"/>
    <w:rsid w:val="00FB1F2D"/>
    <w:rsid w:val="00FB1F6E"/>
    <w:rsid w:val="00FB1FDC"/>
    <w:rsid w:val="00FB2005"/>
    <w:rsid w:val="00FB20B9"/>
    <w:rsid w:val="00FB20ED"/>
    <w:rsid w:val="00FB211E"/>
    <w:rsid w:val="00FB21A0"/>
    <w:rsid w:val="00FB255D"/>
    <w:rsid w:val="00FB2668"/>
    <w:rsid w:val="00FB2751"/>
    <w:rsid w:val="00FB285C"/>
    <w:rsid w:val="00FB292A"/>
    <w:rsid w:val="00FB29F2"/>
    <w:rsid w:val="00FB2BA2"/>
    <w:rsid w:val="00FB2DE7"/>
    <w:rsid w:val="00FB2E14"/>
    <w:rsid w:val="00FB2E42"/>
    <w:rsid w:val="00FB2E8E"/>
    <w:rsid w:val="00FB2F7F"/>
    <w:rsid w:val="00FB2FE2"/>
    <w:rsid w:val="00FB301C"/>
    <w:rsid w:val="00FB3108"/>
    <w:rsid w:val="00FB315B"/>
    <w:rsid w:val="00FB3225"/>
    <w:rsid w:val="00FB32F9"/>
    <w:rsid w:val="00FB335B"/>
    <w:rsid w:val="00FB3590"/>
    <w:rsid w:val="00FB35CC"/>
    <w:rsid w:val="00FB35DE"/>
    <w:rsid w:val="00FB38DB"/>
    <w:rsid w:val="00FB38E8"/>
    <w:rsid w:val="00FB399B"/>
    <w:rsid w:val="00FB3B7B"/>
    <w:rsid w:val="00FB3CE7"/>
    <w:rsid w:val="00FB3D2E"/>
    <w:rsid w:val="00FB3DD0"/>
    <w:rsid w:val="00FB3EC6"/>
    <w:rsid w:val="00FB3F62"/>
    <w:rsid w:val="00FB3F65"/>
    <w:rsid w:val="00FB41EE"/>
    <w:rsid w:val="00FB4378"/>
    <w:rsid w:val="00FB44E9"/>
    <w:rsid w:val="00FB4523"/>
    <w:rsid w:val="00FB454C"/>
    <w:rsid w:val="00FB462F"/>
    <w:rsid w:val="00FB4634"/>
    <w:rsid w:val="00FB463C"/>
    <w:rsid w:val="00FB4710"/>
    <w:rsid w:val="00FB4769"/>
    <w:rsid w:val="00FB48B8"/>
    <w:rsid w:val="00FB48F0"/>
    <w:rsid w:val="00FB4902"/>
    <w:rsid w:val="00FB4926"/>
    <w:rsid w:val="00FB4928"/>
    <w:rsid w:val="00FB4A4E"/>
    <w:rsid w:val="00FB4CC6"/>
    <w:rsid w:val="00FB4CDA"/>
    <w:rsid w:val="00FB4D1B"/>
    <w:rsid w:val="00FB4F19"/>
    <w:rsid w:val="00FB4FD7"/>
    <w:rsid w:val="00FB50F1"/>
    <w:rsid w:val="00FB52B3"/>
    <w:rsid w:val="00FB52ED"/>
    <w:rsid w:val="00FB5357"/>
    <w:rsid w:val="00FB54BA"/>
    <w:rsid w:val="00FB5547"/>
    <w:rsid w:val="00FB561B"/>
    <w:rsid w:val="00FB5781"/>
    <w:rsid w:val="00FB5843"/>
    <w:rsid w:val="00FB588F"/>
    <w:rsid w:val="00FB5A77"/>
    <w:rsid w:val="00FB5C64"/>
    <w:rsid w:val="00FB5D03"/>
    <w:rsid w:val="00FB5D17"/>
    <w:rsid w:val="00FB5D38"/>
    <w:rsid w:val="00FB5DEF"/>
    <w:rsid w:val="00FB5ECD"/>
    <w:rsid w:val="00FB603E"/>
    <w:rsid w:val="00FB6158"/>
    <w:rsid w:val="00FB623B"/>
    <w:rsid w:val="00FB6293"/>
    <w:rsid w:val="00FB63C2"/>
    <w:rsid w:val="00FB6443"/>
    <w:rsid w:val="00FB6481"/>
    <w:rsid w:val="00FB64A3"/>
    <w:rsid w:val="00FB6687"/>
    <w:rsid w:val="00FB6741"/>
    <w:rsid w:val="00FB6780"/>
    <w:rsid w:val="00FB6983"/>
    <w:rsid w:val="00FB6A36"/>
    <w:rsid w:val="00FB6B75"/>
    <w:rsid w:val="00FB6B99"/>
    <w:rsid w:val="00FB6D36"/>
    <w:rsid w:val="00FB6E15"/>
    <w:rsid w:val="00FB6F12"/>
    <w:rsid w:val="00FB70D2"/>
    <w:rsid w:val="00FB72D9"/>
    <w:rsid w:val="00FB7385"/>
    <w:rsid w:val="00FB74E4"/>
    <w:rsid w:val="00FB76DD"/>
    <w:rsid w:val="00FB775E"/>
    <w:rsid w:val="00FB77FC"/>
    <w:rsid w:val="00FB7818"/>
    <w:rsid w:val="00FB7997"/>
    <w:rsid w:val="00FB7BA9"/>
    <w:rsid w:val="00FB7CA6"/>
    <w:rsid w:val="00FB7CC6"/>
    <w:rsid w:val="00FB7CFD"/>
    <w:rsid w:val="00FB7E22"/>
    <w:rsid w:val="00FB7E31"/>
    <w:rsid w:val="00FC0135"/>
    <w:rsid w:val="00FC02DB"/>
    <w:rsid w:val="00FC0330"/>
    <w:rsid w:val="00FC0337"/>
    <w:rsid w:val="00FC06CE"/>
    <w:rsid w:val="00FC0965"/>
    <w:rsid w:val="00FC0A7D"/>
    <w:rsid w:val="00FC0AD5"/>
    <w:rsid w:val="00FC0BBC"/>
    <w:rsid w:val="00FC0BCD"/>
    <w:rsid w:val="00FC0BEA"/>
    <w:rsid w:val="00FC0C7C"/>
    <w:rsid w:val="00FC0EBD"/>
    <w:rsid w:val="00FC0F81"/>
    <w:rsid w:val="00FC10BF"/>
    <w:rsid w:val="00FC1330"/>
    <w:rsid w:val="00FC135F"/>
    <w:rsid w:val="00FC13A8"/>
    <w:rsid w:val="00FC1436"/>
    <w:rsid w:val="00FC146A"/>
    <w:rsid w:val="00FC180F"/>
    <w:rsid w:val="00FC18AE"/>
    <w:rsid w:val="00FC1A4F"/>
    <w:rsid w:val="00FC1C3E"/>
    <w:rsid w:val="00FC1C44"/>
    <w:rsid w:val="00FC1CAD"/>
    <w:rsid w:val="00FC1DD1"/>
    <w:rsid w:val="00FC1EDC"/>
    <w:rsid w:val="00FC1FA1"/>
    <w:rsid w:val="00FC2048"/>
    <w:rsid w:val="00FC21EF"/>
    <w:rsid w:val="00FC2228"/>
    <w:rsid w:val="00FC232C"/>
    <w:rsid w:val="00FC252F"/>
    <w:rsid w:val="00FC26F0"/>
    <w:rsid w:val="00FC2968"/>
    <w:rsid w:val="00FC2B1B"/>
    <w:rsid w:val="00FC310B"/>
    <w:rsid w:val="00FC3117"/>
    <w:rsid w:val="00FC318E"/>
    <w:rsid w:val="00FC3283"/>
    <w:rsid w:val="00FC3313"/>
    <w:rsid w:val="00FC33A3"/>
    <w:rsid w:val="00FC35CA"/>
    <w:rsid w:val="00FC361D"/>
    <w:rsid w:val="00FC3717"/>
    <w:rsid w:val="00FC3937"/>
    <w:rsid w:val="00FC395C"/>
    <w:rsid w:val="00FC3B9E"/>
    <w:rsid w:val="00FC3BEF"/>
    <w:rsid w:val="00FC3CBF"/>
    <w:rsid w:val="00FC3CC5"/>
    <w:rsid w:val="00FC3DD4"/>
    <w:rsid w:val="00FC403D"/>
    <w:rsid w:val="00FC4090"/>
    <w:rsid w:val="00FC4160"/>
    <w:rsid w:val="00FC4246"/>
    <w:rsid w:val="00FC4259"/>
    <w:rsid w:val="00FC4290"/>
    <w:rsid w:val="00FC430F"/>
    <w:rsid w:val="00FC435C"/>
    <w:rsid w:val="00FC4390"/>
    <w:rsid w:val="00FC4665"/>
    <w:rsid w:val="00FC46B4"/>
    <w:rsid w:val="00FC470C"/>
    <w:rsid w:val="00FC4751"/>
    <w:rsid w:val="00FC4AFD"/>
    <w:rsid w:val="00FC4B25"/>
    <w:rsid w:val="00FC4B4C"/>
    <w:rsid w:val="00FC4F7F"/>
    <w:rsid w:val="00FC4F81"/>
    <w:rsid w:val="00FC509C"/>
    <w:rsid w:val="00FC50C6"/>
    <w:rsid w:val="00FC51F9"/>
    <w:rsid w:val="00FC5287"/>
    <w:rsid w:val="00FC536F"/>
    <w:rsid w:val="00FC554C"/>
    <w:rsid w:val="00FC55CA"/>
    <w:rsid w:val="00FC564B"/>
    <w:rsid w:val="00FC57EE"/>
    <w:rsid w:val="00FC5908"/>
    <w:rsid w:val="00FC5A5A"/>
    <w:rsid w:val="00FC5B39"/>
    <w:rsid w:val="00FC5DA4"/>
    <w:rsid w:val="00FC5E8E"/>
    <w:rsid w:val="00FC5E9B"/>
    <w:rsid w:val="00FC5E9E"/>
    <w:rsid w:val="00FC5EB2"/>
    <w:rsid w:val="00FC5EE3"/>
    <w:rsid w:val="00FC6119"/>
    <w:rsid w:val="00FC63C2"/>
    <w:rsid w:val="00FC63F3"/>
    <w:rsid w:val="00FC6516"/>
    <w:rsid w:val="00FC652A"/>
    <w:rsid w:val="00FC66E8"/>
    <w:rsid w:val="00FC67B6"/>
    <w:rsid w:val="00FC6849"/>
    <w:rsid w:val="00FC689D"/>
    <w:rsid w:val="00FC6929"/>
    <w:rsid w:val="00FC6BBB"/>
    <w:rsid w:val="00FC6C5E"/>
    <w:rsid w:val="00FC6C94"/>
    <w:rsid w:val="00FC6CEC"/>
    <w:rsid w:val="00FC6E13"/>
    <w:rsid w:val="00FC6E41"/>
    <w:rsid w:val="00FC6F10"/>
    <w:rsid w:val="00FC705A"/>
    <w:rsid w:val="00FC73CC"/>
    <w:rsid w:val="00FC7408"/>
    <w:rsid w:val="00FC74AA"/>
    <w:rsid w:val="00FC74B5"/>
    <w:rsid w:val="00FC7505"/>
    <w:rsid w:val="00FC7A2B"/>
    <w:rsid w:val="00FC7B57"/>
    <w:rsid w:val="00FC7D3F"/>
    <w:rsid w:val="00FC7DC5"/>
    <w:rsid w:val="00FC7FAF"/>
    <w:rsid w:val="00FC7FC5"/>
    <w:rsid w:val="00FD00E5"/>
    <w:rsid w:val="00FD0110"/>
    <w:rsid w:val="00FD01BB"/>
    <w:rsid w:val="00FD050C"/>
    <w:rsid w:val="00FD0602"/>
    <w:rsid w:val="00FD06CE"/>
    <w:rsid w:val="00FD080B"/>
    <w:rsid w:val="00FD08E0"/>
    <w:rsid w:val="00FD0954"/>
    <w:rsid w:val="00FD0A11"/>
    <w:rsid w:val="00FD0C22"/>
    <w:rsid w:val="00FD0C33"/>
    <w:rsid w:val="00FD0CBE"/>
    <w:rsid w:val="00FD0E55"/>
    <w:rsid w:val="00FD1017"/>
    <w:rsid w:val="00FD1097"/>
    <w:rsid w:val="00FD10F0"/>
    <w:rsid w:val="00FD1179"/>
    <w:rsid w:val="00FD122A"/>
    <w:rsid w:val="00FD122F"/>
    <w:rsid w:val="00FD12FE"/>
    <w:rsid w:val="00FD135F"/>
    <w:rsid w:val="00FD13B9"/>
    <w:rsid w:val="00FD1474"/>
    <w:rsid w:val="00FD14E6"/>
    <w:rsid w:val="00FD1558"/>
    <w:rsid w:val="00FD159C"/>
    <w:rsid w:val="00FD1A8F"/>
    <w:rsid w:val="00FD1E6A"/>
    <w:rsid w:val="00FD1F67"/>
    <w:rsid w:val="00FD1FE3"/>
    <w:rsid w:val="00FD1FF7"/>
    <w:rsid w:val="00FD20C7"/>
    <w:rsid w:val="00FD2267"/>
    <w:rsid w:val="00FD25D8"/>
    <w:rsid w:val="00FD278C"/>
    <w:rsid w:val="00FD2947"/>
    <w:rsid w:val="00FD2A6B"/>
    <w:rsid w:val="00FD2C36"/>
    <w:rsid w:val="00FD2D48"/>
    <w:rsid w:val="00FD2D9A"/>
    <w:rsid w:val="00FD2E25"/>
    <w:rsid w:val="00FD3033"/>
    <w:rsid w:val="00FD304B"/>
    <w:rsid w:val="00FD306A"/>
    <w:rsid w:val="00FD3098"/>
    <w:rsid w:val="00FD35CA"/>
    <w:rsid w:val="00FD35F2"/>
    <w:rsid w:val="00FD361A"/>
    <w:rsid w:val="00FD363F"/>
    <w:rsid w:val="00FD3766"/>
    <w:rsid w:val="00FD3792"/>
    <w:rsid w:val="00FD3823"/>
    <w:rsid w:val="00FD3893"/>
    <w:rsid w:val="00FD3898"/>
    <w:rsid w:val="00FD39DA"/>
    <w:rsid w:val="00FD39EC"/>
    <w:rsid w:val="00FD3B80"/>
    <w:rsid w:val="00FD3BA2"/>
    <w:rsid w:val="00FD3C46"/>
    <w:rsid w:val="00FD3D05"/>
    <w:rsid w:val="00FD3EF7"/>
    <w:rsid w:val="00FD3FC7"/>
    <w:rsid w:val="00FD3FE1"/>
    <w:rsid w:val="00FD40C2"/>
    <w:rsid w:val="00FD4228"/>
    <w:rsid w:val="00FD42D1"/>
    <w:rsid w:val="00FD42EF"/>
    <w:rsid w:val="00FD4315"/>
    <w:rsid w:val="00FD4449"/>
    <w:rsid w:val="00FD456C"/>
    <w:rsid w:val="00FD4673"/>
    <w:rsid w:val="00FD4749"/>
    <w:rsid w:val="00FD47C4"/>
    <w:rsid w:val="00FD4991"/>
    <w:rsid w:val="00FD4A73"/>
    <w:rsid w:val="00FD4BC3"/>
    <w:rsid w:val="00FD4BD6"/>
    <w:rsid w:val="00FD4BDB"/>
    <w:rsid w:val="00FD4C5D"/>
    <w:rsid w:val="00FD4CDA"/>
    <w:rsid w:val="00FD4DF6"/>
    <w:rsid w:val="00FD4E24"/>
    <w:rsid w:val="00FD4F69"/>
    <w:rsid w:val="00FD4FDB"/>
    <w:rsid w:val="00FD5100"/>
    <w:rsid w:val="00FD5173"/>
    <w:rsid w:val="00FD5298"/>
    <w:rsid w:val="00FD52C1"/>
    <w:rsid w:val="00FD53E0"/>
    <w:rsid w:val="00FD54E8"/>
    <w:rsid w:val="00FD5668"/>
    <w:rsid w:val="00FD597F"/>
    <w:rsid w:val="00FD5B97"/>
    <w:rsid w:val="00FD5CDB"/>
    <w:rsid w:val="00FD5CEC"/>
    <w:rsid w:val="00FD5D09"/>
    <w:rsid w:val="00FD5E9A"/>
    <w:rsid w:val="00FD5F2E"/>
    <w:rsid w:val="00FD609D"/>
    <w:rsid w:val="00FD611C"/>
    <w:rsid w:val="00FD6212"/>
    <w:rsid w:val="00FD6226"/>
    <w:rsid w:val="00FD627B"/>
    <w:rsid w:val="00FD62B4"/>
    <w:rsid w:val="00FD6399"/>
    <w:rsid w:val="00FD63CD"/>
    <w:rsid w:val="00FD6416"/>
    <w:rsid w:val="00FD6425"/>
    <w:rsid w:val="00FD6461"/>
    <w:rsid w:val="00FD6537"/>
    <w:rsid w:val="00FD6565"/>
    <w:rsid w:val="00FD65B4"/>
    <w:rsid w:val="00FD6804"/>
    <w:rsid w:val="00FD6901"/>
    <w:rsid w:val="00FD698B"/>
    <w:rsid w:val="00FD6A5B"/>
    <w:rsid w:val="00FD6A7F"/>
    <w:rsid w:val="00FD6D4E"/>
    <w:rsid w:val="00FD6E66"/>
    <w:rsid w:val="00FD6E89"/>
    <w:rsid w:val="00FD6FBD"/>
    <w:rsid w:val="00FD72C9"/>
    <w:rsid w:val="00FD72DF"/>
    <w:rsid w:val="00FD72F7"/>
    <w:rsid w:val="00FD747F"/>
    <w:rsid w:val="00FD74D4"/>
    <w:rsid w:val="00FD75BD"/>
    <w:rsid w:val="00FD7616"/>
    <w:rsid w:val="00FD7652"/>
    <w:rsid w:val="00FD7753"/>
    <w:rsid w:val="00FD7878"/>
    <w:rsid w:val="00FD7A02"/>
    <w:rsid w:val="00FD7A3B"/>
    <w:rsid w:val="00FD7AC5"/>
    <w:rsid w:val="00FD7B8A"/>
    <w:rsid w:val="00FD7C5F"/>
    <w:rsid w:val="00FD7CC2"/>
    <w:rsid w:val="00FD7D4F"/>
    <w:rsid w:val="00FD7DAE"/>
    <w:rsid w:val="00FE0005"/>
    <w:rsid w:val="00FE0049"/>
    <w:rsid w:val="00FE00E5"/>
    <w:rsid w:val="00FE00F4"/>
    <w:rsid w:val="00FE036C"/>
    <w:rsid w:val="00FE038E"/>
    <w:rsid w:val="00FE03F9"/>
    <w:rsid w:val="00FE046F"/>
    <w:rsid w:val="00FE05F2"/>
    <w:rsid w:val="00FE0657"/>
    <w:rsid w:val="00FE0721"/>
    <w:rsid w:val="00FE0758"/>
    <w:rsid w:val="00FE07CB"/>
    <w:rsid w:val="00FE0825"/>
    <w:rsid w:val="00FE088E"/>
    <w:rsid w:val="00FE0915"/>
    <w:rsid w:val="00FE0AE8"/>
    <w:rsid w:val="00FE0B26"/>
    <w:rsid w:val="00FE0B61"/>
    <w:rsid w:val="00FE0B80"/>
    <w:rsid w:val="00FE0C23"/>
    <w:rsid w:val="00FE0CEE"/>
    <w:rsid w:val="00FE0E2E"/>
    <w:rsid w:val="00FE104A"/>
    <w:rsid w:val="00FE125D"/>
    <w:rsid w:val="00FE138D"/>
    <w:rsid w:val="00FE13DF"/>
    <w:rsid w:val="00FE1408"/>
    <w:rsid w:val="00FE148A"/>
    <w:rsid w:val="00FE15F3"/>
    <w:rsid w:val="00FE16E1"/>
    <w:rsid w:val="00FE1700"/>
    <w:rsid w:val="00FE172F"/>
    <w:rsid w:val="00FE179E"/>
    <w:rsid w:val="00FE18B2"/>
    <w:rsid w:val="00FE190F"/>
    <w:rsid w:val="00FE1929"/>
    <w:rsid w:val="00FE1948"/>
    <w:rsid w:val="00FE1A44"/>
    <w:rsid w:val="00FE1AA0"/>
    <w:rsid w:val="00FE1AB7"/>
    <w:rsid w:val="00FE1ADD"/>
    <w:rsid w:val="00FE1B14"/>
    <w:rsid w:val="00FE1BCF"/>
    <w:rsid w:val="00FE1D48"/>
    <w:rsid w:val="00FE1D8E"/>
    <w:rsid w:val="00FE1ED4"/>
    <w:rsid w:val="00FE1F49"/>
    <w:rsid w:val="00FE1F97"/>
    <w:rsid w:val="00FE20CD"/>
    <w:rsid w:val="00FE20F4"/>
    <w:rsid w:val="00FE2100"/>
    <w:rsid w:val="00FE2226"/>
    <w:rsid w:val="00FE228F"/>
    <w:rsid w:val="00FE239C"/>
    <w:rsid w:val="00FE262E"/>
    <w:rsid w:val="00FE2845"/>
    <w:rsid w:val="00FE29AA"/>
    <w:rsid w:val="00FE29B4"/>
    <w:rsid w:val="00FE29D0"/>
    <w:rsid w:val="00FE2A24"/>
    <w:rsid w:val="00FE2B0E"/>
    <w:rsid w:val="00FE2BDB"/>
    <w:rsid w:val="00FE2CE0"/>
    <w:rsid w:val="00FE2DCF"/>
    <w:rsid w:val="00FE2E33"/>
    <w:rsid w:val="00FE30BF"/>
    <w:rsid w:val="00FE3171"/>
    <w:rsid w:val="00FE3192"/>
    <w:rsid w:val="00FE3228"/>
    <w:rsid w:val="00FE331E"/>
    <w:rsid w:val="00FE334A"/>
    <w:rsid w:val="00FE3367"/>
    <w:rsid w:val="00FE34A5"/>
    <w:rsid w:val="00FE3506"/>
    <w:rsid w:val="00FE36B3"/>
    <w:rsid w:val="00FE3765"/>
    <w:rsid w:val="00FE3863"/>
    <w:rsid w:val="00FE3963"/>
    <w:rsid w:val="00FE3A52"/>
    <w:rsid w:val="00FE3ADF"/>
    <w:rsid w:val="00FE3B70"/>
    <w:rsid w:val="00FE3B75"/>
    <w:rsid w:val="00FE3C50"/>
    <w:rsid w:val="00FE3C83"/>
    <w:rsid w:val="00FE3EFA"/>
    <w:rsid w:val="00FE3F39"/>
    <w:rsid w:val="00FE3FA7"/>
    <w:rsid w:val="00FE4081"/>
    <w:rsid w:val="00FE41DC"/>
    <w:rsid w:val="00FE42A1"/>
    <w:rsid w:val="00FE43E4"/>
    <w:rsid w:val="00FE45BE"/>
    <w:rsid w:val="00FE4606"/>
    <w:rsid w:val="00FE460A"/>
    <w:rsid w:val="00FE4707"/>
    <w:rsid w:val="00FE4879"/>
    <w:rsid w:val="00FE48FF"/>
    <w:rsid w:val="00FE496D"/>
    <w:rsid w:val="00FE49EE"/>
    <w:rsid w:val="00FE4B8B"/>
    <w:rsid w:val="00FE4C30"/>
    <w:rsid w:val="00FE4C3A"/>
    <w:rsid w:val="00FE4C3F"/>
    <w:rsid w:val="00FE4CB8"/>
    <w:rsid w:val="00FE4F42"/>
    <w:rsid w:val="00FE4F6A"/>
    <w:rsid w:val="00FE4F70"/>
    <w:rsid w:val="00FE4FCA"/>
    <w:rsid w:val="00FE5057"/>
    <w:rsid w:val="00FE50CB"/>
    <w:rsid w:val="00FE52C1"/>
    <w:rsid w:val="00FE52DE"/>
    <w:rsid w:val="00FE52F4"/>
    <w:rsid w:val="00FE5372"/>
    <w:rsid w:val="00FE5501"/>
    <w:rsid w:val="00FE566E"/>
    <w:rsid w:val="00FE572C"/>
    <w:rsid w:val="00FE580A"/>
    <w:rsid w:val="00FE58F7"/>
    <w:rsid w:val="00FE59D1"/>
    <w:rsid w:val="00FE5BDC"/>
    <w:rsid w:val="00FE5D73"/>
    <w:rsid w:val="00FE5DFB"/>
    <w:rsid w:val="00FE5EC4"/>
    <w:rsid w:val="00FE5F4B"/>
    <w:rsid w:val="00FE5FD8"/>
    <w:rsid w:val="00FE62D1"/>
    <w:rsid w:val="00FE644A"/>
    <w:rsid w:val="00FE647A"/>
    <w:rsid w:val="00FE65C7"/>
    <w:rsid w:val="00FE6693"/>
    <w:rsid w:val="00FE66D7"/>
    <w:rsid w:val="00FE6916"/>
    <w:rsid w:val="00FE69E9"/>
    <w:rsid w:val="00FE6D62"/>
    <w:rsid w:val="00FE6E9F"/>
    <w:rsid w:val="00FE7024"/>
    <w:rsid w:val="00FE7166"/>
    <w:rsid w:val="00FE72FF"/>
    <w:rsid w:val="00FE733C"/>
    <w:rsid w:val="00FE7500"/>
    <w:rsid w:val="00FE759A"/>
    <w:rsid w:val="00FE75AC"/>
    <w:rsid w:val="00FE7627"/>
    <w:rsid w:val="00FE7690"/>
    <w:rsid w:val="00FE7829"/>
    <w:rsid w:val="00FE78C1"/>
    <w:rsid w:val="00FE799F"/>
    <w:rsid w:val="00FE79FF"/>
    <w:rsid w:val="00FE7A98"/>
    <w:rsid w:val="00FE7B9F"/>
    <w:rsid w:val="00FE7C81"/>
    <w:rsid w:val="00FE7CF2"/>
    <w:rsid w:val="00FE7FFE"/>
    <w:rsid w:val="00FF0332"/>
    <w:rsid w:val="00FF040E"/>
    <w:rsid w:val="00FF0497"/>
    <w:rsid w:val="00FF04BE"/>
    <w:rsid w:val="00FF050E"/>
    <w:rsid w:val="00FF0645"/>
    <w:rsid w:val="00FF0714"/>
    <w:rsid w:val="00FF0958"/>
    <w:rsid w:val="00FF0AEA"/>
    <w:rsid w:val="00FF0C34"/>
    <w:rsid w:val="00FF0C35"/>
    <w:rsid w:val="00FF0D58"/>
    <w:rsid w:val="00FF10AF"/>
    <w:rsid w:val="00FF126F"/>
    <w:rsid w:val="00FF12BD"/>
    <w:rsid w:val="00FF12F3"/>
    <w:rsid w:val="00FF12F6"/>
    <w:rsid w:val="00FF1341"/>
    <w:rsid w:val="00FF15BD"/>
    <w:rsid w:val="00FF181E"/>
    <w:rsid w:val="00FF1823"/>
    <w:rsid w:val="00FF18BF"/>
    <w:rsid w:val="00FF196C"/>
    <w:rsid w:val="00FF19F4"/>
    <w:rsid w:val="00FF1A08"/>
    <w:rsid w:val="00FF1A81"/>
    <w:rsid w:val="00FF20CB"/>
    <w:rsid w:val="00FF2295"/>
    <w:rsid w:val="00FF2490"/>
    <w:rsid w:val="00FF24BB"/>
    <w:rsid w:val="00FF262B"/>
    <w:rsid w:val="00FF26D0"/>
    <w:rsid w:val="00FF271E"/>
    <w:rsid w:val="00FF281E"/>
    <w:rsid w:val="00FF2895"/>
    <w:rsid w:val="00FF28B5"/>
    <w:rsid w:val="00FF28CC"/>
    <w:rsid w:val="00FF2911"/>
    <w:rsid w:val="00FF2913"/>
    <w:rsid w:val="00FF2A4E"/>
    <w:rsid w:val="00FF2A75"/>
    <w:rsid w:val="00FF2C8B"/>
    <w:rsid w:val="00FF2C92"/>
    <w:rsid w:val="00FF2D5D"/>
    <w:rsid w:val="00FF2F02"/>
    <w:rsid w:val="00FF2F6F"/>
    <w:rsid w:val="00FF2FCE"/>
    <w:rsid w:val="00FF310A"/>
    <w:rsid w:val="00FF3283"/>
    <w:rsid w:val="00FF32B2"/>
    <w:rsid w:val="00FF332C"/>
    <w:rsid w:val="00FF3361"/>
    <w:rsid w:val="00FF35C6"/>
    <w:rsid w:val="00FF3745"/>
    <w:rsid w:val="00FF37D2"/>
    <w:rsid w:val="00FF3A59"/>
    <w:rsid w:val="00FF3BC0"/>
    <w:rsid w:val="00FF3CEE"/>
    <w:rsid w:val="00FF3D11"/>
    <w:rsid w:val="00FF3DAB"/>
    <w:rsid w:val="00FF3E43"/>
    <w:rsid w:val="00FF3F5C"/>
    <w:rsid w:val="00FF3F60"/>
    <w:rsid w:val="00FF3FFD"/>
    <w:rsid w:val="00FF403E"/>
    <w:rsid w:val="00FF435D"/>
    <w:rsid w:val="00FF43C5"/>
    <w:rsid w:val="00FF43D2"/>
    <w:rsid w:val="00FF43DC"/>
    <w:rsid w:val="00FF45F1"/>
    <w:rsid w:val="00FF4620"/>
    <w:rsid w:val="00FF4657"/>
    <w:rsid w:val="00FF476D"/>
    <w:rsid w:val="00FF488A"/>
    <w:rsid w:val="00FF4923"/>
    <w:rsid w:val="00FF495F"/>
    <w:rsid w:val="00FF4993"/>
    <w:rsid w:val="00FF4B1C"/>
    <w:rsid w:val="00FF4B81"/>
    <w:rsid w:val="00FF4C5E"/>
    <w:rsid w:val="00FF4D69"/>
    <w:rsid w:val="00FF4F7D"/>
    <w:rsid w:val="00FF51C9"/>
    <w:rsid w:val="00FF53EF"/>
    <w:rsid w:val="00FF5562"/>
    <w:rsid w:val="00FF57B0"/>
    <w:rsid w:val="00FF587A"/>
    <w:rsid w:val="00FF5898"/>
    <w:rsid w:val="00FF5B6B"/>
    <w:rsid w:val="00FF5C57"/>
    <w:rsid w:val="00FF5DC7"/>
    <w:rsid w:val="00FF5DF5"/>
    <w:rsid w:val="00FF5E42"/>
    <w:rsid w:val="00FF5EDC"/>
    <w:rsid w:val="00FF5EE8"/>
    <w:rsid w:val="00FF5F8C"/>
    <w:rsid w:val="00FF60F7"/>
    <w:rsid w:val="00FF619F"/>
    <w:rsid w:val="00FF6402"/>
    <w:rsid w:val="00FF6409"/>
    <w:rsid w:val="00FF64F4"/>
    <w:rsid w:val="00FF64FD"/>
    <w:rsid w:val="00FF6711"/>
    <w:rsid w:val="00FF67E7"/>
    <w:rsid w:val="00FF6BAC"/>
    <w:rsid w:val="00FF6D19"/>
    <w:rsid w:val="00FF6D54"/>
    <w:rsid w:val="00FF6D9D"/>
    <w:rsid w:val="00FF6DB7"/>
    <w:rsid w:val="00FF6EE9"/>
    <w:rsid w:val="00FF7061"/>
    <w:rsid w:val="00FF70B0"/>
    <w:rsid w:val="00FF70D6"/>
    <w:rsid w:val="00FF70EE"/>
    <w:rsid w:val="00FF7237"/>
    <w:rsid w:val="00FF723D"/>
    <w:rsid w:val="00FF72BF"/>
    <w:rsid w:val="00FF730F"/>
    <w:rsid w:val="00FF732B"/>
    <w:rsid w:val="00FF7399"/>
    <w:rsid w:val="00FF73EA"/>
    <w:rsid w:val="00FF7615"/>
    <w:rsid w:val="00FF7620"/>
    <w:rsid w:val="00FF76AA"/>
    <w:rsid w:val="00FF7775"/>
    <w:rsid w:val="00FF782D"/>
    <w:rsid w:val="00FF7848"/>
    <w:rsid w:val="00FF785B"/>
    <w:rsid w:val="00FF78AC"/>
    <w:rsid w:val="00FF7A1B"/>
    <w:rsid w:val="00FF7DB9"/>
    <w:rsid w:val="00FF7DD5"/>
    <w:rsid w:val="00FF7E1F"/>
    <w:rsid w:val="00FF7EA6"/>
    <w:rsid w:val="0285715A"/>
    <w:rsid w:val="044E9124"/>
    <w:rsid w:val="045BAB75"/>
    <w:rsid w:val="046CAC42"/>
    <w:rsid w:val="04B0CAB4"/>
    <w:rsid w:val="04DFC580"/>
    <w:rsid w:val="05ECFFFC"/>
    <w:rsid w:val="091534AE"/>
    <w:rsid w:val="0938E3BD"/>
    <w:rsid w:val="0A72452D"/>
    <w:rsid w:val="0BB3FAB8"/>
    <w:rsid w:val="0C8394B7"/>
    <w:rsid w:val="0D5409B7"/>
    <w:rsid w:val="0EDF171E"/>
    <w:rsid w:val="0F8C8B77"/>
    <w:rsid w:val="112D6E32"/>
    <w:rsid w:val="12531D8F"/>
    <w:rsid w:val="13FE958D"/>
    <w:rsid w:val="14602FA9"/>
    <w:rsid w:val="1473223E"/>
    <w:rsid w:val="14F0C6D0"/>
    <w:rsid w:val="158286BB"/>
    <w:rsid w:val="169E20D9"/>
    <w:rsid w:val="171375C2"/>
    <w:rsid w:val="17D4774A"/>
    <w:rsid w:val="17DF11EC"/>
    <w:rsid w:val="18A5CD55"/>
    <w:rsid w:val="18A9D3E6"/>
    <w:rsid w:val="19CEF80A"/>
    <w:rsid w:val="1A42172D"/>
    <w:rsid w:val="1C07A321"/>
    <w:rsid w:val="1CA27727"/>
    <w:rsid w:val="1CFD4955"/>
    <w:rsid w:val="1D135CBB"/>
    <w:rsid w:val="1D6F82AC"/>
    <w:rsid w:val="1DCBAB42"/>
    <w:rsid w:val="1DCE3427"/>
    <w:rsid w:val="1E56CFDD"/>
    <w:rsid w:val="1E62F4E3"/>
    <w:rsid w:val="1EC6841A"/>
    <w:rsid w:val="1ED0B73B"/>
    <w:rsid w:val="207314C6"/>
    <w:rsid w:val="20D60EDC"/>
    <w:rsid w:val="2114E47F"/>
    <w:rsid w:val="228FF53D"/>
    <w:rsid w:val="2298FDEA"/>
    <w:rsid w:val="230C0CF6"/>
    <w:rsid w:val="248B22CB"/>
    <w:rsid w:val="249E25B6"/>
    <w:rsid w:val="24A15C94"/>
    <w:rsid w:val="2579D1A4"/>
    <w:rsid w:val="2878A619"/>
    <w:rsid w:val="28794AF5"/>
    <w:rsid w:val="287D81DA"/>
    <w:rsid w:val="2894EAA9"/>
    <w:rsid w:val="294BFBFE"/>
    <w:rsid w:val="29502F20"/>
    <w:rsid w:val="2AB5B0A7"/>
    <w:rsid w:val="2ACF4AD6"/>
    <w:rsid w:val="2C036CF8"/>
    <w:rsid w:val="2C0521EF"/>
    <w:rsid w:val="2C54F0F0"/>
    <w:rsid w:val="2D255131"/>
    <w:rsid w:val="2D545689"/>
    <w:rsid w:val="2DE3A37C"/>
    <w:rsid w:val="2FF58C22"/>
    <w:rsid w:val="30582034"/>
    <w:rsid w:val="3107865E"/>
    <w:rsid w:val="325B4CCA"/>
    <w:rsid w:val="33CA2E76"/>
    <w:rsid w:val="33E9AD17"/>
    <w:rsid w:val="34499EBA"/>
    <w:rsid w:val="3522E5DC"/>
    <w:rsid w:val="3553F1DE"/>
    <w:rsid w:val="36DB2FA8"/>
    <w:rsid w:val="3804823C"/>
    <w:rsid w:val="38306E61"/>
    <w:rsid w:val="384EA607"/>
    <w:rsid w:val="3878623E"/>
    <w:rsid w:val="3A666081"/>
    <w:rsid w:val="3A91400D"/>
    <w:rsid w:val="3DD2A919"/>
    <w:rsid w:val="3E03728D"/>
    <w:rsid w:val="3E41A83F"/>
    <w:rsid w:val="3E909BA0"/>
    <w:rsid w:val="3EDA6CF9"/>
    <w:rsid w:val="3EEBF9E1"/>
    <w:rsid w:val="3F103F9D"/>
    <w:rsid w:val="3FA4E70A"/>
    <w:rsid w:val="3FC44DC1"/>
    <w:rsid w:val="4036FDE2"/>
    <w:rsid w:val="40E8F025"/>
    <w:rsid w:val="422F7CEF"/>
    <w:rsid w:val="438C2D81"/>
    <w:rsid w:val="44984B4E"/>
    <w:rsid w:val="44CE256D"/>
    <w:rsid w:val="452156AC"/>
    <w:rsid w:val="456B27E7"/>
    <w:rsid w:val="45BFA672"/>
    <w:rsid w:val="46F205FD"/>
    <w:rsid w:val="46FAD833"/>
    <w:rsid w:val="484339A6"/>
    <w:rsid w:val="4880BCFE"/>
    <w:rsid w:val="48F35AD2"/>
    <w:rsid w:val="493E2712"/>
    <w:rsid w:val="49468706"/>
    <w:rsid w:val="4B4C472A"/>
    <w:rsid w:val="4C90493E"/>
    <w:rsid w:val="4CE97E1C"/>
    <w:rsid w:val="4CEF3911"/>
    <w:rsid w:val="4E6A9536"/>
    <w:rsid w:val="4E745A6B"/>
    <w:rsid w:val="4EC9EF9B"/>
    <w:rsid w:val="4FE5F899"/>
    <w:rsid w:val="508E2CE6"/>
    <w:rsid w:val="50D05051"/>
    <w:rsid w:val="50D56995"/>
    <w:rsid w:val="50FE6A15"/>
    <w:rsid w:val="51B5D9AE"/>
    <w:rsid w:val="5256CDDB"/>
    <w:rsid w:val="537EB701"/>
    <w:rsid w:val="53BE4AF3"/>
    <w:rsid w:val="544D19E0"/>
    <w:rsid w:val="54FFEB46"/>
    <w:rsid w:val="5586959E"/>
    <w:rsid w:val="55B5DBA7"/>
    <w:rsid w:val="5650920C"/>
    <w:rsid w:val="5690FBC1"/>
    <w:rsid w:val="586CD89D"/>
    <w:rsid w:val="5871C0EE"/>
    <w:rsid w:val="58913DE6"/>
    <w:rsid w:val="589C52E1"/>
    <w:rsid w:val="58A9CB70"/>
    <w:rsid w:val="58D55840"/>
    <w:rsid w:val="5A6700AE"/>
    <w:rsid w:val="5ABAF241"/>
    <w:rsid w:val="5ACC0C6A"/>
    <w:rsid w:val="5C61D503"/>
    <w:rsid w:val="5CC1E713"/>
    <w:rsid w:val="5D6CBCDF"/>
    <w:rsid w:val="5D71397B"/>
    <w:rsid w:val="5FAED7DE"/>
    <w:rsid w:val="604B26E8"/>
    <w:rsid w:val="620DCA92"/>
    <w:rsid w:val="627E2068"/>
    <w:rsid w:val="62F68BB4"/>
    <w:rsid w:val="64A4014F"/>
    <w:rsid w:val="652323E4"/>
    <w:rsid w:val="65CB66E1"/>
    <w:rsid w:val="668495A4"/>
    <w:rsid w:val="66CF7388"/>
    <w:rsid w:val="6811B811"/>
    <w:rsid w:val="683B736D"/>
    <w:rsid w:val="692D6129"/>
    <w:rsid w:val="699F33A8"/>
    <w:rsid w:val="69CF7C94"/>
    <w:rsid w:val="6B250076"/>
    <w:rsid w:val="6B4A4F69"/>
    <w:rsid w:val="6B94A8C0"/>
    <w:rsid w:val="6BBE4637"/>
    <w:rsid w:val="6D6E7FA9"/>
    <w:rsid w:val="6E0B6123"/>
    <w:rsid w:val="6FA92980"/>
    <w:rsid w:val="706C1E5B"/>
    <w:rsid w:val="7140DB50"/>
    <w:rsid w:val="71993838"/>
    <w:rsid w:val="72C2AFC5"/>
    <w:rsid w:val="738DA8F4"/>
    <w:rsid w:val="74A21C05"/>
    <w:rsid w:val="75454A1F"/>
    <w:rsid w:val="7561BD78"/>
    <w:rsid w:val="77B10C77"/>
    <w:rsid w:val="78563002"/>
    <w:rsid w:val="785F1ABB"/>
    <w:rsid w:val="79AA1569"/>
    <w:rsid w:val="7AD2E4DF"/>
    <w:rsid w:val="7BE00339"/>
    <w:rsid w:val="7DE77344"/>
    <w:rsid w:val="7F2AFEB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A5D4A96-A3A2-4A5B-BAE5-CB5F36DC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407918"/>
    <w:pPr>
      <w:keepNext/>
      <w:keepLines/>
      <w:spacing w:before="520" w:after="240" w:line="480" w:lineRule="atLeast"/>
      <w:outlineLvl w:val="0"/>
    </w:pPr>
    <w:rPr>
      <w:rFonts w:ascii="Arial" w:eastAsia="MS Gothic" w:hAnsi="Arial" w:cs="Arial"/>
      <w:bCs/>
      <w:color w:val="5C308D"/>
      <w:kern w:val="32"/>
      <w:sz w:val="44"/>
      <w:szCs w:val="44"/>
      <w:lang w:eastAsia="en-US"/>
    </w:rPr>
  </w:style>
  <w:style w:type="paragraph" w:styleId="Heading2">
    <w:name w:val="heading 2"/>
    <w:next w:val="Body"/>
    <w:link w:val="Heading2Char"/>
    <w:uiPriority w:val="1"/>
    <w:qFormat/>
    <w:rsid w:val="00407918"/>
    <w:pPr>
      <w:keepNext/>
      <w:keepLines/>
      <w:spacing w:before="360" w:after="120" w:line="340" w:lineRule="atLeast"/>
      <w:outlineLvl w:val="1"/>
    </w:pPr>
    <w:rPr>
      <w:rFonts w:ascii="Arial" w:hAnsi="Arial"/>
      <w:b/>
      <w:color w:val="5C308D"/>
      <w:sz w:val="32"/>
      <w:szCs w:val="28"/>
      <w:lang w:eastAsia="en-US"/>
    </w:rPr>
  </w:style>
  <w:style w:type="paragraph" w:styleId="Heading3">
    <w:name w:val="heading 3"/>
    <w:next w:val="Body"/>
    <w:link w:val="Heading3Char"/>
    <w:uiPriority w:val="1"/>
    <w:qFormat/>
    <w:rsid w:val="00407918"/>
    <w:pPr>
      <w:keepNext/>
      <w:keepLines/>
      <w:spacing w:before="360" w:after="120" w:line="340" w:lineRule="atLeast"/>
      <w:outlineLvl w:val="2"/>
    </w:pPr>
    <w:rPr>
      <w:rFonts w:ascii="Arial" w:eastAsia="MS Gothic" w:hAnsi="Arial"/>
      <w:bCs/>
      <w:color w:val="5C308D"/>
      <w:sz w:val="28"/>
      <w:szCs w:val="26"/>
      <w:lang w:eastAsia="en-US"/>
    </w:rPr>
  </w:style>
  <w:style w:type="paragraph" w:styleId="Heading4">
    <w:name w:val="heading 4"/>
    <w:next w:val="Body"/>
    <w:link w:val="Heading4Char"/>
    <w:uiPriority w:val="1"/>
    <w:qFormat/>
    <w:rsid w:val="00407918"/>
    <w:pPr>
      <w:keepNext/>
      <w:keepLines/>
      <w:spacing w:before="240" w:after="80" w:line="280" w:lineRule="atLeast"/>
      <w:outlineLvl w:val="3"/>
    </w:pPr>
    <w:rPr>
      <w:rFonts w:ascii="Arial" w:eastAsia="MS Mincho" w:hAnsi="Arial"/>
      <w:b/>
      <w:bCs/>
      <w:color w:val="5C308D"/>
      <w:sz w:val="24"/>
      <w:szCs w:val="22"/>
      <w:lang w:eastAsia="en-US"/>
    </w:rPr>
  </w:style>
  <w:style w:type="paragraph" w:styleId="Heading5">
    <w:name w:val="heading 5"/>
    <w:basedOn w:val="Normal"/>
    <w:next w:val="Body"/>
    <w:link w:val="Heading5Char"/>
    <w:uiPriority w:val="98"/>
    <w:qFormat/>
    <w:rsid w:val="002877F3"/>
    <w:pPr>
      <w:keepNext/>
      <w:keepLines/>
      <w:spacing w:before="240" w:after="80" w:line="240" w:lineRule="atLeast"/>
      <w:outlineLvl w:val="4"/>
    </w:pPr>
    <w:rPr>
      <w:rFonts w:eastAsia="MS Mincho"/>
      <w:b/>
      <w:bCs/>
      <w:iCs/>
      <w:szCs w:val="26"/>
    </w:rPr>
  </w:style>
  <w:style w:type="paragraph" w:styleId="Heading7">
    <w:name w:val="heading 7"/>
    <w:basedOn w:val="Normal"/>
    <w:next w:val="Normal"/>
    <w:link w:val="Heading7Char"/>
    <w:uiPriority w:val="9"/>
    <w:semiHidden/>
    <w:unhideWhenUsed/>
    <w:qFormat/>
    <w:rsid w:val="00E859F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ullet,b,b + line,b1,level 1"/>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407918"/>
    <w:rPr>
      <w:rFonts w:ascii="Arial" w:eastAsia="MS Gothic" w:hAnsi="Arial" w:cs="Arial"/>
      <w:bCs/>
      <w:color w:val="5C308D"/>
      <w:kern w:val="32"/>
      <w:sz w:val="44"/>
      <w:szCs w:val="44"/>
      <w:lang w:eastAsia="en-US"/>
    </w:rPr>
  </w:style>
  <w:style w:type="character" w:customStyle="1" w:styleId="Heading2Char">
    <w:name w:val="Heading 2 Char"/>
    <w:link w:val="Heading2"/>
    <w:uiPriority w:val="1"/>
    <w:rsid w:val="00407918"/>
    <w:rPr>
      <w:rFonts w:ascii="Arial" w:hAnsi="Arial"/>
      <w:b/>
      <w:color w:val="5C308D"/>
      <w:sz w:val="32"/>
      <w:szCs w:val="28"/>
      <w:lang w:eastAsia="en-US"/>
    </w:rPr>
  </w:style>
  <w:style w:type="character" w:customStyle="1" w:styleId="Heading3Char">
    <w:name w:val="Heading 3 Char"/>
    <w:link w:val="Heading3"/>
    <w:uiPriority w:val="1"/>
    <w:rsid w:val="00407918"/>
    <w:rPr>
      <w:rFonts w:ascii="Arial" w:eastAsia="MS Gothic" w:hAnsi="Arial"/>
      <w:bCs/>
      <w:color w:val="5C308D"/>
      <w:sz w:val="28"/>
      <w:szCs w:val="26"/>
      <w:lang w:eastAsia="en-US"/>
    </w:rPr>
  </w:style>
  <w:style w:type="character" w:customStyle="1" w:styleId="Heading4Char">
    <w:name w:val="Heading 4 Char"/>
    <w:link w:val="Heading4"/>
    <w:uiPriority w:val="1"/>
    <w:rsid w:val="00407918"/>
    <w:rPr>
      <w:rFonts w:ascii="Arial" w:eastAsia="MS Mincho" w:hAnsi="Arial"/>
      <w:b/>
      <w:bCs/>
      <w:color w:val="5C308D"/>
      <w:sz w:val="24"/>
      <w:szCs w:val="22"/>
      <w:lang w:eastAsia="en-US"/>
    </w:rPr>
  </w:style>
  <w:style w:type="paragraph" w:styleId="Header">
    <w:name w:val="header"/>
    <w:link w:val="HeaderChar"/>
    <w:uiPriority w:val="10"/>
    <w:rsid w:val="0008170F"/>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2877F3"/>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C2A6E"/>
    <w:pPr>
      <w:spacing w:before="480" w:after="240" w:line="560" w:lineRule="atLeast"/>
    </w:pPr>
    <w:rPr>
      <w:rFonts w:ascii="Arial" w:hAnsi="Arial"/>
      <w:b/>
      <w:color w:val="5C308D"/>
      <w:sz w:val="56"/>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407918"/>
    <w:pPr>
      <w:spacing w:before="80" w:after="60"/>
    </w:pPr>
    <w:rPr>
      <w:rFonts w:ascii="Arial" w:hAnsi="Arial"/>
      <w:b/>
      <w:color w:val="5C308D"/>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2740C9"/>
    <w:rPr>
      <w:rFonts w:cstheme="minorHAnsi"/>
      <w:color w:val="1E5F64"/>
      <w:u w:val="dotted"/>
    </w:rPr>
  </w:style>
  <w:style w:type="paragraph" w:customStyle="1" w:styleId="Documentsubtitle">
    <w:name w:val="Document subtitle"/>
    <w:uiPriority w:val="8"/>
    <w:rsid w:val="00AC2A6E"/>
    <w:pPr>
      <w:spacing w:after="120" w:line="280" w:lineRule="atLeast"/>
    </w:pPr>
    <w:rPr>
      <w:rFonts w:ascii="Arial" w:hAnsi="Arial"/>
      <w:color w:val="5C308D"/>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D62D2B"/>
    <w:pPr>
      <w:spacing w:before="120"/>
      <w:ind w:left="397"/>
    </w:pPr>
    <w:rPr>
      <w:color w:val="287E84"/>
      <w:sz w:val="22"/>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AC2A6E"/>
    <w:pPr>
      <w:spacing w:line="320" w:lineRule="atLeast"/>
    </w:pPr>
    <w:rPr>
      <w:color w:val="5C308D"/>
      <w:sz w:val="24"/>
    </w:rPr>
  </w:style>
  <w:style w:type="character" w:customStyle="1" w:styleId="HeaderChar">
    <w:name w:val="Header Char"/>
    <w:basedOn w:val="DefaultParagraphFont"/>
    <w:link w:val="Header"/>
    <w:uiPriority w:val="10"/>
    <w:rsid w:val="00CF230C"/>
    <w:rPr>
      <w:rFonts w:ascii="Arial" w:hAnsi="Arial" w:cs="Arial"/>
      <w:b/>
      <w:color w:val="201547"/>
      <w:sz w:val="18"/>
      <w:szCs w:val="18"/>
      <w:lang w:eastAsia="en-US"/>
    </w:rPr>
  </w:style>
  <w:style w:type="table" w:customStyle="1" w:styleId="CGEPStable">
    <w:name w:val="CGEPS table"/>
    <w:basedOn w:val="TableNormal"/>
    <w:uiPriority w:val="99"/>
    <w:rsid w:val="00D62D2B"/>
    <w:tblPr>
      <w:tblStyleRowBandSize w:val="1"/>
      <w:tblBorders>
        <w:bottom w:val="single" w:sz="4" w:space="0" w:color="5C308D"/>
        <w:insideH w:val="single" w:sz="4" w:space="0" w:color="5C308D"/>
        <w:insideV w:val="single" w:sz="4" w:space="0" w:color="5C308D"/>
      </w:tblBorders>
    </w:tblPr>
    <w:tcPr>
      <w:shd w:val="clear" w:color="auto" w:fill="EFEAF4"/>
    </w:tcPr>
    <w:tblStylePr w:type="firstRow">
      <w:tblPr/>
      <w:tcPr>
        <w:shd w:val="clear" w:color="auto" w:fill="FFFFFF" w:themeFill="background1"/>
      </w:tcPr>
    </w:tblStylePr>
  </w:style>
  <w:style w:type="paragraph" w:customStyle="1" w:styleId="Nikiheader3">
    <w:name w:val="Niki header 3"/>
    <w:basedOn w:val="Normal"/>
    <w:link w:val="Nikiheader3Char"/>
    <w:autoRedefine/>
    <w:qFormat/>
    <w:rsid w:val="00A16445"/>
    <w:pPr>
      <w:spacing w:before="100" w:beforeAutospacing="1" w:after="100" w:afterAutospacing="1" w:line="240" w:lineRule="auto"/>
    </w:pPr>
    <w:rPr>
      <w:rFonts w:ascii="VIC" w:hAnsi="VIC"/>
      <w:b/>
      <w:bCs/>
      <w:sz w:val="28"/>
      <w:szCs w:val="24"/>
      <w:lang w:eastAsia="en-AU"/>
    </w:rPr>
  </w:style>
  <w:style w:type="character" w:customStyle="1" w:styleId="Nikiheader3Char">
    <w:name w:val="Niki header 3 Char"/>
    <w:basedOn w:val="DefaultParagraphFont"/>
    <w:link w:val="Nikiheader3"/>
    <w:rsid w:val="00A16445"/>
    <w:rPr>
      <w:rFonts w:ascii="VIC" w:hAnsi="VIC"/>
      <w:b/>
      <w:bCs/>
      <w:sz w:val="28"/>
      <w:szCs w:val="24"/>
    </w:rPr>
  </w:style>
  <w:style w:type="paragraph" w:styleId="ListParagraph">
    <w:name w:val="List Paragraph"/>
    <w:basedOn w:val="Normal"/>
    <w:uiPriority w:val="34"/>
    <w:qFormat/>
    <w:rsid w:val="00FE3EF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paragraph" w:customStyle="1" w:styleId="Nikiheader2">
    <w:name w:val="Niki header 2"/>
    <w:basedOn w:val="Normal"/>
    <w:link w:val="Nikiheader2Char"/>
    <w:qFormat/>
    <w:rsid w:val="00170572"/>
    <w:pPr>
      <w:spacing w:before="100" w:beforeAutospacing="1" w:after="100" w:afterAutospacing="1" w:line="240" w:lineRule="auto"/>
      <w:outlineLvl w:val="1"/>
    </w:pPr>
    <w:rPr>
      <w:rFonts w:ascii="VIC" w:hAnsi="VIC"/>
      <w:b/>
      <w:bCs/>
      <w:sz w:val="36"/>
      <w:szCs w:val="36"/>
      <w:lang w:eastAsia="en-AU"/>
    </w:rPr>
  </w:style>
  <w:style w:type="character" w:customStyle="1" w:styleId="Nikiheader2Char">
    <w:name w:val="Niki header 2 Char"/>
    <w:basedOn w:val="DefaultParagraphFont"/>
    <w:link w:val="Nikiheader2"/>
    <w:rsid w:val="00170572"/>
    <w:rPr>
      <w:rFonts w:ascii="VIC" w:hAnsi="VIC"/>
      <w:b/>
      <w:bCs/>
      <w:sz w:val="36"/>
      <w:szCs w:val="36"/>
    </w:rPr>
  </w:style>
  <w:style w:type="character" w:styleId="Mention">
    <w:name w:val="Mention"/>
    <w:basedOn w:val="DefaultParagraphFont"/>
    <w:uiPriority w:val="99"/>
    <w:unhideWhenUsed/>
    <w:rsid w:val="00416A51"/>
    <w:rPr>
      <w:color w:val="2B579A"/>
      <w:shd w:val="clear" w:color="auto" w:fill="E1DFDD"/>
    </w:rPr>
  </w:style>
  <w:style w:type="paragraph" w:styleId="Caption">
    <w:name w:val="caption"/>
    <w:basedOn w:val="Normal"/>
    <w:next w:val="Normal"/>
    <w:uiPriority w:val="35"/>
    <w:unhideWhenUsed/>
    <w:qFormat/>
    <w:rsid w:val="0087536C"/>
    <w:pPr>
      <w:spacing w:after="200" w:line="240" w:lineRule="auto"/>
    </w:pPr>
    <w:rPr>
      <w:i/>
      <w:iCs/>
      <w:color w:val="1F497D" w:themeColor="text2"/>
      <w:sz w:val="18"/>
      <w:szCs w:val="18"/>
    </w:rPr>
  </w:style>
  <w:style w:type="paragraph" w:styleId="NormalWeb">
    <w:name w:val="Normal (Web)"/>
    <w:basedOn w:val="Normal"/>
    <w:uiPriority w:val="99"/>
    <w:semiHidden/>
    <w:unhideWhenUsed/>
    <w:rsid w:val="0055373E"/>
    <w:rPr>
      <w:rFonts w:ascii="Times New Roman" w:hAnsi="Times New Roman"/>
      <w:sz w:val="24"/>
      <w:szCs w:val="24"/>
    </w:rPr>
  </w:style>
  <w:style w:type="paragraph" w:styleId="BodyText">
    <w:name w:val="Body Text"/>
    <w:basedOn w:val="Normal"/>
    <w:link w:val="BodyTextChar"/>
    <w:uiPriority w:val="99"/>
    <w:unhideWhenUsed/>
    <w:rsid w:val="005E3FE3"/>
  </w:style>
  <w:style w:type="character" w:customStyle="1" w:styleId="BodyTextChar">
    <w:name w:val="Body Text Char"/>
    <w:basedOn w:val="DefaultParagraphFont"/>
    <w:link w:val="BodyText"/>
    <w:uiPriority w:val="99"/>
    <w:rsid w:val="005E3FE3"/>
    <w:rPr>
      <w:rFonts w:ascii="Arial" w:hAnsi="Arial"/>
      <w:sz w:val="21"/>
      <w:lang w:eastAsia="en-US"/>
    </w:rPr>
  </w:style>
  <w:style w:type="character" w:customStyle="1" w:styleId="Heading7Char">
    <w:name w:val="Heading 7 Char"/>
    <w:basedOn w:val="DefaultParagraphFont"/>
    <w:link w:val="Heading7"/>
    <w:uiPriority w:val="9"/>
    <w:semiHidden/>
    <w:rsid w:val="00E859F5"/>
    <w:rPr>
      <w:rFonts w:asciiTheme="majorHAnsi" w:eastAsiaTheme="majorEastAsia" w:hAnsiTheme="majorHAnsi" w:cstheme="majorBidi"/>
      <w:i/>
      <w:iCs/>
      <w:color w:val="243F60" w:themeColor="accent1" w:themeShade="7F"/>
      <w:sz w:val="21"/>
      <w:lang w:eastAsia="en-US"/>
    </w:rPr>
  </w:style>
  <w:style w:type="paragraph" w:customStyle="1" w:styleId="font-claude-response-body">
    <w:name w:val="font-claude-response-body"/>
    <w:basedOn w:val="Normal"/>
    <w:rsid w:val="00F136B5"/>
    <w:pPr>
      <w:spacing w:before="100" w:beforeAutospacing="1" w:after="100" w:afterAutospacing="1" w:line="240" w:lineRule="auto"/>
    </w:pPr>
    <w:rPr>
      <w:rFonts w:ascii="Times New Roman" w:hAnsi="Times New Roman"/>
      <w:sz w:val="24"/>
      <w:szCs w:val="24"/>
      <w:lang w:eastAsia="en-AU"/>
    </w:rPr>
  </w:style>
  <w:style w:type="character" w:styleId="Emphasis">
    <w:name w:val="Emphasis"/>
    <w:basedOn w:val="DefaultParagraphFont"/>
    <w:uiPriority w:val="20"/>
    <w:qFormat/>
    <w:rsid w:val="00F136B5"/>
    <w:rPr>
      <w:i/>
      <w:iCs/>
    </w:rPr>
  </w:style>
  <w:style w:type="paragraph" w:customStyle="1" w:styleId="isselectedend">
    <w:name w:val="isselectedend"/>
    <w:basedOn w:val="Normal"/>
    <w:rsid w:val="00F136B5"/>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derequalitycommission.vic.gov.au/gender-audit-guide-and-templates" TargetMode="External"/><Relationship Id="rId117" Type="http://schemas.openxmlformats.org/officeDocument/2006/relationships/header" Target="header2.xml"/><Relationship Id="rId21" Type="http://schemas.openxmlformats.org/officeDocument/2006/relationships/hyperlink" Target="https://www.genderequalitycommission.vic.gov.au/our-reconciliation-action-plan" TargetMode="External"/><Relationship Id="rId42" Type="http://schemas.openxmlformats.org/officeDocument/2006/relationships/image" Target="media/image8.jpg"/><Relationship Id="rId47" Type="http://schemas.openxmlformats.org/officeDocument/2006/relationships/image" Target="media/image10.jpg"/><Relationship Id="rId63" Type="http://schemas.openxmlformats.org/officeDocument/2006/relationships/hyperlink" Target="https://www.genderequalitycommission.vic.gov.au/audit-guidance-2025/audit-handbook-overview" TargetMode="External"/><Relationship Id="rId68" Type="http://schemas.openxmlformats.org/officeDocument/2006/relationships/hyperlink" Target="https://www.abs.gov.au/statistics/classifications/osca-occupation-standard-classification-australia/2024-version-1-0" TargetMode="External"/><Relationship Id="rId84" Type="http://schemas.openxmlformats.org/officeDocument/2006/relationships/hyperlink" Target="https://www.genderequalitycommission.vic.gov.au/insights-report-sexual-harassment" TargetMode="External"/><Relationship Id="rId89" Type="http://schemas.openxmlformats.org/officeDocument/2006/relationships/hyperlink" Target="https://journals.sagepub.com/doi/10.1177/1095796017700135" TargetMode="External"/><Relationship Id="rId112" Type="http://schemas.openxmlformats.org/officeDocument/2006/relationships/hyperlink" Target="https://www.wgea.gov.au/sites/default/files/documents/Negotiation-Paper-Final_0.pdf" TargetMode="External"/><Relationship Id="rId16" Type="http://schemas.openxmlformats.org/officeDocument/2006/relationships/hyperlink" Target="mailto:enquiries@genderequalitycommission.vic.gov.au" TargetMode="External"/><Relationship Id="rId107" Type="http://schemas.openxmlformats.org/officeDocument/2006/relationships/hyperlink" Target="https://pubmed.ncbi.nlm.nih.gov/23433245/" TargetMode="External"/><Relationship Id="rId11" Type="http://schemas.openxmlformats.org/officeDocument/2006/relationships/image" Target="media/image1.png"/><Relationship Id="rId32" Type="http://schemas.openxmlformats.org/officeDocument/2006/relationships/hyperlink" Target="https://www.genderequalitycommission.vic.gov.au/insights-report-pay-gap" TargetMode="External"/><Relationship Id="rId37" Type="http://schemas.openxmlformats.org/officeDocument/2006/relationships/image" Target="media/image3.jpg"/><Relationship Id="rId53" Type="http://schemas.openxmlformats.org/officeDocument/2006/relationships/hyperlink" Target="https://www.genderequalitycommission.vic.gov.au/baseline-audit-report-2021" TargetMode="External"/><Relationship Id="rId58" Type="http://schemas.openxmlformats.org/officeDocument/2006/relationships/hyperlink" Target="https://www.genderequalitycommission.vic.gov.au/intersectionality-work/introduction" TargetMode="External"/><Relationship Id="rId74" Type="http://schemas.openxmlformats.org/officeDocument/2006/relationships/hyperlink" Target="https://journals.sagepub.com/doi/10.1177/0018726709354131" TargetMode="External"/><Relationship Id="rId79" Type="http://schemas.openxmlformats.org/officeDocument/2006/relationships/hyperlink" Target="https://www.mdpi.com/2226-4787/9/4/173" TargetMode="External"/><Relationship Id="rId102" Type="http://schemas.openxmlformats.org/officeDocument/2006/relationships/hyperlink" Target="https://ministers.pmc.gov.au/gallagher/2024/more-paid-parental-leave-australian-families-ever" TargetMode="External"/><Relationship Id="rId5" Type="http://schemas.openxmlformats.org/officeDocument/2006/relationships/numbering" Target="numbering.xml"/><Relationship Id="rId90" Type="http://schemas.openxmlformats.org/officeDocument/2006/relationships/hyperlink" Target="https://www.sciencedirect.com/science/article/abs/pii/S0313592614000277" TargetMode="External"/><Relationship Id="rId95" Type="http://schemas.openxmlformats.org/officeDocument/2006/relationships/hyperlink" Target="https://journals.sagepub.com/doi/10.1177/08862605241271368" TargetMode="External"/><Relationship Id="rId22" Type="http://schemas.openxmlformats.org/officeDocument/2006/relationships/hyperlink" Target="https://www.genderequalitycommission.vic.gov.au/baseline-audit-report-2021" TargetMode="External"/><Relationship Id="rId27" Type="http://schemas.openxmlformats.org/officeDocument/2006/relationships/hyperlink" Target="https://www.genderequalitycommission.vic.gov.au/baseline-audit-report-2021" TargetMode="External"/><Relationship Id="rId43" Type="http://schemas.openxmlformats.org/officeDocument/2006/relationships/image" Target="media/image9.jpg"/><Relationship Id="rId48" Type="http://schemas.openxmlformats.org/officeDocument/2006/relationships/image" Target="media/image11.jpg"/><Relationship Id="rId64" Type="http://schemas.openxmlformats.org/officeDocument/2006/relationships/hyperlink" Target="mailto:enquiries@genderequalitycommission.vic.gov.au" TargetMode="External"/><Relationship Id="rId69" Type="http://schemas.openxmlformats.org/officeDocument/2006/relationships/hyperlink" Target="https://www.abs.gov.au/statistics/labour/employment-and-unemployment/labour-force-australia/latest-release" TargetMode="External"/><Relationship Id="rId113" Type="http://schemas.openxmlformats.org/officeDocument/2006/relationships/hyperlink" Target="https://www.wgea.gov.au/publications/employer-gender-pay-gaps-report" TargetMode="External"/><Relationship Id="rId118" Type="http://schemas.openxmlformats.org/officeDocument/2006/relationships/header" Target="header3.xml"/><Relationship Id="rId80" Type="http://schemas.openxmlformats.org/officeDocument/2006/relationships/hyperlink" Target="https://www.wgea.gov.au/sites/default/files/documents/BCEC%20WGEA%20Gender%20Equity%20Insights%202020%20Delivering%20the%20Business%20Outcomes_WEB_FINAL.pdf" TargetMode="External"/><Relationship Id="rId85" Type="http://schemas.openxmlformats.org/officeDocument/2006/relationships/hyperlink" Target="https://hbr.org/2021/11/achieving-gender-balance-at-all-levels-of-your-company" TargetMode="External"/><Relationship Id="rId12" Type="http://schemas.openxmlformats.org/officeDocument/2006/relationships/header" Target="header1.xml"/><Relationship Id="rId17" Type="http://schemas.openxmlformats.org/officeDocument/2006/relationships/hyperlink" Target="https://creativecommons.org/licenses/by/4.0/" TargetMode="External"/><Relationship Id="rId33" Type="http://schemas.openxmlformats.org/officeDocument/2006/relationships/hyperlink" Target="https://www.genderequalitycommission.vic.gov.au/insights-report-pay-gap" TargetMode="External"/><Relationship Id="rId38" Type="http://schemas.openxmlformats.org/officeDocument/2006/relationships/image" Target="media/image4.jpg"/><Relationship Id="rId59" Type="http://schemas.openxmlformats.org/officeDocument/2006/relationships/hyperlink" Target="https://www.genderequalitycommission.vic.gov.au/intersectionality-work" TargetMode="External"/><Relationship Id="rId103" Type="http://schemas.openxmlformats.org/officeDocument/2006/relationships/hyperlink" Target="https://onlinelibrary.wiley.com/doi/full/10.1111/1475-4932.70012" TargetMode="External"/><Relationship Id="rId108" Type="http://schemas.openxmlformats.org/officeDocument/2006/relationships/hyperlink" Target="https://www.vic.gov.au/our-equal-state-victorias-gender-equality-strategy-and-action-plan-2023-2027" TargetMode="External"/><Relationship Id="rId54" Type="http://schemas.openxmlformats.org/officeDocument/2006/relationships/hyperlink" Target="https://www.genderequalitycommission.vic.gov.au/intersectionality-work" TargetMode="External"/><Relationship Id="rId70" Type="http://schemas.openxmlformats.org/officeDocument/2006/relationships/hyperlink" Target="https://www.sciencedirect.com/science/article/pii/S0927537122001737?via%3Dihub" TargetMode="External"/><Relationship Id="rId75" Type="http://schemas.openxmlformats.org/officeDocument/2006/relationships/hyperlink" Target="https://papers.ssrn.com/sol3/papers.cfm?abstract_id=2840107" TargetMode="External"/><Relationship Id="rId91" Type="http://schemas.openxmlformats.org/officeDocument/2006/relationships/hyperlink" Target="https://www.gastrojournal.org/article/S0016-5085(07)00404-0/fulltext" TargetMode="External"/><Relationship Id="rId96" Type="http://schemas.openxmlformats.org/officeDocument/2006/relationships/hyperlink" Target="https://doi.org/10.1080/13504851.2013.856991"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enderequalitycommission.vic.gov.au/funded-research-project-2024-targets-pilot" TargetMode="External"/><Relationship Id="rId28" Type="http://schemas.openxmlformats.org/officeDocument/2006/relationships/hyperlink" Target="https://www.vic.gov.au/diversity-victorian-government-board-guidelines/key-considerations-cohorts/women" TargetMode="External"/><Relationship Id="rId49" Type="http://schemas.openxmlformats.org/officeDocument/2006/relationships/hyperlink" Target="https://www.genderequalitycommission.vic.gov.au/baseline-audit-report-2021" TargetMode="External"/><Relationship Id="rId114" Type="http://schemas.openxmlformats.org/officeDocument/2006/relationships/hyperlink" Target="https://www.wgea.gov.au/publications/2025-shes-pricedless-report-released" TargetMode="External"/><Relationship Id="rId119" Type="http://schemas.openxmlformats.org/officeDocument/2006/relationships/footer" Target="footer4.xml"/><Relationship Id="rId44" Type="http://schemas.openxmlformats.org/officeDocument/2006/relationships/hyperlink" Target="https://www.genderequalitycommission.vic.gov.au/insights-report-sexual-harassment" TargetMode="External"/><Relationship Id="rId60" Type="http://schemas.openxmlformats.org/officeDocument/2006/relationships/hyperlink" Target="https://www.genderequalitycommission.vic.gov.au/sites/default/files/2022-12/Baseline-report-2021-workplace-gender-audit-data-analysis.pdf" TargetMode="External"/><Relationship Id="rId65" Type="http://schemas.openxmlformats.org/officeDocument/2006/relationships/hyperlink" Target="https://www.genderequalitycommission.vic.gov.au/baseline-audit-report-2021/appendix-1" TargetMode="External"/><Relationship Id="rId81" Type="http://schemas.openxmlformats.org/officeDocument/2006/relationships/hyperlink" Target="https://www.genderequalitycommission.vic.gov.au/baseline-audit-report-2021" TargetMode="External"/><Relationship Id="rId86" Type="http://schemas.openxmlformats.org/officeDocument/2006/relationships/hyperlink" Target="https://www.genderequalitycommission.vic.gov.au/2022-research-projects/caring-and-workplace-gender-equality-public-secto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9" Type="http://schemas.openxmlformats.org/officeDocument/2006/relationships/image" Target="media/image5.jpg"/><Relationship Id="rId109" Type="http://schemas.openxmlformats.org/officeDocument/2006/relationships/hyperlink" Target="https://www.vpsc.vic.gov.au/public-sector-data/data-sets-and-reports/past-releases/2020-workforce-data-facts-and-visuals/board-numbers-and-demographics" TargetMode="External"/><Relationship Id="rId34" Type="http://schemas.openxmlformats.org/officeDocument/2006/relationships/hyperlink" Target="https://www.genderequalitycommission.vic.gov.au/gender-audit-guide-and-templates" TargetMode="External"/><Relationship Id="rId50" Type="http://schemas.openxmlformats.org/officeDocument/2006/relationships/hyperlink" Target="https://www.genderequalitycommission.vic.gov.au/gender-audit-guide-and-templates" TargetMode="External"/><Relationship Id="rId55" Type="http://schemas.openxmlformats.org/officeDocument/2006/relationships/hyperlink" Target="https://www.genderequalitycommission.vic.gov.au/baseline-audit-report-2021" TargetMode="External"/><Relationship Id="rId76" Type="http://schemas.openxmlformats.org/officeDocument/2006/relationships/hyperlink" Target="https://www.superannuation.asn.au/media-release/retirement-savings-improving-but-still-a-savings-gap-for-many/" TargetMode="External"/><Relationship Id="rId97" Type="http://schemas.openxmlformats.org/officeDocument/2006/relationships/hyperlink" Target="https://ajle.org/index.php/ajle_home/article/view/28" TargetMode="External"/><Relationship Id="rId104" Type="http://schemas.openxmlformats.org/officeDocument/2006/relationships/hyperlink" Target="https://www.sciencedirect.com/science/article/abs/pii/S0191308508000051" TargetMode="External"/><Relationship Id="rId120"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hyperlink" Target="https://humanrights.gov.au/resource-hub/human-rights/respectwork-sexual-harassment-national-inquiry-report-2020" TargetMode="External"/><Relationship Id="rId92" Type="http://schemas.openxmlformats.org/officeDocument/2006/relationships/hyperlink" Target="https://www.genderequalitycommission.vic.gov.au/2022-research-projects/assessing-progress-implementing-gender-equality-act-2020-rmit-university" TargetMode="External"/><Relationship Id="rId2" Type="http://schemas.openxmlformats.org/officeDocument/2006/relationships/customXml" Target="../customXml/item2.xml"/><Relationship Id="rId29" Type="http://schemas.openxmlformats.org/officeDocument/2006/relationships/hyperlink" Target="https://www.vic.gov.au/our-equal-state-victorias-gender-equality-strategy-and-action-plan-2023-2027/our-actions" TargetMode="External"/><Relationship Id="rId24" Type="http://schemas.openxmlformats.org/officeDocument/2006/relationships/hyperlink" Target="https://www.genderequalitycommission.vic.gov.au/baseline-audit-report-2021" TargetMode="External"/><Relationship Id="rId40" Type="http://schemas.openxmlformats.org/officeDocument/2006/relationships/image" Target="media/image6.jpg"/><Relationship Id="rId45" Type="http://schemas.openxmlformats.org/officeDocument/2006/relationships/hyperlink" Target="https://www.genderequalitycommission.vic.gov.au/intersectionality-work" TargetMode="External"/><Relationship Id="rId66" Type="http://schemas.openxmlformats.org/officeDocument/2006/relationships/hyperlink" Target="https://www.genderequalitycommission.vic.gov.au/which-organisations-have-obligations" TargetMode="External"/><Relationship Id="rId87" Type="http://schemas.openxmlformats.org/officeDocument/2006/relationships/hyperlink" Target="https://www.proquest.com/scholarly-journals/womens-work-myth-reality-occupational/docview/2826427484/se-2" TargetMode="External"/><Relationship Id="rId110" Type="http://schemas.openxmlformats.org/officeDocument/2006/relationships/hyperlink" Target="https://onlinelibrary.wiley.com/doi/abs/10.1111/j.1468-0432.2005.00270.x" TargetMode="External"/><Relationship Id="rId115" Type="http://schemas.openxmlformats.org/officeDocument/2006/relationships/hyperlink" Target="https://eric.ed.gov/?id=ED623391" TargetMode="External"/><Relationship Id="rId61" Type="http://schemas.openxmlformats.org/officeDocument/2006/relationships/hyperlink" Target="https://www.genderequalitycommission.vic.gov.au/intersectionality-work" TargetMode="External"/><Relationship Id="rId82" Type="http://schemas.openxmlformats.org/officeDocument/2006/relationships/hyperlink" Target="https://www.genderequalitycommission.vic.gov.au/intersectionality-work" TargetMode="External"/><Relationship Id="rId19" Type="http://schemas.openxmlformats.org/officeDocument/2006/relationships/hyperlink" Target="https://creativecommons.org/licenses/by/4.0/" TargetMode="External"/><Relationship Id="rId14" Type="http://schemas.openxmlformats.org/officeDocument/2006/relationships/footer" Target="footer2.xml"/><Relationship Id="rId30" Type="http://schemas.openxmlformats.org/officeDocument/2006/relationships/hyperlink" Target="https://www.vic.gov.au/diversity-victorian-government-board-guidelines/key-considerations-cohorts/women" TargetMode="External"/><Relationship Id="rId35" Type="http://schemas.openxmlformats.org/officeDocument/2006/relationships/hyperlink" Target="https://www.genderequalitycommission.vic.gov.au/intersectionality-work" TargetMode="External"/><Relationship Id="rId56" Type="http://schemas.openxmlformats.org/officeDocument/2006/relationships/hyperlink" Target="https://www.genderequalitycommission.vic.gov.au/baseline-audit-report-2021" TargetMode="External"/><Relationship Id="rId77" Type="http://schemas.openxmlformats.org/officeDocument/2006/relationships/hyperlink" Target="https://journals.open.tudelft.nl/footprint/article/view/872" TargetMode="External"/><Relationship Id="rId100" Type="http://schemas.openxmlformats.org/officeDocument/2006/relationships/hyperlink" Target="https://www.tandfonline.com/doi/full/10.1080/10926771003705056" TargetMode="External"/><Relationship Id="rId105" Type="http://schemas.openxmlformats.org/officeDocument/2006/relationships/hyperlink" Target="https://www.violenceorpoverty.com/the-choice" TargetMode="External"/><Relationship Id="rId8" Type="http://schemas.openxmlformats.org/officeDocument/2006/relationships/webSettings" Target="webSettings.xml"/><Relationship Id="rId51" Type="http://schemas.openxmlformats.org/officeDocument/2006/relationships/hyperlink" Target="https://www.genderequalitycommission.vic.gov.au/baseline-audit-report-2021" TargetMode="External"/><Relationship Id="rId72" Type="http://schemas.openxmlformats.org/officeDocument/2006/relationships/hyperlink" Target="https://humanrights.gov.au/time-for-respect-2022" TargetMode="External"/><Relationship Id="rId93" Type="http://schemas.openxmlformats.org/officeDocument/2006/relationships/hyperlink" Target="https://onlinelibrary.wiley.com/doi/abs/10.1111/1744-7941.12158" TargetMode="External"/><Relationship Id="rId98" Type="http://schemas.openxmlformats.org/officeDocument/2006/relationships/hyperlink" Target="https://doi.org/10.1111/j.1475-4932.2005.00271.x"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onlinelibrary.wiley.com/doi/10.1111/1744-7941.12158" TargetMode="External"/><Relationship Id="rId46" Type="http://schemas.openxmlformats.org/officeDocument/2006/relationships/hyperlink" Target="https://www.genderequalitycommission.vic.gov.au/insights-report-sexual-harassment" TargetMode="External"/><Relationship Id="rId67" Type="http://schemas.openxmlformats.org/officeDocument/2006/relationships/hyperlink" Target="https://www.abs.gov.au/statistics/classifications/anzsco-australian-and-new-zealand-standard-classification-occupations/2022" TargetMode="External"/><Relationship Id="rId116" Type="http://schemas.openxmlformats.org/officeDocument/2006/relationships/hyperlink" Target="https://journals.sagepub.com/doi/abs/10.1177/0950017014559267" TargetMode="External"/><Relationship Id="rId20" Type="http://schemas.openxmlformats.org/officeDocument/2006/relationships/hyperlink" Target="https://www.genderequalitycommission.vic.gov.au/state-gender-equality-victorias-public-sector" TargetMode="External"/><Relationship Id="rId41" Type="http://schemas.openxmlformats.org/officeDocument/2006/relationships/image" Target="media/image7.jpg"/><Relationship Id="rId62" Type="http://schemas.openxmlformats.org/officeDocument/2006/relationships/hyperlink" Target="https://www.genderequalitycommission.vic.gov.au/audit-guidance-2025/audit-handbook-employee-dataset" TargetMode="External"/><Relationship Id="rId83" Type="http://schemas.openxmlformats.org/officeDocument/2006/relationships/hyperlink" Target="https://www.genderequalitycommission.vic.gov.au/insights-report-pay-gap" TargetMode="External"/><Relationship Id="rId88" Type="http://schemas.openxmlformats.org/officeDocument/2006/relationships/hyperlink" Target="https://eprints.gla.ac.uk/223605/" TargetMode="External"/><Relationship Id="rId111" Type="http://schemas.openxmlformats.org/officeDocument/2006/relationships/hyperlink" Target="https://doi.org/10.1080/24721840.2020.1796488" TargetMode="External"/><Relationship Id="rId15" Type="http://schemas.openxmlformats.org/officeDocument/2006/relationships/footer" Target="footer3.xml"/><Relationship Id="rId36" Type="http://schemas.openxmlformats.org/officeDocument/2006/relationships/hyperlink" Target="https://www.health.gov.au/sites/default/files/2025-07/modified-monash-model-fact-sheet.pdf" TargetMode="External"/><Relationship Id="rId57" Type="http://schemas.openxmlformats.org/officeDocument/2006/relationships/hyperlink" Target="https://www.genderequalitycommission.vic.gov.au/baseline-audit-report-2021" TargetMode="External"/><Relationship Id="rId106" Type="http://schemas.openxmlformats.org/officeDocument/2006/relationships/hyperlink" Target="https://www.genderequalitycommission.vic.gov.au/2022-research-projects/rurality-and-workforce-participation" TargetMode="External"/><Relationship Id="rId10" Type="http://schemas.openxmlformats.org/officeDocument/2006/relationships/endnotes" Target="endnotes.xml"/><Relationship Id="rId31" Type="http://schemas.openxmlformats.org/officeDocument/2006/relationships/hyperlink" Target="https://www.genderequalitycommission.vic.gov.au/how-local-government-geaps-can-support-more-women-stand-council" TargetMode="External"/><Relationship Id="rId52" Type="http://schemas.openxmlformats.org/officeDocument/2006/relationships/hyperlink" Target="https://www.dtf.vic.gov.au/victorian-public-service-enterprise-agreement-2024" TargetMode="External"/><Relationship Id="rId73" Type="http://schemas.openxmlformats.org/officeDocument/2006/relationships/hyperlink" Target="https://humanrights.gov.au/resource-hub/by-resource-type/reports/sex-and-gender-rights/the-speaking-from-experience-report" TargetMode="External"/><Relationship Id="rId78" Type="http://schemas.openxmlformats.org/officeDocument/2006/relationships/hyperlink" Target="https://www.vlga.org.au/sites/default/files/Women%27s%20Participation%20and%20Representation%20in%20Local%20Govt-Qualitative%20Research%20Report_FINAL-1_1.pdf" TargetMode="External"/><Relationship Id="rId94" Type="http://schemas.openxmlformats.org/officeDocument/2006/relationships/hyperlink" Target="https://www.jobsandskills.gov.au/publications/new-perspectives-old-problems-gendered-jobs-work-and-pay" TargetMode="External"/><Relationship Id="rId99" Type="http://schemas.openxmlformats.org/officeDocument/2006/relationships/hyperlink" Target="https://journals.sagepub.com/doi/abs/10.1177/0950017014564615" TargetMode="External"/><Relationship Id="rId101" Type="http://schemas.openxmlformats.org/officeDocument/2006/relationships/hyperlink" Target="https://www.tandfonline.com/doi/full/10.1080/02673037.2023.2254721"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ocalgovernment.vic.gov.au/our-programs/gender-equity" TargetMode="External"/><Relationship Id="rId1" Type="http://schemas.openxmlformats.org/officeDocument/2006/relationships/hyperlink" Target="https://www.mav.asn.au/__data/assets/pdf_file/0016/43009/Women-elected-to-councils-in-the-2024-Victorian-local-government-ele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0f00e27-c35f-46eb-9301-c9e2bd24673f">
      <Terms xmlns="http://schemas.microsoft.com/office/infopath/2007/PartnerControls"/>
    </lcf76f155ced4ddcb4097134ff3c332f>
    <_Flow_SignoffStatus xmlns="50f00e27-c35f-46eb-9301-c9e2bd24673f" xsi:nil="true"/>
    <TRIMstatus xmlns="50f00e27-c35f-46eb-9301-c9e2bd24673f" xsi:nil="true"/>
    <TRIMreference xmlns="50f00e27-c35f-46eb-9301-c9e2bd2467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5DF7B4C3396B4DA0F821E47AA844D3" ma:contentTypeVersion="27" ma:contentTypeDescription="Create a new document." ma:contentTypeScope="" ma:versionID="5b6fd5d9ea998eada1333091b1455c61">
  <xsd:schema xmlns:xsd="http://www.w3.org/2001/XMLSchema" xmlns:xs="http://www.w3.org/2001/XMLSchema" xmlns:p="http://schemas.microsoft.com/office/2006/metadata/properties" xmlns:ns2="50f00e27-c35f-46eb-9301-c9e2bd24673f" xmlns:ns3="27cb37dd-16a1-4d7b-8276-5c0e4168f63b" xmlns:ns4="5ce0f2b5-5be5-4508-bce9-d7011ece0659" targetNamespace="http://schemas.microsoft.com/office/2006/metadata/properties" ma:root="true" ma:fieldsID="85142a79911c6fdde72977312a338f27" ns2:_="" ns3:_="" ns4:_="">
    <xsd:import namespace="50f00e27-c35f-46eb-9301-c9e2bd24673f"/>
    <xsd:import namespace="27cb37dd-16a1-4d7b-8276-5c0e4168f63b"/>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TRIMstatus" minOccurs="0"/>
                <xsd:element ref="ns2:TRIMreference"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0e27-c35f-46eb-9301-c9e2bd246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TRIMstatus" ma:index="24" nillable="true" ma:displayName="TRIM status" ma:description="Use to tag files to be TRIMed." ma:format="Dropdown" ma:indexed="true" ma:internalName="TRIMstatus">
      <xsd:simpleType>
        <xsd:union memberTypes="dms:Text">
          <xsd:simpleType>
            <xsd:restriction base="dms:Choice">
              <xsd:enumeration value="Add to TRIM"/>
              <xsd:enumeration value="In TRIM"/>
            </xsd:restriction>
          </xsd:simpleType>
        </xsd:union>
      </xsd:simpleType>
    </xsd:element>
    <xsd:element name="TRIMreference" ma:index="25" nillable="true" ma:displayName="TRIM reference" ma:description="reference number of the item once added to TRIM" ma:format="Dropdown" ma:internalName="TRIMreference">
      <xsd:simpleType>
        <xsd:restriction base="dms:Text">
          <xsd:maxLength value="255"/>
        </xsd:restriction>
      </xsd:simple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b37dd-16a1-4d7b-8276-5c0e4168f6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f6a2839-b962-4dc1-b61e-14f2804e3be3}" ma:internalName="TaxCatchAll" ma:showField="CatchAllData" ma:web="27cb37dd-16a1-4d7b-8276-5c0e4168f6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50f00e27-c35f-46eb-9301-c9e2bd24673f"/>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3F7BB1C6-9068-490E-AABA-3681C5862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0e27-c35f-46eb-9301-c9e2bd24673f"/>
    <ds:schemaRef ds:uri="27cb37dd-16a1-4d7b-8276-5c0e4168f63b"/>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35921</Words>
  <Characters>204750</Characters>
  <Application>Microsoft Office Word</Application>
  <DocSecurity>0</DocSecurity>
  <Lines>1706</Lines>
  <Paragraphs>480</Paragraphs>
  <ScaleCrop>false</ScaleCrop>
  <HeadingPairs>
    <vt:vector size="2" baseType="variant">
      <vt:variant>
        <vt:lpstr>Title</vt:lpstr>
      </vt:variant>
      <vt:variant>
        <vt:i4>1</vt:i4>
      </vt:variant>
    </vt:vector>
  </HeadingPairs>
  <TitlesOfParts>
    <vt:vector size="1" baseType="lpstr">
      <vt:lpstr>State of Gender Equality in Victoria's Public Sector 2026</vt:lpstr>
    </vt:vector>
  </TitlesOfParts>
  <Company>Victoria State Government, Commission for Gender Equality in the Public Sector</Company>
  <LinksUpToDate>false</LinksUpToDate>
  <CharactersWithSpaces>240191</CharactersWithSpaces>
  <SharedDoc>false</SharedDoc>
  <HyperlinkBase/>
  <HLinks>
    <vt:vector size="2136" baseType="variant">
      <vt:variant>
        <vt:i4>1638467</vt:i4>
      </vt:variant>
      <vt:variant>
        <vt:i4>837</vt:i4>
      </vt:variant>
      <vt:variant>
        <vt:i4>0</vt:i4>
      </vt:variant>
      <vt:variant>
        <vt:i4>5</vt:i4>
      </vt:variant>
      <vt:variant>
        <vt:lpwstr>https://journals.sagepub.com/doi/abs/10.1177/0950017014559267</vt:lpwstr>
      </vt:variant>
      <vt:variant>
        <vt:lpwstr/>
      </vt:variant>
      <vt:variant>
        <vt:i4>720917</vt:i4>
      </vt:variant>
      <vt:variant>
        <vt:i4>834</vt:i4>
      </vt:variant>
      <vt:variant>
        <vt:i4>0</vt:i4>
      </vt:variant>
      <vt:variant>
        <vt:i4>5</vt:i4>
      </vt:variant>
      <vt:variant>
        <vt:lpwstr>https://eric.ed.gov/?id=ED623391</vt:lpwstr>
      </vt:variant>
      <vt:variant>
        <vt:lpwstr/>
      </vt:variant>
      <vt:variant>
        <vt:i4>2031625</vt:i4>
      </vt:variant>
      <vt:variant>
        <vt:i4>831</vt:i4>
      </vt:variant>
      <vt:variant>
        <vt:i4>0</vt:i4>
      </vt:variant>
      <vt:variant>
        <vt:i4>5</vt:i4>
      </vt:variant>
      <vt:variant>
        <vt:lpwstr>https://www.wgea.gov.au/publications/2025-shes-pricedless-report-released</vt:lpwstr>
      </vt:variant>
      <vt:variant>
        <vt:lpwstr/>
      </vt:variant>
      <vt:variant>
        <vt:i4>983071</vt:i4>
      </vt:variant>
      <vt:variant>
        <vt:i4>828</vt:i4>
      </vt:variant>
      <vt:variant>
        <vt:i4>0</vt:i4>
      </vt:variant>
      <vt:variant>
        <vt:i4>5</vt:i4>
      </vt:variant>
      <vt:variant>
        <vt:lpwstr>https://www.wgea.gov.au/publications/employer-gender-pay-gaps-report</vt:lpwstr>
      </vt:variant>
      <vt:variant>
        <vt:lpwstr/>
      </vt:variant>
      <vt:variant>
        <vt:i4>1245308</vt:i4>
      </vt:variant>
      <vt:variant>
        <vt:i4>825</vt:i4>
      </vt:variant>
      <vt:variant>
        <vt:i4>0</vt:i4>
      </vt:variant>
      <vt:variant>
        <vt:i4>5</vt:i4>
      </vt:variant>
      <vt:variant>
        <vt:lpwstr>https://www.wgea.gov.au/sites/default/files/documents/Negotiation-Paper-Final_0.pdf</vt:lpwstr>
      </vt:variant>
      <vt:variant>
        <vt:lpwstr/>
      </vt:variant>
      <vt:variant>
        <vt:i4>131144</vt:i4>
      </vt:variant>
      <vt:variant>
        <vt:i4>822</vt:i4>
      </vt:variant>
      <vt:variant>
        <vt:i4>0</vt:i4>
      </vt:variant>
      <vt:variant>
        <vt:i4>5</vt:i4>
      </vt:variant>
      <vt:variant>
        <vt:lpwstr>https://doi.org/10.1080/24721840.2020.1796488</vt:lpwstr>
      </vt:variant>
      <vt:variant>
        <vt:lpwstr/>
      </vt:variant>
      <vt:variant>
        <vt:i4>262164</vt:i4>
      </vt:variant>
      <vt:variant>
        <vt:i4>819</vt:i4>
      </vt:variant>
      <vt:variant>
        <vt:i4>0</vt:i4>
      </vt:variant>
      <vt:variant>
        <vt:i4>5</vt:i4>
      </vt:variant>
      <vt:variant>
        <vt:lpwstr>https://onlinelibrary.wiley.com/doi/abs/10.1111/j.1468-0432.2005.00270.x</vt:lpwstr>
      </vt:variant>
      <vt:variant>
        <vt:lpwstr/>
      </vt:variant>
      <vt:variant>
        <vt:i4>2424893</vt:i4>
      </vt:variant>
      <vt:variant>
        <vt:i4>816</vt:i4>
      </vt:variant>
      <vt:variant>
        <vt:i4>0</vt:i4>
      </vt:variant>
      <vt:variant>
        <vt:i4>5</vt:i4>
      </vt:variant>
      <vt:variant>
        <vt:lpwstr>https://www.vpsc.vic.gov.au/public-sector-data/data-sets-and-reports/past-releases/2020-workforce-data-facts-and-visuals/board-numbers-and-demographics</vt:lpwstr>
      </vt:variant>
      <vt:variant>
        <vt:lpwstr/>
      </vt:variant>
      <vt:variant>
        <vt:i4>2818163</vt:i4>
      </vt:variant>
      <vt:variant>
        <vt:i4>813</vt:i4>
      </vt:variant>
      <vt:variant>
        <vt:i4>0</vt:i4>
      </vt:variant>
      <vt:variant>
        <vt:i4>5</vt:i4>
      </vt:variant>
      <vt:variant>
        <vt:lpwstr>https://www.vic.gov.au/our-equal-state-victorias-gender-equality-strategy-and-action-plan-2023-2027</vt:lpwstr>
      </vt:variant>
      <vt:variant>
        <vt:lpwstr/>
      </vt:variant>
      <vt:variant>
        <vt:i4>851974</vt:i4>
      </vt:variant>
      <vt:variant>
        <vt:i4>810</vt:i4>
      </vt:variant>
      <vt:variant>
        <vt:i4>0</vt:i4>
      </vt:variant>
      <vt:variant>
        <vt:i4>5</vt:i4>
      </vt:variant>
      <vt:variant>
        <vt:lpwstr>https://pubmed.ncbi.nlm.nih.gov/23433245/</vt:lpwstr>
      </vt:variant>
      <vt:variant>
        <vt:lpwstr/>
      </vt:variant>
      <vt:variant>
        <vt:i4>7143531</vt:i4>
      </vt:variant>
      <vt:variant>
        <vt:i4>807</vt:i4>
      </vt:variant>
      <vt:variant>
        <vt:i4>0</vt:i4>
      </vt:variant>
      <vt:variant>
        <vt:i4>5</vt:i4>
      </vt:variant>
      <vt:variant>
        <vt:lpwstr>https://www.genderequalitycommission.vic.gov.au/2022-research-projects/rurality-and-workforce-participation</vt:lpwstr>
      </vt:variant>
      <vt:variant>
        <vt:lpwstr/>
      </vt:variant>
      <vt:variant>
        <vt:i4>327757</vt:i4>
      </vt:variant>
      <vt:variant>
        <vt:i4>804</vt:i4>
      </vt:variant>
      <vt:variant>
        <vt:i4>0</vt:i4>
      </vt:variant>
      <vt:variant>
        <vt:i4>5</vt:i4>
      </vt:variant>
      <vt:variant>
        <vt:lpwstr>https://www.violenceorpoverty.com/the-choice</vt:lpwstr>
      </vt:variant>
      <vt:variant>
        <vt:lpwstr/>
      </vt:variant>
      <vt:variant>
        <vt:i4>2621536</vt:i4>
      </vt:variant>
      <vt:variant>
        <vt:i4>801</vt:i4>
      </vt:variant>
      <vt:variant>
        <vt:i4>0</vt:i4>
      </vt:variant>
      <vt:variant>
        <vt:i4>5</vt:i4>
      </vt:variant>
      <vt:variant>
        <vt:lpwstr>https://www.sciencedirect.com/science/article/abs/pii/S0191308508000051</vt:lpwstr>
      </vt:variant>
      <vt:variant>
        <vt:lpwstr/>
      </vt:variant>
      <vt:variant>
        <vt:i4>327753</vt:i4>
      </vt:variant>
      <vt:variant>
        <vt:i4>798</vt:i4>
      </vt:variant>
      <vt:variant>
        <vt:i4>0</vt:i4>
      </vt:variant>
      <vt:variant>
        <vt:i4>5</vt:i4>
      </vt:variant>
      <vt:variant>
        <vt:lpwstr>https://onlinelibrary.wiley.com/doi/full/10.1111/1475-4932.70012</vt:lpwstr>
      </vt:variant>
      <vt:variant>
        <vt:lpwstr/>
      </vt:variant>
      <vt:variant>
        <vt:i4>589913</vt:i4>
      </vt:variant>
      <vt:variant>
        <vt:i4>795</vt:i4>
      </vt:variant>
      <vt:variant>
        <vt:i4>0</vt:i4>
      </vt:variant>
      <vt:variant>
        <vt:i4>5</vt:i4>
      </vt:variant>
      <vt:variant>
        <vt:lpwstr>https://ministers.pmc.gov.au/gallagher/2024/more-paid-parental-leave-australian-families-ever</vt:lpwstr>
      </vt:variant>
      <vt:variant>
        <vt:lpwstr/>
      </vt:variant>
      <vt:variant>
        <vt:i4>2228342</vt:i4>
      </vt:variant>
      <vt:variant>
        <vt:i4>792</vt:i4>
      </vt:variant>
      <vt:variant>
        <vt:i4>0</vt:i4>
      </vt:variant>
      <vt:variant>
        <vt:i4>5</vt:i4>
      </vt:variant>
      <vt:variant>
        <vt:lpwstr>https://www.tandfonline.com/doi/full/10.1080/02673037.2023.2254721</vt:lpwstr>
      </vt:variant>
      <vt:variant>
        <vt:lpwstr/>
      </vt:variant>
      <vt:variant>
        <vt:i4>3407981</vt:i4>
      </vt:variant>
      <vt:variant>
        <vt:i4>789</vt:i4>
      </vt:variant>
      <vt:variant>
        <vt:i4>0</vt:i4>
      </vt:variant>
      <vt:variant>
        <vt:i4>5</vt:i4>
      </vt:variant>
      <vt:variant>
        <vt:lpwstr>https://www.tandfonline.com/doi/full/10.1080/10926771003705056</vt:lpwstr>
      </vt:variant>
      <vt:variant>
        <vt:lpwstr/>
      </vt:variant>
      <vt:variant>
        <vt:i4>1245252</vt:i4>
      </vt:variant>
      <vt:variant>
        <vt:i4>786</vt:i4>
      </vt:variant>
      <vt:variant>
        <vt:i4>0</vt:i4>
      </vt:variant>
      <vt:variant>
        <vt:i4>5</vt:i4>
      </vt:variant>
      <vt:variant>
        <vt:lpwstr>https://journals.sagepub.com/doi/abs/10.1177/0950017014564615</vt:lpwstr>
      </vt:variant>
      <vt:variant>
        <vt:lpwstr/>
      </vt:variant>
      <vt:variant>
        <vt:i4>5898261</vt:i4>
      </vt:variant>
      <vt:variant>
        <vt:i4>783</vt:i4>
      </vt:variant>
      <vt:variant>
        <vt:i4>0</vt:i4>
      </vt:variant>
      <vt:variant>
        <vt:i4>5</vt:i4>
      </vt:variant>
      <vt:variant>
        <vt:lpwstr>https://doi.org/10.1111/j.1475-4932.2005.00271.x</vt:lpwstr>
      </vt:variant>
      <vt:variant>
        <vt:lpwstr/>
      </vt:variant>
      <vt:variant>
        <vt:i4>2883597</vt:i4>
      </vt:variant>
      <vt:variant>
        <vt:i4>780</vt:i4>
      </vt:variant>
      <vt:variant>
        <vt:i4>0</vt:i4>
      </vt:variant>
      <vt:variant>
        <vt:i4>5</vt:i4>
      </vt:variant>
      <vt:variant>
        <vt:lpwstr>https://ajle.org/index.php/ajle_home/article/view/28</vt:lpwstr>
      </vt:variant>
      <vt:variant>
        <vt:lpwstr/>
      </vt:variant>
      <vt:variant>
        <vt:i4>65605</vt:i4>
      </vt:variant>
      <vt:variant>
        <vt:i4>777</vt:i4>
      </vt:variant>
      <vt:variant>
        <vt:i4>0</vt:i4>
      </vt:variant>
      <vt:variant>
        <vt:i4>5</vt:i4>
      </vt:variant>
      <vt:variant>
        <vt:lpwstr>https://doi.org/10.1080/13504851.2013.856991</vt:lpwstr>
      </vt:variant>
      <vt:variant>
        <vt:lpwstr/>
      </vt:variant>
      <vt:variant>
        <vt:i4>3604537</vt:i4>
      </vt:variant>
      <vt:variant>
        <vt:i4>774</vt:i4>
      </vt:variant>
      <vt:variant>
        <vt:i4>0</vt:i4>
      </vt:variant>
      <vt:variant>
        <vt:i4>5</vt:i4>
      </vt:variant>
      <vt:variant>
        <vt:lpwstr>https://journals.sagepub.com/doi/10.1177/08862605241271368</vt:lpwstr>
      </vt:variant>
      <vt:variant>
        <vt:lpwstr/>
      </vt:variant>
      <vt:variant>
        <vt:i4>2883624</vt:i4>
      </vt:variant>
      <vt:variant>
        <vt:i4>771</vt:i4>
      </vt:variant>
      <vt:variant>
        <vt:i4>0</vt:i4>
      </vt:variant>
      <vt:variant>
        <vt:i4>5</vt:i4>
      </vt:variant>
      <vt:variant>
        <vt:lpwstr>https://www.jobsandskills.gov.au/publications/new-perspectives-old-problems-gendered-jobs-work-and-pay</vt:lpwstr>
      </vt:variant>
      <vt:variant>
        <vt:lpwstr/>
      </vt:variant>
      <vt:variant>
        <vt:i4>7143543</vt:i4>
      </vt:variant>
      <vt:variant>
        <vt:i4>768</vt:i4>
      </vt:variant>
      <vt:variant>
        <vt:i4>0</vt:i4>
      </vt:variant>
      <vt:variant>
        <vt:i4>5</vt:i4>
      </vt:variant>
      <vt:variant>
        <vt:lpwstr>https://onlinelibrary.wiley.com/doi/abs/10.1111/1744-7941.12158</vt:lpwstr>
      </vt:variant>
      <vt:variant>
        <vt:lpwstr/>
      </vt:variant>
      <vt:variant>
        <vt:i4>7143474</vt:i4>
      </vt:variant>
      <vt:variant>
        <vt:i4>765</vt:i4>
      </vt:variant>
      <vt:variant>
        <vt:i4>0</vt:i4>
      </vt:variant>
      <vt:variant>
        <vt:i4>5</vt:i4>
      </vt:variant>
      <vt:variant>
        <vt:lpwstr>https://www.genderequalitycommission.vic.gov.au/2022-research-projects/assessing-progress-implementing-gender-equality-act-2020-rmit-university</vt:lpwstr>
      </vt:variant>
      <vt:variant>
        <vt:lpwstr/>
      </vt:variant>
      <vt:variant>
        <vt:i4>6225985</vt:i4>
      </vt:variant>
      <vt:variant>
        <vt:i4>762</vt:i4>
      </vt:variant>
      <vt:variant>
        <vt:i4>0</vt:i4>
      </vt:variant>
      <vt:variant>
        <vt:i4>5</vt:i4>
      </vt:variant>
      <vt:variant>
        <vt:lpwstr>https://www.gastrojournal.org/article/S0016-5085(07)00404-0/fulltext</vt:lpwstr>
      </vt:variant>
      <vt:variant>
        <vt:lpwstr/>
      </vt:variant>
      <vt:variant>
        <vt:i4>3080292</vt:i4>
      </vt:variant>
      <vt:variant>
        <vt:i4>759</vt:i4>
      </vt:variant>
      <vt:variant>
        <vt:i4>0</vt:i4>
      </vt:variant>
      <vt:variant>
        <vt:i4>5</vt:i4>
      </vt:variant>
      <vt:variant>
        <vt:lpwstr>https://www.sciencedirect.com/science/article/abs/pii/S0313592614000277</vt:lpwstr>
      </vt:variant>
      <vt:variant>
        <vt:lpwstr/>
      </vt:variant>
      <vt:variant>
        <vt:i4>917519</vt:i4>
      </vt:variant>
      <vt:variant>
        <vt:i4>756</vt:i4>
      </vt:variant>
      <vt:variant>
        <vt:i4>0</vt:i4>
      </vt:variant>
      <vt:variant>
        <vt:i4>5</vt:i4>
      </vt:variant>
      <vt:variant>
        <vt:lpwstr>https://journals.sagepub.com/doi/10.1177/1095796017700135</vt:lpwstr>
      </vt:variant>
      <vt:variant>
        <vt:lpwstr/>
      </vt:variant>
      <vt:variant>
        <vt:i4>1572953</vt:i4>
      </vt:variant>
      <vt:variant>
        <vt:i4>753</vt:i4>
      </vt:variant>
      <vt:variant>
        <vt:i4>0</vt:i4>
      </vt:variant>
      <vt:variant>
        <vt:i4>5</vt:i4>
      </vt:variant>
      <vt:variant>
        <vt:lpwstr>https://eprints.gla.ac.uk/223605/</vt:lpwstr>
      </vt:variant>
      <vt:variant>
        <vt:lpwstr/>
      </vt:variant>
      <vt:variant>
        <vt:i4>4259929</vt:i4>
      </vt:variant>
      <vt:variant>
        <vt:i4>750</vt:i4>
      </vt:variant>
      <vt:variant>
        <vt:i4>0</vt:i4>
      </vt:variant>
      <vt:variant>
        <vt:i4>5</vt:i4>
      </vt:variant>
      <vt:variant>
        <vt:lpwstr>https://www.proquest.com/scholarly-journals/womens-work-myth-reality-occupational/docview/2826427484/se-2</vt:lpwstr>
      </vt:variant>
      <vt:variant>
        <vt:lpwstr/>
      </vt:variant>
      <vt:variant>
        <vt:i4>4653065</vt:i4>
      </vt:variant>
      <vt:variant>
        <vt:i4>747</vt:i4>
      </vt:variant>
      <vt:variant>
        <vt:i4>0</vt:i4>
      </vt:variant>
      <vt:variant>
        <vt:i4>5</vt:i4>
      </vt:variant>
      <vt:variant>
        <vt:lpwstr>https://www.genderequalitycommission.vic.gov.au/2022-research-projects/caring-and-workplace-gender-equality-public-sector</vt:lpwstr>
      </vt:variant>
      <vt:variant>
        <vt:lpwstr/>
      </vt:variant>
      <vt:variant>
        <vt:i4>6357045</vt:i4>
      </vt:variant>
      <vt:variant>
        <vt:i4>744</vt:i4>
      </vt:variant>
      <vt:variant>
        <vt:i4>0</vt:i4>
      </vt:variant>
      <vt:variant>
        <vt:i4>5</vt:i4>
      </vt:variant>
      <vt:variant>
        <vt:lpwstr>https://hbr.org/2021/11/achieving-gender-balance-at-all-levels-of-your-company</vt:lpwstr>
      </vt:variant>
      <vt:variant>
        <vt:lpwstr/>
      </vt:variant>
      <vt:variant>
        <vt:i4>5242889</vt:i4>
      </vt:variant>
      <vt:variant>
        <vt:i4>741</vt:i4>
      </vt:variant>
      <vt:variant>
        <vt:i4>0</vt:i4>
      </vt:variant>
      <vt:variant>
        <vt:i4>5</vt:i4>
      </vt:variant>
      <vt:variant>
        <vt:lpwstr>https://www.genderequalitycommission.vic.gov.au/insights-report-sexual-harassment</vt:lpwstr>
      </vt:variant>
      <vt:variant>
        <vt:lpwstr/>
      </vt:variant>
      <vt:variant>
        <vt:i4>7012406</vt:i4>
      </vt:variant>
      <vt:variant>
        <vt:i4>738</vt:i4>
      </vt:variant>
      <vt:variant>
        <vt:i4>0</vt:i4>
      </vt:variant>
      <vt:variant>
        <vt:i4>5</vt:i4>
      </vt:variant>
      <vt:variant>
        <vt:lpwstr>https://www.genderequalitycommission.vic.gov.au/insights-report-pay-gap</vt:lpwstr>
      </vt:variant>
      <vt:variant>
        <vt:lpwstr/>
      </vt:variant>
      <vt:variant>
        <vt:i4>2752615</vt:i4>
      </vt:variant>
      <vt:variant>
        <vt:i4>735</vt:i4>
      </vt:variant>
      <vt:variant>
        <vt:i4>0</vt:i4>
      </vt:variant>
      <vt:variant>
        <vt:i4>5</vt:i4>
      </vt:variant>
      <vt:variant>
        <vt:lpwstr>https://www.genderequalitycommission.vic.gov.au/intersectionality-work</vt:lpwstr>
      </vt:variant>
      <vt:variant>
        <vt:lpwstr/>
      </vt:variant>
      <vt:variant>
        <vt:i4>2228339</vt:i4>
      </vt:variant>
      <vt:variant>
        <vt:i4>732</vt:i4>
      </vt:variant>
      <vt:variant>
        <vt:i4>0</vt:i4>
      </vt:variant>
      <vt:variant>
        <vt:i4>5</vt:i4>
      </vt:variant>
      <vt:variant>
        <vt:lpwstr>https://www.genderequalitycommission.vic.gov.au/baseline-audit-report-2021</vt:lpwstr>
      </vt:variant>
      <vt:variant>
        <vt:lpwstr/>
      </vt:variant>
      <vt:variant>
        <vt:i4>8257570</vt:i4>
      </vt:variant>
      <vt:variant>
        <vt:i4>729</vt:i4>
      </vt:variant>
      <vt:variant>
        <vt:i4>0</vt:i4>
      </vt:variant>
      <vt:variant>
        <vt:i4>5</vt:i4>
      </vt:variant>
      <vt:variant>
        <vt:lpwstr>https://www.wgea.gov.au/sites/default/files/documents/BCEC WGEA Gender Equity Insights 2020 Delivering the Business Outcomes_WEB_FINAL.pdf</vt:lpwstr>
      </vt:variant>
      <vt:variant>
        <vt:lpwstr/>
      </vt:variant>
      <vt:variant>
        <vt:i4>6881315</vt:i4>
      </vt:variant>
      <vt:variant>
        <vt:i4>726</vt:i4>
      </vt:variant>
      <vt:variant>
        <vt:i4>0</vt:i4>
      </vt:variant>
      <vt:variant>
        <vt:i4>5</vt:i4>
      </vt:variant>
      <vt:variant>
        <vt:lpwstr>https://www.mdpi.com/2226-4787/9/4/173</vt:lpwstr>
      </vt:variant>
      <vt:variant>
        <vt:lpwstr/>
      </vt:variant>
      <vt:variant>
        <vt:i4>2359354</vt:i4>
      </vt:variant>
      <vt:variant>
        <vt:i4>723</vt:i4>
      </vt:variant>
      <vt:variant>
        <vt:i4>0</vt:i4>
      </vt:variant>
      <vt:variant>
        <vt:i4>5</vt:i4>
      </vt:variant>
      <vt:variant>
        <vt:lpwstr>https://www.vlga.org.au/sites/default/files/Women%27s Participation and Representation in Local Govt-Qualitative Research Report_FINAL-1_1.pdf</vt:lpwstr>
      </vt:variant>
      <vt:variant>
        <vt:lpwstr/>
      </vt:variant>
      <vt:variant>
        <vt:i4>7471218</vt:i4>
      </vt:variant>
      <vt:variant>
        <vt:i4>720</vt:i4>
      </vt:variant>
      <vt:variant>
        <vt:i4>0</vt:i4>
      </vt:variant>
      <vt:variant>
        <vt:i4>5</vt:i4>
      </vt:variant>
      <vt:variant>
        <vt:lpwstr>https://journals.open.tudelft.nl/footprint/article/view/872</vt:lpwstr>
      </vt:variant>
      <vt:variant>
        <vt:lpwstr/>
      </vt:variant>
      <vt:variant>
        <vt:i4>2293859</vt:i4>
      </vt:variant>
      <vt:variant>
        <vt:i4>717</vt:i4>
      </vt:variant>
      <vt:variant>
        <vt:i4>0</vt:i4>
      </vt:variant>
      <vt:variant>
        <vt:i4>5</vt:i4>
      </vt:variant>
      <vt:variant>
        <vt:lpwstr>https://www.superannuation.asn.au/media-release/retirement-savings-improving-but-still-a-savings-gap-for-many/</vt:lpwstr>
      </vt:variant>
      <vt:variant>
        <vt:lpwstr/>
      </vt:variant>
      <vt:variant>
        <vt:i4>4128841</vt:i4>
      </vt:variant>
      <vt:variant>
        <vt:i4>714</vt:i4>
      </vt:variant>
      <vt:variant>
        <vt:i4>0</vt:i4>
      </vt:variant>
      <vt:variant>
        <vt:i4>5</vt:i4>
      </vt:variant>
      <vt:variant>
        <vt:lpwstr>https://papers.ssrn.com/sol3/papers.cfm?abstract_id=2840107</vt:lpwstr>
      </vt:variant>
      <vt:variant>
        <vt:lpwstr/>
      </vt:variant>
      <vt:variant>
        <vt:i4>393221</vt:i4>
      </vt:variant>
      <vt:variant>
        <vt:i4>711</vt:i4>
      </vt:variant>
      <vt:variant>
        <vt:i4>0</vt:i4>
      </vt:variant>
      <vt:variant>
        <vt:i4>5</vt:i4>
      </vt:variant>
      <vt:variant>
        <vt:lpwstr>https://journals.sagepub.com/doi/10.1177/0018726709354131</vt:lpwstr>
      </vt:variant>
      <vt:variant>
        <vt:lpwstr/>
      </vt:variant>
      <vt:variant>
        <vt:i4>8192126</vt:i4>
      </vt:variant>
      <vt:variant>
        <vt:i4>708</vt:i4>
      </vt:variant>
      <vt:variant>
        <vt:i4>0</vt:i4>
      </vt:variant>
      <vt:variant>
        <vt:i4>5</vt:i4>
      </vt:variant>
      <vt:variant>
        <vt:lpwstr>https://humanrights.gov.au/resource-hub/by-resource-type/reports/sex-and-gender-rights/the-speaking-from-experience-report</vt:lpwstr>
      </vt:variant>
      <vt:variant>
        <vt:lpwstr/>
      </vt:variant>
      <vt:variant>
        <vt:i4>5308430</vt:i4>
      </vt:variant>
      <vt:variant>
        <vt:i4>705</vt:i4>
      </vt:variant>
      <vt:variant>
        <vt:i4>0</vt:i4>
      </vt:variant>
      <vt:variant>
        <vt:i4>5</vt:i4>
      </vt:variant>
      <vt:variant>
        <vt:lpwstr>https://humanrights.gov.au/time-for-respect-2022</vt:lpwstr>
      </vt:variant>
      <vt:variant>
        <vt:lpwstr/>
      </vt:variant>
      <vt:variant>
        <vt:i4>6750270</vt:i4>
      </vt:variant>
      <vt:variant>
        <vt:i4>702</vt:i4>
      </vt:variant>
      <vt:variant>
        <vt:i4>0</vt:i4>
      </vt:variant>
      <vt:variant>
        <vt:i4>5</vt:i4>
      </vt:variant>
      <vt:variant>
        <vt:lpwstr>https://humanrights.gov.au/resource-hub/human-rights/respectwork-sexual-harassment-national-inquiry-report-2020</vt:lpwstr>
      </vt:variant>
      <vt:variant>
        <vt:lpwstr/>
      </vt:variant>
      <vt:variant>
        <vt:i4>8323193</vt:i4>
      </vt:variant>
      <vt:variant>
        <vt:i4>699</vt:i4>
      </vt:variant>
      <vt:variant>
        <vt:i4>0</vt:i4>
      </vt:variant>
      <vt:variant>
        <vt:i4>5</vt:i4>
      </vt:variant>
      <vt:variant>
        <vt:lpwstr>https://www.sciencedirect.com/science/article/pii/S0927537122001737?via%3Dihub</vt:lpwstr>
      </vt:variant>
      <vt:variant>
        <vt:lpwstr/>
      </vt:variant>
      <vt:variant>
        <vt:i4>2359338</vt:i4>
      </vt:variant>
      <vt:variant>
        <vt:i4>696</vt:i4>
      </vt:variant>
      <vt:variant>
        <vt:i4>0</vt:i4>
      </vt:variant>
      <vt:variant>
        <vt:i4>5</vt:i4>
      </vt:variant>
      <vt:variant>
        <vt:lpwstr>https://www.abs.gov.au/statistics/labour/employment-and-unemployment/labour-force-australia/latest-release</vt:lpwstr>
      </vt:variant>
      <vt:variant>
        <vt:lpwstr/>
      </vt:variant>
      <vt:variant>
        <vt:i4>64</vt:i4>
      </vt:variant>
      <vt:variant>
        <vt:i4>693</vt:i4>
      </vt:variant>
      <vt:variant>
        <vt:i4>0</vt:i4>
      </vt:variant>
      <vt:variant>
        <vt:i4>5</vt:i4>
      </vt:variant>
      <vt:variant>
        <vt:lpwstr>https://www.abs.gov.au/statistics/classifications/osca-occupation-standard-classification-australia/2024-version-1-0</vt:lpwstr>
      </vt:variant>
      <vt:variant>
        <vt:lpwstr/>
      </vt:variant>
      <vt:variant>
        <vt:i4>5636108</vt:i4>
      </vt:variant>
      <vt:variant>
        <vt:i4>690</vt:i4>
      </vt:variant>
      <vt:variant>
        <vt:i4>0</vt:i4>
      </vt:variant>
      <vt:variant>
        <vt:i4>5</vt:i4>
      </vt:variant>
      <vt:variant>
        <vt:lpwstr>https://www.abs.gov.au/statistics/classifications/anzsco-australian-and-new-zealand-standard-classification-occupations/2022</vt:lpwstr>
      </vt:variant>
      <vt:variant>
        <vt:lpwstr/>
      </vt:variant>
      <vt:variant>
        <vt:i4>1572951</vt:i4>
      </vt:variant>
      <vt:variant>
        <vt:i4>687</vt:i4>
      </vt:variant>
      <vt:variant>
        <vt:i4>0</vt:i4>
      </vt:variant>
      <vt:variant>
        <vt:i4>5</vt:i4>
      </vt:variant>
      <vt:variant>
        <vt:lpwstr>https://www.genderequalitycommission.vic.gov.au/which-organisations-have-obligations</vt:lpwstr>
      </vt:variant>
      <vt:variant>
        <vt:lpwstr/>
      </vt:variant>
      <vt:variant>
        <vt:i4>1638485</vt:i4>
      </vt:variant>
      <vt:variant>
        <vt:i4>684</vt:i4>
      </vt:variant>
      <vt:variant>
        <vt:i4>0</vt:i4>
      </vt:variant>
      <vt:variant>
        <vt:i4>5</vt:i4>
      </vt:variant>
      <vt:variant>
        <vt:lpwstr>https://www.genderequalitycommission.vic.gov.au/baseline-audit-report-2021/appendix-1</vt:lpwstr>
      </vt:variant>
      <vt:variant>
        <vt:lpwstr/>
      </vt:variant>
      <vt:variant>
        <vt:i4>4653158</vt:i4>
      </vt:variant>
      <vt:variant>
        <vt:i4>681</vt:i4>
      </vt:variant>
      <vt:variant>
        <vt:i4>0</vt:i4>
      </vt:variant>
      <vt:variant>
        <vt:i4>5</vt:i4>
      </vt:variant>
      <vt:variant>
        <vt:lpwstr>mailto:enquiries@genderequalitycommission.vic.gov.au</vt:lpwstr>
      </vt:variant>
      <vt:variant>
        <vt:lpwstr/>
      </vt:variant>
      <vt:variant>
        <vt:i4>7012411</vt:i4>
      </vt:variant>
      <vt:variant>
        <vt:i4>678</vt:i4>
      </vt:variant>
      <vt:variant>
        <vt:i4>0</vt:i4>
      </vt:variant>
      <vt:variant>
        <vt:i4>5</vt:i4>
      </vt:variant>
      <vt:variant>
        <vt:lpwstr>https://www.genderequalitycommission.vic.gov.au/audit-guidance-2025/audit-handbook-overview</vt:lpwstr>
      </vt:variant>
      <vt:variant>
        <vt:lpwstr>summary-of-changes-between-2023-and-2025</vt:lpwstr>
      </vt:variant>
      <vt:variant>
        <vt:i4>8192053</vt:i4>
      </vt:variant>
      <vt:variant>
        <vt:i4>675</vt:i4>
      </vt:variant>
      <vt:variant>
        <vt:i4>0</vt:i4>
      </vt:variant>
      <vt:variant>
        <vt:i4>5</vt:i4>
      </vt:variant>
      <vt:variant>
        <vt:lpwstr>https://www.genderequalitycommission.vic.gov.au/audit-guidance-2025/audit-handbook-employee-dataset</vt:lpwstr>
      </vt:variant>
      <vt:variant>
        <vt:lpwstr>employee-type</vt:lpwstr>
      </vt:variant>
      <vt:variant>
        <vt:i4>2752615</vt:i4>
      </vt:variant>
      <vt:variant>
        <vt:i4>672</vt:i4>
      </vt:variant>
      <vt:variant>
        <vt:i4>0</vt:i4>
      </vt:variant>
      <vt:variant>
        <vt:i4>5</vt:i4>
      </vt:variant>
      <vt:variant>
        <vt:lpwstr>https://www.genderequalitycommission.vic.gov.au/intersectionality-work</vt:lpwstr>
      </vt:variant>
      <vt:variant>
        <vt:lpwstr/>
      </vt:variant>
      <vt:variant>
        <vt:i4>5439509</vt:i4>
      </vt:variant>
      <vt:variant>
        <vt:i4>669</vt:i4>
      </vt:variant>
      <vt:variant>
        <vt:i4>0</vt:i4>
      </vt:variant>
      <vt:variant>
        <vt:i4>5</vt:i4>
      </vt:variant>
      <vt:variant>
        <vt:lpwstr>https://www.genderequalitycommission.vic.gov.au/sites/default/files/2022-12/Baseline-report-2021-workplace-gender-audit-data-analysis.pdf</vt:lpwstr>
      </vt:variant>
      <vt:variant>
        <vt:lpwstr/>
      </vt:variant>
      <vt:variant>
        <vt:i4>2752615</vt:i4>
      </vt:variant>
      <vt:variant>
        <vt:i4>666</vt:i4>
      </vt:variant>
      <vt:variant>
        <vt:i4>0</vt:i4>
      </vt:variant>
      <vt:variant>
        <vt:i4>5</vt:i4>
      </vt:variant>
      <vt:variant>
        <vt:lpwstr>https://www.genderequalitycommission.vic.gov.au/intersectionality-work</vt:lpwstr>
      </vt:variant>
      <vt:variant>
        <vt:lpwstr/>
      </vt:variant>
      <vt:variant>
        <vt:i4>5505100</vt:i4>
      </vt:variant>
      <vt:variant>
        <vt:i4>663</vt:i4>
      </vt:variant>
      <vt:variant>
        <vt:i4>0</vt:i4>
      </vt:variant>
      <vt:variant>
        <vt:i4>5</vt:i4>
      </vt:variant>
      <vt:variant>
        <vt:lpwstr>https://www.genderequalitycommission.vic.gov.au/intersectionality-work/introduction</vt:lpwstr>
      </vt:variant>
      <vt:variant>
        <vt:lpwstr>methodology</vt:lpwstr>
      </vt:variant>
      <vt:variant>
        <vt:i4>2228339</vt:i4>
      </vt:variant>
      <vt:variant>
        <vt:i4>660</vt:i4>
      </vt:variant>
      <vt:variant>
        <vt:i4>0</vt:i4>
      </vt:variant>
      <vt:variant>
        <vt:i4>5</vt:i4>
      </vt:variant>
      <vt:variant>
        <vt:lpwstr>https://www.genderequalitycommission.vic.gov.au/baseline-audit-report-2021</vt:lpwstr>
      </vt:variant>
      <vt:variant>
        <vt:lpwstr/>
      </vt:variant>
      <vt:variant>
        <vt:i4>2228339</vt:i4>
      </vt:variant>
      <vt:variant>
        <vt:i4>657</vt:i4>
      </vt:variant>
      <vt:variant>
        <vt:i4>0</vt:i4>
      </vt:variant>
      <vt:variant>
        <vt:i4>5</vt:i4>
      </vt:variant>
      <vt:variant>
        <vt:lpwstr>https://www.genderequalitycommission.vic.gov.au/baseline-audit-report-2021</vt:lpwstr>
      </vt:variant>
      <vt:variant>
        <vt:lpwstr/>
      </vt:variant>
      <vt:variant>
        <vt:i4>2228339</vt:i4>
      </vt:variant>
      <vt:variant>
        <vt:i4>654</vt:i4>
      </vt:variant>
      <vt:variant>
        <vt:i4>0</vt:i4>
      </vt:variant>
      <vt:variant>
        <vt:i4>5</vt:i4>
      </vt:variant>
      <vt:variant>
        <vt:lpwstr>https://www.genderequalitycommission.vic.gov.au/baseline-audit-report-2021</vt:lpwstr>
      </vt:variant>
      <vt:variant>
        <vt:lpwstr/>
      </vt:variant>
      <vt:variant>
        <vt:i4>2752615</vt:i4>
      </vt:variant>
      <vt:variant>
        <vt:i4>651</vt:i4>
      </vt:variant>
      <vt:variant>
        <vt:i4>0</vt:i4>
      </vt:variant>
      <vt:variant>
        <vt:i4>5</vt:i4>
      </vt:variant>
      <vt:variant>
        <vt:lpwstr>https://www.genderequalitycommission.vic.gov.au/intersectionality-work</vt:lpwstr>
      </vt:variant>
      <vt:variant>
        <vt:lpwstr/>
      </vt:variant>
      <vt:variant>
        <vt:i4>6291547</vt:i4>
      </vt:variant>
      <vt:variant>
        <vt:i4>648</vt:i4>
      </vt:variant>
      <vt:variant>
        <vt:i4>0</vt:i4>
      </vt:variant>
      <vt:variant>
        <vt:i4>5</vt:i4>
      </vt:variant>
      <vt:variant>
        <vt:lpwstr/>
      </vt:variant>
      <vt:variant>
        <vt:lpwstr>_Intersectionality</vt:lpwstr>
      </vt:variant>
      <vt:variant>
        <vt:i4>5767235</vt:i4>
      </vt:variant>
      <vt:variant>
        <vt:i4>645</vt:i4>
      </vt:variant>
      <vt:variant>
        <vt:i4>0</vt:i4>
      </vt:variant>
      <vt:variant>
        <vt:i4>5</vt:i4>
      </vt:variant>
      <vt:variant>
        <vt:lpwstr/>
      </vt:variant>
      <vt:variant>
        <vt:lpwstr>_Data_measures</vt:lpwstr>
      </vt:variant>
      <vt:variant>
        <vt:i4>5767235</vt:i4>
      </vt:variant>
      <vt:variant>
        <vt:i4>642</vt:i4>
      </vt:variant>
      <vt:variant>
        <vt:i4>0</vt:i4>
      </vt:variant>
      <vt:variant>
        <vt:i4>5</vt:i4>
      </vt:variant>
      <vt:variant>
        <vt:lpwstr/>
      </vt:variant>
      <vt:variant>
        <vt:lpwstr>_Data_measures</vt:lpwstr>
      </vt:variant>
      <vt:variant>
        <vt:i4>5767235</vt:i4>
      </vt:variant>
      <vt:variant>
        <vt:i4>639</vt:i4>
      </vt:variant>
      <vt:variant>
        <vt:i4>0</vt:i4>
      </vt:variant>
      <vt:variant>
        <vt:i4>5</vt:i4>
      </vt:variant>
      <vt:variant>
        <vt:lpwstr/>
      </vt:variant>
      <vt:variant>
        <vt:lpwstr>_Data_measures</vt:lpwstr>
      </vt:variant>
      <vt:variant>
        <vt:i4>6488142</vt:i4>
      </vt:variant>
      <vt:variant>
        <vt:i4>636</vt:i4>
      </vt:variant>
      <vt:variant>
        <vt:i4>0</vt:i4>
      </vt:variant>
      <vt:variant>
        <vt:i4>5</vt:i4>
      </vt:variant>
      <vt:variant>
        <vt:lpwstr/>
      </vt:variant>
      <vt:variant>
        <vt:lpwstr>_Appendix_2:_Duty</vt:lpwstr>
      </vt:variant>
      <vt:variant>
        <vt:i4>2228339</vt:i4>
      </vt:variant>
      <vt:variant>
        <vt:i4>633</vt:i4>
      </vt:variant>
      <vt:variant>
        <vt:i4>0</vt:i4>
      </vt:variant>
      <vt:variant>
        <vt:i4>5</vt:i4>
      </vt:variant>
      <vt:variant>
        <vt:lpwstr>https://www.genderequalitycommission.vic.gov.au/baseline-audit-report-2021</vt:lpwstr>
      </vt:variant>
      <vt:variant>
        <vt:lpwstr/>
      </vt:variant>
      <vt:variant>
        <vt:i4>7667807</vt:i4>
      </vt:variant>
      <vt:variant>
        <vt:i4>630</vt:i4>
      </vt:variant>
      <vt:variant>
        <vt:i4>0</vt:i4>
      </vt:variant>
      <vt:variant>
        <vt:i4>5</vt:i4>
      </vt:variant>
      <vt:variant>
        <vt:lpwstr/>
      </vt:variant>
      <vt:variant>
        <vt:lpwstr>_Indicator_1:_Gender</vt:lpwstr>
      </vt:variant>
      <vt:variant>
        <vt:i4>458767</vt:i4>
      </vt:variant>
      <vt:variant>
        <vt:i4>627</vt:i4>
      </vt:variant>
      <vt:variant>
        <vt:i4>0</vt:i4>
      </vt:variant>
      <vt:variant>
        <vt:i4>5</vt:i4>
      </vt:variant>
      <vt:variant>
        <vt:lpwstr>https://www.dtf.vic.gov.au/victorian-public-service-enterprise-agreement-2024</vt:lpwstr>
      </vt:variant>
      <vt:variant>
        <vt:lpwstr/>
      </vt:variant>
      <vt:variant>
        <vt:i4>2162747</vt:i4>
      </vt:variant>
      <vt:variant>
        <vt:i4>624</vt:i4>
      </vt:variant>
      <vt:variant>
        <vt:i4>0</vt:i4>
      </vt:variant>
      <vt:variant>
        <vt:i4>5</vt:i4>
      </vt:variant>
      <vt:variant>
        <vt:lpwstr/>
      </vt:variant>
      <vt:variant>
        <vt:lpwstr>_Gender_gaps</vt:lpwstr>
      </vt:variant>
      <vt:variant>
        <vt:i4>5767235</vt:i4>
      </vt:variant>
      <vt:variant>
        <vt:i4>621</vt:i4>
      </vt:variant>
      <vt:variant>
        <vt:i4>0</vt:i4>
      </vt:variant>
      <vt:variant>
        <vt:i4>5</vt:i4>
      </vt:variant>
      <vt:variant>
        <vt:lpwstr/>
      </vt:variant>
      <vt:variant>
        <vt:lpwstr>_Data_measures</vt:lpwstr>
      </vt:variant>
      <vt:variant>
        <vt:i4>2162747</vt:i4>
      </vt:variant>
      <vt:variant>
        <vt:i4>618</vt:i4>
      </vt:variant>
      <vt:variant>
        <vt:i4>0</vt:i4>
      </vt:variant>
      <vt:variant>
        <vt:i4>5</vt:i4>
      </vt:variant>
      <vt:variant>
        <vt:lpwstr/>
      </vt:variant>
      <vt:variant>
        <vt:lpwstr>_Gender_gaps</vt:lpwstr>
      </vt:variant>
      <vt:variant>
        <vt:i4>2162747</vt:i4>
      </vt:variant>
      <vt:variant>
        <vt:i4>615</vt:i4>
      </vt:variant>
      <vt:variant>
        <vt:i4>0</vt:i4>
      </vt:variant>
      <vt:variant>
        <vt:i4>5</vt:i4>
      </vt:variant>
      <vt:variant>
        <vt:lpwstr/>
      </vt:variant>
      <vt:variant>
        <vt:lpwstr>_Gender_gaps</vt:lpwstr>
      </vt:variant>
      <vt:variant>
        <vt:i4>5767235</vt:i4>
      </vt:variant>
      <vt:variant>
        <vt:i4>612</vt:i4>
      </vt:variant>
      <vt:variant>
        <vt:i4>0</vt:i4>
      </vt:variant>
      <vt:variant>
        <vt:i4>5</vt:i4>
      </vt:variant>
      <vt:variant>
        <vt:lpwstr/>
      </vt:variant>
      <vt:variant>
        <vt:lpwstr>_Data_measures</vt:lpwstr>
      </vt:variant>
      <vt:variant>
        <vt:i4>2228339</vt:i4>
      </vt:variant>
      <vt:variant>
        <vt:i4>609</vt:i4>
      </vt:variant>
      <vt:variant>
        <vt:i4>0</vt:i4>
      </vt:variant>
      <vt:variant>
        <vt:i4>5</vt:i4>
      </vt:variant>
      <vt:variant>
        <vt:lpwstr>https://www.genderequalitycommission.vic.gov.au/baseline-audit-report-2021</vt:lpwstr>
      </vt:variant>
      <vt:variant>
        <vt:lpwstr/>
      </vt:variant>
      <vt:variant>
        <vt:i4>1638428</vt:i4>
      </vt:variant>
      <vt:variant>
        <vt:i4>606</vt:i4>
      </vt:variant>
      <vt:variant>
        <vt:i4>0</vt:i4>
      </vt:variant>
      <vt:variant>
        <vt:i4>5</vt:i4>
      </vt:variant>
      <vt:variant>
        <vt:lpwstr>https://www.genderequalitycommission.vic.gov.au/gender-audit-guide-and-templates</vt:lpwstr>
      </vt:variant>
      <vt:variant>
        <vt:lpwstr/>
      </vt:variant>
      <vt:variant>
        <vt:i4>5767235</vt:i4>
      </vt:variant>
      <vt:variant>
        <vt:i4>603</vt:i4>
      </vt:variant>
      <vt:variant>
        <vt:i4>0</vt:i4>
      </vt:variant>
      <vt:variant>
        <vt:i4>5</vt:i4>
      </vt:variant>
      <vt:variant>
        <vt:lpwstr/>
      </vt:variant>
      <vt:variant>
        <vt:lpwstr>_Data_measures</vt:lpwstr>
      </vt:variant>
      <vt:variant>
        <vt:i4>5767235</vt:i4>
      </vt:variant>
      <vt:variant>
        <vt:i4>600</vt:i4>
      </vt:variant>
      <vt:variant>
        <vt:i4>0</vt:i4>
      </vt:variant>
      <vt:variant>
        <vt:i4>5</vt:i4>
      </vt:variant>
      <vt:variant>
        <vt:lpwstr/>
      </vt:variant>
      <vt:variant>
        <vt:lpwstr>_Data_measures</vt:lpwstr>
      </vt:variant>
      <vt:variant>
        <vt:i4>2162747</vt:i4>
      </vt:variant>
      <vt:variant>
        <vt:i4>597</vt:i4>
      </vt:variant>
      <vt:variant>
        <vt:i4>0</vt:i4>
      </vt:variant>
      <vt:variant>
        <vt:i4>5</vt:i4>
      </vt:variant>
      <vt:variant>
        <vt:lpwstr/>
      </vt:variant>
      <vt:variant>
        <vt:lpwstr>_Gender_gaps</vt:lpwstr>
      </vt:variant>
      <vt:variant>
        <vt:i4>5767235</vt:i4>
      </vt:variant>
      <vt:variant>
        <vt:i4>594</vt:i4>
      </vt:variant>
      <vt:variant>
        <vt:i4>0</vt:i4>
      </vt:variant>
      <vt:variant>
        <vt:i4>5</vt:i4>
      </vt:variant>
      <vt:variant>
        <vt:lpwstr/>
      </vt:variant>
      <vt:variant>
        <vt:lpwstr>_Data_measures</vt:lpwstr>
      </vt:variant>
      <vt:variant>
        <vt:i4>2162747</vt:i4>
      </vt:variant>
      <vt:variant>
        <vt:i4>591</vt:i4>
      </vt:variant>
      <vt:variant>
        <vt:i4>0</vt:i4>
      </vt:variant>
      <vt:variant>
        <vt:i4>5</vt:i4>
      </vt:variant>
      <vt:variant>
        <vt:lpwstr/>
      </vt:variant>
      <vt:variant>
        <vt:lpwstr>_Gender_gaps</vt:lpwstr>
      </vt:variant>
      <vt:variant>
        <vt:i4>5767235</vt:i4>
      </vt:variant>
      <vt:variant>
        <vt:i4>588</vt:i4>
      </vt:variant>
      <vt:variant>
        <vt:i4>0</vt:i4>
      </vt:variant>
      <vt:variant>
        <vt:i4>5</vt:i4>
      </vt:variant>
      <vt:variant>
        <vt:lpwstr/>
      </vt:variant>
      <vt:variant>
        <vt:lpwstr>_Data_measures</vt:lpwstr>
      </vt:variant>
      <vt:variant>
        <vt:i4>7667807</vt:i4>
      </vt:variant>
      <vt:variant>
        <vt:i4>585</vt:i4>
      </vt:variant>
      <vt:variant>
        <vt:i4>0</vt:i4>
      </vt:variant>
      <vt:variant>
        <vt:i4>5</vt:i4>
      </vt:variant>
      <vt:variant>
        <vt:lpwstr/>
      </vt:variant>
      <vt:variant>
        <vt:lpwstr>_Indicator_1:_Gender</vt:lpwstr>
      </vt:variant>
      <vt:variant>
        <vt:i4>2228339</vt:i4>
      </vt:variant>
      <vt:variant>
        <vt:i4>582</vt:i4>
      </vt:variant>
      <vt:variant>
        <vt:i4>0</vt:i4>
      </vt:variant>
      <vt:variant>
        <vt:i4>5</vt:i4>
      </vt:variant>
      <vt:variant>
        <vt:lpwstr>https://www.genderequalitycommission.vic.gov.au/baseline-audit-report-2021</vt:lpwstr>
      </vt:variant>
      <vt:variant>
        <vt:lpwstr/>
      </vt:variant>
      <vt:variant>
        <vt:i4>5242889</vt:i4>
      </vt:variant>
      <vt:variant>
        <vt:i4>573</vt:i4>
      </vt:variant>
      <vt:variant>
        <vt:i4>0</vt:i4>
      </vt:variant>
      <vt:variant>
        <vt:i4>5</vt:i4>
      </vt:variant>
      <vt:variant>
        <vt:lpwstr>https://www.genderequalitycommission.vic.gov.au/insights-report-sexual-harassment</vt:lpwstr>
      </vt:variant>
      <vt:variant>
        <vt:lpwstr/>
      </vt:variant>
      <vt:variant>
        <vt:i4>2752615</vt:i4>
      </vt:variant>
      <vt:variant>
        <vt:i4>570</vt:i4>
      </vt:variant>
      <vt:variant>
        <vt:i4>0</vt:i4>
      </vt:variant>
      <vt:variant>
        <vt:i4>5</vt:i4>
      </vt:variant>
      <vt:variant>
        <vt:lpwstr>https://www.genderequalitycommission.vic.gov.au/intersectionality-work</vt:lpwstr>
      </vt:variant>
      <vt:variant>
        <vt:lpwstr/>
      </vt:variant>
      <vt:variant>
        <vt:i4>5767235</vt:i4>
      </vt:variant>
      <vt:variant>
        <vt:i4>567</vt:i4>
      </vt:variant>
      <vt:variant>
        <vt:i4>0</vt:i4>
      </vt:variant>
      <vt:variant>
        <vt:i4>5</vt:i4>
      </vt:variant>
      <vt:variant>
        <vt:lpwstr/>
      </vt:variant>
      <vt:variant>
        <vt:lpwstr>_Data_measures</vt:lpwstr>
      </vt:variant>
      <vt:variant>
        <vt:i4>4128811</vt:i4>
      </vt:variant>
      <vt:variant>
        <vt:i4>564</vt:i4>
      </vt:variant>
      <vt:variant>
        <vt:i4>0</vt:i4>
      </vt:variant>
      <vt:variant>
        <vt:i4>5</vt:i4>
      </vt:variant>
      <vt:variant>
        <vt:lpwstr/>
      </vt:variant>
      <vt:variant>
        <vt:lpwstr>_Data_caveats</vt:lpwstr>
      </vt:variant>
      <vt:variant>
        <vt:i4>5767235</vt:i4>
      </vt:variant>
      <vt:variant>
        <vt:i4>561</vt:i4>
      </vt:variant>
      <vt:variant>
        <vt:i4>0</vt:i4>
      </vt:variant>
      <vt:variant>
        <vt:i4>5</vt:i4>
      </vt:variant>
      <vt:variant>
        <vt:lpwstr/>
      </vt:variant>
      <vt:variant>
        <vt:lpwstr>_Data_measures</vt:lpwstr>
      </vt:variant>
      <vt:variant>
        <vt:i4>5242889</vt:i4>
      </vt:variant>
      <vt:variant>
        <vt:i4>558</vt:i4>
      </vt:variant>
      <vt:variant>
        <vt:i4>0</vt:i4>
      </vt:variant>
      <vt:variant>
        <vt:i4>5</vt:i4>
      </vt:variant>
      <vt:variant>
        <vt:lpwstr>https://www.genderequalitycommission.vic.gov.au/insights-report-sexual-harassment</vt:lpwstr>
      </vt:variant>
      <vt:variant>
        <vt:lpwstr/>
      </vt:variant>
      <vt:variant>
        <vt:i4>3866744</vt:i4>
      </vt:variant>
      <vt:variant>
        <vt:i4>534</vt:i4>
      </vt:variant>
      <vt:variant>
        <vt:i4>0</vt:i4>
      </vt:variant>
      <vt:variant>
        <vt:i4>5</vt:i4>
      </vt:variant>
      <vt:variant>
        <vt:lpwstr>https://www.health.gov.au/sites/default/files/2025-07/modified-monash-model-fact-sheet.pdf</vt:lpwstr>
      </vt:variant>
      <vt:variant>
        <vt:lpwstr/>
      </vt:variant>
      <vt:variant>
        <vt:i4>8323142</vt:i4>
      </vt:variant>
      <vt:variant>
        <vt:i4>531</vt:i4>
      </vt:variant>
      <vt:variant>
        <vt:i4>0</vt:i4>
      </vt:variant>
      <vt:variant>
        <vt:i4>5</vt:i4>
      </vt:variant>
      <vt:variant>
        <vt:lpwstr/>
      </vt:variant>
      <vt:variant>
        <vt:lpwstr>_Indicator_5:_Recruitment</vt:lpwstr>
      </vt:variant>
      <vt:variant>
        <vt:i4>2752615</vt:i4>
      </vt:variant>
      <vt:variant>
        <vt:i4>528</vt:i4>
      </vt:variant>
      <vt:variant>
        <vt:i4>0</vt:i4>
      </vt:variant>
      <vt:variant>
        <vt:i4>5</vt:i4>
      </vt:variant>
      <vt:variant>
        <vt:lpwstr>https://www.genderequalitycommission.vic.gov.au/intersectionality-work</vt:lpwstr>
      </vt:variant>
      <vt:variant>
        <vt:lpwstr/>
      </vt:variant>
      <vt:variant>
        <vt:i4>1507386</vt:i4>
      </vt:variant>
      <vt:variant>
        <vt:i4>525</vt:i4>
      </vt:variant>
      <vt:variant>
        <vt:i4>0</vt:i4>
      </vt:variant>
      <vt:variant>
        <vt:i4>5</vt:i4>
      </vt:variant>
      <vt:variant>
        <vt:lpwstr/>
      </vt:variant>
      <vt:variant>
        <vt:lpwstr>_Indicator_7:_Gendered</vt:lpwstr>
      </vt:variant>
      <vt:variant>
        <vt:i4>2162747</vt:i4>
      </vt:variant>
      <vt:variant>
        <vt:i4>522</vt:i4>
      </vt:variant>
      <vt:variant>
        <vt:i4>0</vt:i4>
      </vt:variant>
      <vt:variant>
        <vt:i4>5</vt:i4>
      </vt:variant>
      <vt:variant>
        <vt:lpwstr/>
      </vt:variant>
      <vt:variant>
        <vt:lpwstr>_Gender_gaps</vt:lpwstr>
      </vt:variant>
      <vt:variant>
        <vt:i4>5767235</vt:i4>
      </vt:variant>
      <vt:variant>
        <vt:i4>519</vt:i4>
      </vt:variant>
      <vt:variant>
        <vt:i4>0</vt:i4>
      </vt:variant>
      <vt:variant>
        <vt:i4>5</vt:i4>
      </vt:variant>
      <vt:variant>
        <vt:lpwstr/>
      </vt:variant>
      <vt:variant>
        <vt:lpwstr>_Data_measures</vt:lpwstr>
      </vt:variant>
      <vt:variant>
        <vt:i4>2162747</vt:i4>
      </vt:variant>
      <vt:variant>
        <vt:i4>516</vt:i4>
      </vt:variant>
      <vt:variant>
        <vt:i4>0</vt:i4>
      </vt:variant>
      <vt:variant>
        <vt:i4>5</vt:i4>
      </vt:variant>
      <vt:variant>
        <vt:lpwstr/>
      </vt:variant>
      <vt:variant>
        <vt:lpwstr>_Gender_gaps</vt:lpwstr>
      </vt:variant>
      <vt:variant>
        <vt:i4>5767235</vt:i4>
      </vt:variant>
      <vt:variant>
        <vt:i4>513</vt:i4>
      </vt:variant>
      <vt:variant>
        <vt:i4>0</vt:i4>
      </vt:variant>
      <vt:variant>
        <vt:i4>5</vt:i4>
      </vt:variant>
      <vt:variant>
        <vt:lpwstr/>
      </vt:variant>
      <vt:variant>
        <vt:lpwstr>_Data_measures</vt:lpwstr>
      </vt:variant>
      <vt:variant>
        <vt:i4>2162747</vt:i4>
      </vt:variant>
      <vt:variant>
        <vt:i4>510</vt:i4>
      </vt:variant>
      <vt:variant>
        <vt:i4>0</vt:i4>
      </vt:variant>
      <vt:variant>
        <vt:i4>5</vt:i4>
      </vt:variant>
      <vt:variant>
        <vt:lpwstr/>
      </vt:variant>
      <vt:variant>
        <vt:lpwstr>_Gender_gaps</vt:lpwstr>
      </vt:variant>
      <vt:variant>
        <vt:i4>5767235</vt:i4>
      </vt:variant>
      <vt:variant>
        <vt:i4>507</vt:i4>
      </vt:variant>
      <vt:variant>
        <vt:i4>0</vt:i4>
      </vt:variant>
      <vt:variant>
        <vt:i4>5</vt:i4>
      </vt:variant>
      <vt:variant>
        <vt:lpwstr/>
      </vt:variant>
      <vt:variant>
        <vt:lpwstr>_Data_measures</vt:lpwstr>
      </vt:variant>
      <vt:variant>
        <vt:i4>1638428</vt:i4>
      </vt:variant>
      <vt:variant>
        <vt:i4>504</vt:i4>
      </vt:variant>
      <vt:variant>
        <vt:i4>0</vt:i4>
      </vt:variant>
      <vt:variant>
        <vt:i4>5</vt:i4>
      </vt:variant>
      <vt:variant>
        <vt:lpwstr>https://www.genderequalitycommission.vic.gov.au/gender-audit-guide-and-templates</vt:lpwstr>
      </vt:variant>
      <vt:variant>
        <vt:lpwstr/>
      </vt:variant>
      <vt:variant>
        <vt:i4>1507386</vt:i4>
      </vt:variant>
      <vt:variant>
        <vt:i4>501</vt:i4>
      </vt:variant>
      <vt:variant>
        <vt:i4>0</vt:i4>
      </vt:variant>
      <vt:variant>
        <vt:i4>5</vt:i4>
      </vt:variant>
      <vt:variant>
        <vt:lpwstr/>
      </vt:variant>
      <vt:variant>
        <vt:lpwstr>_Indicator_7:_Gendered</vt:lpwstr>
      </vt:variant>
      <vt:variant>
        <vt:i4>7012406</vt:i4>
      </vt:variant>
      <vt:variant>
        <vt:i4>498</vt:i4>
      </vt:variant>
      <vt:variant>
        <vt:i4>0</vt:i4>
      </vt:variant>
      <vt:variant>
        <vt:i4>5</vt:i4>
      </vt:variant>
      <vt:variant>
        <vt:lpwstr>https://www.genderequalitycommission.vic.gov.au/insights-report-pay-gap</vt:lpwstr>
      </vt:variant>
      <vt:variant>
        <vt:lpwstr/>
      </vt:variant>
      <vt:variant>
        <vt:i4>7012406</vt:i4>
      </vt:variant>
      <vt:variant>
        <vt:i4>495</vt:i4>
      </vt:variant>
      <vt:variant>
        <vt:i4>0</vt:i4>
      </vt:variant>
      <vt:variant>
        <vt:i4>5</vt:i4>
      </vt:variant>
      <vt:variant>
        <vt:lpwstr>https://www.genderequalitycommission.vic.gov.au/insights-report-pay-gap</vt:lpwstr>
      </vt:variant>
      <vt:variant>
        <vt:lpwstr/>
      </vt:variant>
      <vt:variant>
        <vt:i4>3735648</vt:i4>
      </vt:variant>
      <vt:variant>
        <vt:i4>492</vt:i4>
      </vt:variant>
      <vt:variant>
        <vt:i4>0</vt:i4>
      </vt:variant>
      <vt:variant>
        <vt:i4>5</vt:i4>
      </vt:variant>
      <vt:variant>
        <vt:lpwstr>https://www.genderequalitycommission.vic.gov.au/how-local-government-geaps-can-support-more-women-stand-council</vt:lpwstr>
      </vt:variant>
      <vt:variant>
        <vt:lpwstr/>
      </vt:variant>
      <vt:variant>
        <vt:i4>5767235</vt:i4>
      </vt:variant>
      <vt:variant>
        <vt:i4>489</vt:i4>
      </vt:variant>
      <vt:variant>
        <vt:i4>0</vt:i4>
      </vt:variant>
      <vt:variant>
        <vt:i4>5</vt:i4>
      </vt:variant>
      <vt:variant>
        <vt:lpwstr/>
      </vt:variant>
      <vt:variant>
        <vt:lpwstr>_Data_measures</vt:lpwstr>
      </vt:variant>
      <vt:variant>
        <vt:i4>5767235</vt:i4>
      </vt:variant>
      <vt:variant>
        <vt:i4>486</vt:i4>
      </vt:variant>
      <vt:variant>
        <vt:i4>0</vt:i4>
      </vt:variant>
      <vt:variant>
        <vt:i4>5</vt:i4>
      </vt:variant>
      <vt:variant>
        <vt:lpwstr/>
      </vt:variant>
      <vt:variant>
        <vt:lpwstr>_Data_measures</vt:lpwstr>
      </vt:variant>
      <vt:variant>
        <vt:i4>5767235</vt:i4>
      </vt:variant>
      <vt:variant>
        <vt:i4>483</vt:i4>
      </vt:variant>
      <vt:variant>
        <vt:i4>0</vt:i4>
      </vt:variant>
      <vt:variant>
        <vt:i4>5</vt:i4>
      </vt:variant>
      <vt:variant>
        <vt:lpwstr/>
      </vt:variant>
      <vt:variant>
        <vt:lpwstr>_Data_measures</vt:lpwstr>
      </vt:variant>
      <vt:variant>
        <vt:i4>2228335</vt:i4>
      </vt:variant>
      <vt:variant>
        <vt:i4>480</vt:i4>
      </vt:variant>
      <vt:variant>
        <vt:i4>0</vt:i4>
      </vt:variant>
      <vt:variant>
        <vt:i4>5</vt:i4>
      </vt:variant>
      <vt:variant>
        <vt:lpwstr>https://www.vic.gov.au/diversity-victorian-government-board-guidelines/key-considerations-cohorts/women</vt:lpwstr>
      </vt:variant>
      <vt:variant>
        <vt:lpwstr/>
      </vt:variant>
      <vt:variant>
        <vt:i4>7667807</vt:i4>
      </vt:variant>
      <vt:variant>
        <vt:i4>477</vt:i4>
      </vt:variant>
      <vt:variant>
        <vt:i4>0</vt:i4>
      </vt:variant>
      <vt:variant>
        <vt:i4>5</vt:i4>
      </vt:variant>
      <vt:variant>
        <vt:lpwstr/>
      </vt:variant>
      <vt:variant>
        <vt:lpwstr>_Indicator_1:_Gender</vt:lpwstr>
      </vt:variant>
      <vt:variant>
        <vt:i4>8323142</vt:i4>
      </vt:variant>
      <vt:variant>
        <vt:i4>474</vt:i4>
      </vt:variant>
      <vt:variant>
        <vt:i4>0</vt:i4>
      </vt:variant>
      <vt:variant>
        <vt:i4>5</vt:i4>
      </vt:variant>
      <vt:variant>
        <vt:lpwstr/>
      </vt:variant>
      <vt:variant>
        <vt:lpwstr>_Indicator_5:_Recruitment</vt:lpwstr>
      </vt:variant>
      <vt:variant>
        <vt:i4>7667807</vt:i4>
      </vt:variant>
      <vt:variant>
        <vt:i4>471</vt:i4>
      </vt:variant>
      <vt:variant>
        <vt:i4>0</vt:i4>
      </vt:variant>
      <vt:variant>
        <vt:i4>5</vt:i4>
      </vt:variant>
      <vt:variant>
        <vt:lpwstr/>
      </vt:variant>
      <vt:variant>
        <vt:lpwstr>_Indicator_1:_Gender</vt:lpwstr>
      </vt:variant>
      <vt:variant>
        <vt:i4>3670051</vt:i4>
      </vt:variant>
      <vt:variant>
        <vt:i4>468</vt:i4>
      </vt:variant>
      <vt:variant>
        <vt:i4>0</vt:i4>
      </vt:variant>
      <vt:variant>
        <vt:i4>5</vt:i4>
      </vt:variant>
      <vt:variant>
        <vt:lpwstr>https://www.vic.gov.au/our-equal-state-victorias-gender-equality-strategy-and-action-plan-2023-2027/our-actions</vt:lpwstr>
      </vt:variant>
      <vt:variant>
        <vt:lpwstr/>
      </vt:variant>
      <vt:variant>
        <vt:i4>2228335</vt:i4>
      </vt:variant>
      <vt:variant>
        <vt:i4>465</vt:i4>
      </vt:variant>
      <vt:variant>
        <vt:i4>0</vt:i4>
      </vt:variant>
      <vt:variant>
        <vt:i4>5</vt:i4>
      </vt:variant>
      <vt:variant>
        <vt:lpwstr>https://www.vic.gov.au/diversity-victorian-government-board-guidelines/key-considerations-cohorts/women</vt:lpwstr>
      </vt:variant>
      <vt:variant>
        <vt:lpwstr/>
      </vt:variant>
      <vt:variant>
        <vt:i4>2228339</vt:i4>
      </vt:variant>
      <vt:variant>
        <vt:i4>462</vt:i4>
      </vt:variant>
      <vt:variant>
        <vt:i4>0</vt:i4>
      </vt:variant>
      <vt:variant>
        <vt:i4>5</vt:i4>
      </vt:variant>
      <vt:variant>
        <vt:lpwstr>https://www.genderequalitycommission.vic.gov.au/baseline-audit-report-2021</vt:lpwstr>
      </vt:variant>
      <vt:variant>
        <vt:lpwstr/>
      </vt:variant>
      <vt:variant>
        <vt:i4>7798879</vt:i4>
      </vt:variant>
      <vt:variant>
        <vt:i4>459</vt:i4>
      </vt:variant>
      <vt:variant>
        <vt:i4>0</vt:i4>
      </vt:variant>
      <vt:variant>
        <vt:i4>5</vt:i4>
      </vt:variant>
      <vt:variant>
        <vt:lpwstr/>
      </vt:variant>
      <vt:variant>
        <vt:lpwstr>_Indicator_3:_Gender</vt:lpwstr>
      </vt:variant>
      <vt:variant>
        <vt:i4>5767235</vt:i4>
      </vt:variant>
      <vt:variant>
        <vt:i4>456</vt:i4>
      </vt:variant>
      <vt:variant>
        <vt:i4>0</vt:i4>
      </vt:variant>
      <vt:variant>
        <vt:i4>5</vt:i4>
      </vt:variant>
      <vt:variant>
        <vt:lpwstr/>
      </vt:variant>
      <vt:variant>
        <vt:lpwstr>_Data_measures</vt:lpwstr>
      </vt:variant>
      <vt:variant>
        <vt:i4>1638428</vt:i4>
      </vt:variant>
      <vt:variant>
        <vt:i4>453</vt:i4>
      </vt:variant>
      <vt:variant>
        <vt:i4>0</vt:i4>
      </vt:variant>
      <vt:variant>
        <vt:i4>5</vt:i4>
      </vt:variant>
      <vt:variant>
        <vt:lpwstr>https://www.genderequalitycommission.vic.gov.au/gender-audit-guide-and-templates</vt:lpwstr>
      </vt:variant>
      <vt:variant>
        <vt:lpwstr/>
      </vt:variant>
      <vt:variant>
        <vt:i4>5767235</vt:i4>
      </vt:variant>
      <vt:variant>
        <vt:i4>450</vt:i4>
      </vt:variant>
      <vt:variant>
        <vt:i4>0</vt:i4>
      </vt:variant>
      <vt:variant>
        <vt:i4>5</vt:i4>
      </vt:variant>
      <vt:variant>
        <vt:lpwstr/>
      </vt:variant>
      <vt:variant>
        <vt:lpwstr>_Data_measures</vt:lpwstr>
      </vt:variant>
      <vt:variant>
        <vt:i4>2162747</vt:i4>
      </vt:variant>
      <vt:variant>
        <vt:i4>447</vt:i4>
      </vt:variant>
      <vt:variant>
        <vt:i4>0</vt:i4>
      </vt:variant>
      <vt:variant>
        <vt:i4>5</vt:i4>
      </vt:variant>
      <vt:variant>
        <vt:lpwstr/>
      </vt:variant>
      <vt:variant>
        <vt:lpwstr>_Gender_gaps</vt:lpwstr>
      </vt:variant>
      <vt:variant>
        <vt:i4>5767235</vt:i4>
      </vt:variant>
      <vt:variant>
        <vt:i4>444</vt:i4>
      </vt:variant>
      <vt:variant>
        <vt:i4>0</vt:i4>
      </vt:variant>
      <vt:variant>
        <vt:i4>5</vt:i4>
      </vt:variant>
      <vt:variant>
        <vt:lpwstr/>
      </vt:variant>
      <vt:variant>
        <vt:lpwstr>_Data_measures</vt:lpwstr>
      </vt:variant>
      <vt:variant>
        <vt:i4>2097253</vt:i4>
      </vt:variant>
      <vt:variant>
        <vt:i4>441</vt:i4>
      </vt:variant>
      <vt:variant>
        <vt:i4>0</vt:i4>
      </vt:variant>
      <vt:variant>
        <vt:i4>5</vt:i4>
      </vt:variant>
      <vt:variant>
        <vt:lpwstr>https://onlinelibrary.wiley.com/doi/10.1111/1744-7941.12158</vt:lpwstr>
      </vt:variant>
      <vt:variant>
        <vt:lpwstr/>
      </vt:variant>
      <vt:variant>
        <vt:i4>2228339</vt:i4>
      </vt:variant>
      <vt:variant>
        <vt:i4>438</vt:i4>
      </vt:variant>
      <vt:variant>
        <vt:i4>0</vt:i4>
      </vt:variant>
      <vt:variant>
        <vt:i4>5</vt:i4>
      </vt:variant>
      <vt:variant>
        <vt:lpwstr>https://www.genderequalitycommission.vic.gov.au/baseline-audit-report-2021</vt:lpwstr>
      </vt:variant>
      <vt:variant>
        <vt:lpwstr/>
      </vt:variant>
      <vt:variant>
        <vt:i4>1507386</vt:i4>
      </vt:variant>
      <vt:variant>
        <vt:i4>435</vt:i4>
      </vt:variant>
      <vt:variant>
        <vt:i4>0</vt:i4>
      </vt:variant>
      <vt:variant>
        <vt:i4>5</vt:i4>
      </vt:variant>
      <vt:variant>
        <vt:lpwstr/>
      </vt:variant>
      <vt:variant>
        <vt:lpwstr>_Indicator_7:_Gendered</vt:lpwstr>
      </vt:variant>
      <vt:variant>
        <vt:i4>8323142</vt:i4>
      </vt:variant>
      <vt:variant>
        <vt:i4>432</vt:i4>
      </vt:variant>
      <vt:variant>
        <vt:i4>0</vt:i4>
      </vt:variant>
      <vt:variant>
        <vt:i4>5</vt:i4>
      </vt:variant>
      <vt:variant>
        <vt:lpwstr/>
      </vt:variant>
      <vt:variant>
        <vt:lpwstr>_Indicator_5:_Recruitment</vt:lpwstr>
      </vt:variant>
      <vt:variant>
        <vt:i4>6488153</vt:i4>
      </vt:variant>
      <vt:variant>
        <vt:i4>429</vt:i4>
      </vt:variant>
      <vt:variant>
        <vt:i4>0</vt:i4>
      </vt:variant>
      <vt:variant>
        <vt:i4>5</vt:i4>
      </vt:variant>
      <vt:variant>
        <vt:lpwstr/>
      </vt:variant>
      <vt:variant>
        <vt:lpwstr>_Appendix_1:_Data</vt:lpwstr>
      </vt:variant>
      <vt:variant>
        <vt:i4>6488153</vt:i4>
      </vt:variant>
      <vt:variant>
        <vt:i4>426</vt:i4>
      </vt:variant>
      <vt:variant>
        <vt:i4>0</vt:i4>
      </vt:variant>
      <vt:variant>
        <vt:i4>5</vt:i4>
      </vt:variant>
      <vt:variant>
        <vt:lpwstr/>
      </vt:variant>
      <vt:variant>
        <vt:lpwstr>_Appendix_1:_Data</vt:lpwstr>
      </vt:variant>
      <vt:variant>
        <vt:i4>7733282</vt:i4>
      </vt:variant>
      <vt:variant>
        <vt:i4>423</vt:i4>
      </vt:variant>
      <vt:variant>
        <vt:i4>0</vt:i4>
      </vt:variant>
      <vt:variant>
        <vt:i4>5</vt:i4>
      </vt:variant>
      <vt:variant>
        <vt:lpwstr>https://www.genderequalitycommission.vic.gov.au/funded-research-project-2024-targets-pilot</vt:lpwstr>
      </vt:variant>
      <vt:variant>
        <vt:lpwstr/>
      </vt:variant>
      <vt:variant>
        <vt:i4>6488153</vt:i4>
      </vt:variant>
      <vt:variant>
        <vt:i4>420</vt:i4>
      </vt:variant>
      <vt:variant>
        <vt:i4>0</vt:i4>
      </vt:variant>
      <vt:variant>
        <vt:i4>5</vt:i4>
      </vt:variant>
      <vt:variant>
        <vt:lpwstr/>
      </vt:variant>
      <vt:variant>
        <vt:lpwstr>_Appendix_1:_Data</vt:lpwstr>
      </vt:variant>
      <vt:variant>
        <vt:i4>6488153</vt:i4>
      </vt:variant>
      <vt:variant>
        <vt:i4>417</vt:i4>
      </vt:variant>
      <vt:variant>
        <vt:i4>0</vt:i4>
      </vt:variant>
      <vt:variant>
        <vt:i4>5</vt:i4>
      </vt:variant>
      <vt:variant>
        <vt:lpwstr/>
      </vt:variant>
      <vt:variant>
        <vt:lpwstr>_Appendix_1:_Data</vt:lpwstr>
      </vt:variant>
      <vt:variant>
        <vt:i4>6488153</vt:i4>
      </vt:variant>
      <vt:variant>
        <vt:i4>414</vt:i4>
      </vt:variant>
      <vt:variant>
        <vt:i4>0</vt:i4>
      </vt:variant>
      <vt:variant>
        <vt:i4>5</vt:i4>
      </vt:variant>
      <vt:variant>
        <vt:lpwstr/>
      </vt:variant>
      <vt:variant>
        <vt:lpwstr>_Appendix_1:_Data</vt:lpwstr>
      </vt:variant>
      <vt:variant>
        <vt:i4>2228339</vt:i4>
      </vt:variant>
      <vt:variant>
        <vt:i4>411</vt:i4>
      </vt:variant>
      <vt:variant>
        <vt:i4>0</vt:i4>
      </vt:variant>
      <vt:variant>
        <vt:i4>5</vt:i4>
      </vt:variant>
      <vt:variant>
        <vt:lpwstr>https://www.genderequalitycommission.vic.gov.au/baseline-audit-report-2021</vt:lpwstr>
      </vt:variant>
      <vt:variant>
        <vt:lpwstr/>
      </vt:variant>
      <vt:variant>
        <vt:i4>6881315</vt:i4>
      </vt:variant>
      <vt:variant>
        <vt:i4>408</vt:i4>
      </vt:variant>
      <vt:variant>
        <vt:i4>0</vt:i4>
      </vt:variant>
      <vt:variant>
        <vt:i4>5</vt:i4>
      </vt:variant>
      <vt:variant>
        <vt:lpwstr>https://www.genderequalitycommission.vic.gov.au/our-reconciliation-action-plan</vt:lpwstr>
      </vt:variant>
      <vt:variant>
        <vt:lpwstr/>
      </vt:variant>
      <vt:variant>
        <vt:i4>1441840</vt:i4>
      </vt:variant>
      <vt:variant>
        <vt:i4>401</vt:i4>
      </vt:variant>
      <vt:variant>
        <vt:i4>0</vt:i4>
      </vt:variant>
      <vt:variant>
        <vt:i4>5</vt:i4>
      </vt:variant>
      <vt:variant>
        <vt:lpwstr/>
      </vt:variant>
      <vt:variant>
        <vt:lpwstr>_Toc234307667</vt:lpwstr>
      </vt:variant>
      <vt:variant>
        <vt:i4>1441840</vt:i4>
      </vt:variant>
      <vt:variant>
        <vt:i4>395</vt:i4>
      </vt:variant>
      <vt:variant>
        <vt:i4>0</vt:i4>
      </vt:variant>
      <vt:variant>
        <vt:i4>5</vt:i4>
      </vt:variant>
      <vt:variant>
        <vt:lpwstr/>
      </vt:variant>
      <vt:variant>
        <vt:lpwstr>_Toc234307666</vt:lpwstr>
      </vt:variant>
      <vt:variant>
        <vt:i4>1441840</vt:i4>
      </vt:variant>
      <vt:variant>
        <vt:i4>389</vt:i4>
      </vt:variant>
      <vt:variant>
        <vt:i4>0</vt:i4>
      </vt:variant>
      <vt:variant>
        <vt:i4>5</vt:i4>
      </vt:variant>
      <vt:variant>
        <vt:lpwstr/>
      </vt:variant>
      <vt:variant>
        <vt:lpwstr>_Toc234307665</vt:lpwstr>
      </vt:variant>
      <vt:variant>
        <vt:i4>1441840</vt:i4>
      </vt:variant>
      <vt:variant>
        <vt:i4>383</vt:i4>
      </vt:variant>
      <vt:variant>
        <vt:i4>0</vt:i4>
      </vt:variant>
      <vt:variant>
        <vt:i4>5</vt:i4>
      </vt:variant>
      <vt:variant>
        <vt:lpwstr/>
      </vt:variant>
      <vt:variant>
        <vt:lpwstr>_Toc234307664</vt:lpwstr>
      </vt:variant>
      <vt:variant>
        <vt:i4>1441840</vt:i4>
      </vt:variant>
      <vt:variant>
        <vt:i4>377</vt:i4>
      </vt:variant>
      <vt:variant>
        <vt:i4>0</vt:i4>
      </vt:variant>
      <vt:variant>
        <vt:i4>5</vt:i4>
      </vt:variant>
      <vt:variant>
        <vt:lpwstr/>
      </vt:variant>
      <vt:variant>
        <vt:lpwstr>_Toc234307663</vt:lpwstr>
      </vt:variant>
      <vt:variant>
        <vt:i4>1441840</vt:i4>
      </vt:variant>
      <vt:variant>
        <vt:i4>371</vt:i4>
      </vt:variant>
      <vt:variant>
        <vt:i4>0</vt:i4>
      </vt:variant>
      <vt:variant>
        <vt:i4>5</vt:i4>
      </vt:variant>
      <vt:variant>
        <vt:lpwstr/>
      </vt:variant>
      <vt:variant>
        <vt:lpwstr>_Toc234307662</vt:lpwstr>
      </vt:variant>
      <vt:variant>
        <vt:i4>1441840</vt:i4>
      </vt:variant>
      <vt:variant>
        <vt:i4>365</vt:i4>
      </vt:variant>
      <vt:variant>
        <vt:i4>0</vt:i4>
      </vt:variant>
      <vt:variant>
        <vt:i4>5</vt:i4>
      </vt:variant>
      <vt:variant>
        <vt:lpwstr/>
      </vt:variant>
      <vt:variant>
        <vt:lpwstr>_Toc234307661</vt:lpwstr>
      </vt:variant>
      <vt:variant>
        <vt:i4>1441840</vt:i4>
      </vt:variant>
      <vt:variant>
        <vt:i4>359</vt:i4>
      </vt:variant>
      <vt:variant>
        <vt:i4>0</vt:i4>
      </vt:variant>
      <vt:variant>
        <vt:i4>5</vt:i4>
      </vt:variant>
      <vt:variant>
        <vt:lpwstr/>
      </vt:variant>
      <vt:variant>
        <vt:lpwstr>_Toc234307660</vt:lpwstr>
      </vt:variant>
      <vt:variant>
        <vt:i4>1376304</vt:i4>
      </vt:variant>
      <vt:variant>
        <vt:i4>353</vt:i4>
      </vt:variant>
      <vt:variant>
        <vt:i4>0</vt:i4>
      </vt:variant>
      <vt:variant>
        <vt:i4>5</vt:i4>
      </vt:variant>
      <vt:variant>
        <vt:lpwstr/>
      </vt:variant>
      <vt:variant>
        <vt:lpwstr>_Toc234307659</vt:lpwstr>
      </vt:variant>
      <vt:variant>
        <vt:i4>1376304</vt:i4>
      </vt:variant>
      <vt:variant>
        <vt:i4>347</vt:i4>
      </vt:variant>
      <vt:variant>
        <vt:i4>0</vt:i4>
      </vt:variant>
      <vt:variant>
        <vt:i4>5</vt:i4>
      </vt:variant>
      <vt:variant>
        <vt:lpwstr/>
      </vt:variant>
      <vt:variant>
        <vt:lpwstr>_Toc234307658</vt:lpwstr>
      </vt:variant>
      <vt:variant>
        <vt:i4>1376304</vt:i4>
      </vt:variant>
      <vt:variant>
        <vt:i4>341</vt:i4>
      </vt:variant>
      <vt:variant>
        <vt:i4>0</vt:i4>
      </vt:variant>
      <vt:variant>
        <vt:i4>5</vt:i4>
      </vt:variant>
      <vt:variant>
        <vt:lpwstr/>
      </vt:variant>
      <vt:variant>
        <vt:lpwstr>_Toc234307657</vt:lpwstr>
      </vt:variant>
      <vt:variant>
        <vt:i4>1376304</vt:i4>
      </vt:variant>
      <vt:variant>
        <vt:i4>335</vt:i4>
      </vt:variant>
      <vt:variant>
        <vt:i4>0</vt:i4>
      </vt:variant>
      <vt:variant>
        <vt:i4>5</vt:i4>
      </vt:variant>
      <vt:variant>
        <vt:lpwstr/>
      </vt:variant>
      <vt:variant>
        <vt:lpwstr>_Toc234307656</vt:lpwstr>
      </vt:variant>
      <vt:variant>
        <vt:i4>1376304</vt:i4>
      </vt:variant>
      <vt:variant>
        <vt:i4>329</vt:i4>
      </vt:variant>
      <vt:variant>
        <vt:i4>0</vt:i4>
      </vt:variant>
      <vt:variant>
        <vt:i4>5</vt:i4>
      </vt:variant>
      <vt:variant>
        <vt:lpwstr/>
      </vt:variant>
      <vt:variant>
        <vt:lpwstr>_Toc234307655</vt:lpwstr>
      </vt:variant>
      <vt:variant>
        <vt:i4>1376304</vt:i4>
      </vt:variant>
      <vt:variant>
        <vt:i4>323</vt:i4>
      </vt:variant>
      <vt:variant>
        <vt:i4>0</vt:i4>
      </vt:variant>
      <vt:variant>
        <vt:i4>5</vt:i4>
      </vt:variant>
      <vt:variant>
        <vt:lpwstr/>
      </vt:variant>
      <vt:variant>
        <vt:lpwstr>_Toc234307654</vt:lpwstr>
      </vt:variant>
      <vt:variant>
        <vt:i4>1376304</vt:i4>
      </vt:variant>
      <vt:variant>
        <vt:i4>317</vt:i4>
      </vt:variant>
      <vt:variant>
        <vt:i4>0</vt:i4>
      </vt:variant>
      <vt:variant>
        <vt:i4>5</vt:i4>
      </vt:variant>
      <vt:variant>
        <vt:lpwstr/>
      </vt:variant>
      <vt:variant>
        <vt:lpwstr>_Toc234307653</vt:lpwstr>
      </vt:variant>
      <vt:variant>
        <vt:i4>1376304</vt:i4>
      </vt:variant>
      <vt:variant>
        <vt:i4>311</vt:i4>
      </vt:variant>
      <vt:variant>
        <vt:i4>0</vt:i4>
      </vt:variant>
      <vt:variant>
        <vt:i4>5</vt:i4>
      </vt:variant>
      <vt:variant>
        <vt:lpwstr/>
      </vt:variant>
      <vt:variant>
        <vt:lpwstr>_Toc234307652</vt:lpwstr>
      </vt:variant>
      <vt:variant>
        <vt:i4>1376304</vt:i4>
      </vt:variant>
      <vt:variant>
        <vt:i4>305</vt:i4>
      </vt:variant>
      <vt:variant>
        <vt:i4>0</vt:i4>
      </vt:variant>
      <vt:variant>
        <vt:i4>5</vt:i4>
      </vt:variant>
      <vt:variant>
        <vt:lpwstr/>
      </vt:variant>
      <vt:variant>
        <vt:lpwstr>_Toc234307651</vt:lpwstr>
      </vt:variant>
      <vt:variant>
        <vt:i4>1376304</vt:i4>
      </vt:variant>
      <vt:variant>
        <vt:i4>299</vt:i4>
      </vt:variant>
      <vt:variant>
        <vt:i4>0</vt:i4>
      </vt:variant>
      <vt:variant>
        <vt:i4>5</vt:i4>
      </vt:variant>
      <vt:variant>
        <vt:lpwstr/>
      </vt:variant>
      <vt:variant>
        <vt:lpwstr>_Toc234307650</vt:lpwstr>
      </vt:variant>
      <vt:variant>
        <vt:i4>1310768</vt:i4>
      </vt:variant>
      <vt:variant>
        <vt:i4>293</vt:i4>
      </vt:variant>
      <vt:variant>
        <vt:i4>0</vt:i4>
      </vt:variant>
      <vt:variant>
        <vt:i4>5</vt:i4>
      </vt:variant>
      <vt:variant>
        <vt:lpwstr/>
      </vt:variant>
      <vt:variant>
        <vt:lpwstr>_Toc234307649</vt:lpwstr>
      </vt:variant>
      <vt:variant>
        <vt:i4>1310768</vt:i4>
      </vt:variant>
      <vt:variant>
        <vt:i4>287</vt:i4>
      </vt:variant>
      <vt:variant>
        <vt:i4>0</vt:i4>
      </vt:variant>
      <vt:variant>
        <vt:i4>5</vt:i4>
      </vt:variant>
      <vt:variant>
        <vt:lpwstr/>
      </vt:variant>
      <vt:variant>
        <vt:lpwstr>_Toc234307648</vt:lpwstr>
      </vt:variant>
      <vt:variant>
        <vt:i4>1310768</vt:i4>
      </vt:variant>
      <vt:variant>
        <vt:i4>281</vt:i4>
      </vt:variant>
      <vt:variant>
        <vt:i4>0</vt:i4>
      </vt:variant>
      <vt:variant>
        <vt:i4>5</vt:i4>
      </vt:variant>
      <vt:variant>
        <vt:lpwstr/>
      </vt:variant>
      <vt:variant>
        <vt:lpwstr>_Toc234307647</vt:lpwstr>
      </vt:variant>
      <vt:variant>
        <vt:i4>1310768</vt:i4>
      </vt:variant>
      <vt:variant>
        <vt:i4>275</vt:i4>
      </vt:variant>
      <vt:variant>
        <vt:i4>0</vt:i4>
      </vt:variant>
      <vt:variant>
        <vt:i4>5</vt:i4>
      </vt:variant>
      <vt:variant>
        <vt:lpwstr/>
      </vt:variant>
      <vt:variant>
        <vt:lpwstr>_Toc234307646</vt:lpwstr>
      </vt:variant>
      <vt:variant>
        <vt:i4>1310768</vt:i4>
      </vt:variant>
      <vt:variant>
        <vt:i4>269</vt:i4>
      </vt:variant>
      <vt:variant>
        <vt:i4>0</vt:i4>
      </vt:variant>
      <vt:variant>
        <vt:i4>5</vt:i4>
      </vt:variant>
      <vt:variant>
        <vt:lpwstr/>
      </vt:variant>
      <vt:variant>
        <vt:lpwstr>_Toc234307645</vt:lpwstr>
      </vt:variant>
      <vt:variant>
        <vt:i4>1310768</vt:i4>
      </vt:variant>
      <vt:variant>
        <vt:i4>263</vt:i4>
      </vt:variant>
      <vt:variant>
        <vt:i4>0</vt:i4>
      </vt:variant>
      <vt:variant>
        <vt:i4>5</vt:i4>
      </vt:variant>
      <vt:variant>
        <vt:lpwstr/>
      </vt:variant>
      <vt:variant>
        <vt:lpwstr>_Toc234307644</vt:lpwstr>
      </vt:variant>
      <vt:variant>
        <vt:i4>1310768</vt:i4>
      </vt:variant>
      <vt:variant>
        <vt:i4>257</vt:i4>
      </vt:variant>
      <vt:variant>
        <vt:i4>0</vt:i4>
      </vt:variant>
      <vt:variant>
        <vt:i4>5</vt:i4>
      </vt:variant>
      <vt:variant>
        <vt:lpwstr/>
      </vt:variant>
      <vt:variant>
        <vt:lpwstr>_Toc234307643</vt:lpwstr>
      </vt:variant>
      <vt:variant>
        <vt:i4>1310768</vt:i4>
      </vt:variant>
      <vt:variant>
        <vt:i4>251</vt:i4>
      </vt:variant>
      <vt:variant>
        <vt:i4>0</vt:i4>
      </vt:variant>
      <vt:variant>
        <vt:i4>5</vt:i4>
      </vt:variant>
      <vt:variant>
        <vt:lpwstr/>
      </vt:variant>
      <vt:variant>
        <vt:lpwstr>_Toc234307642</vt:lpwstr>
      </vt:variant>
      <vt:variant>
        <vt:i4>1310768</vt:i4>
      </vt:variant>
      <vt:variant>
        <vt:i4>245</vt:i4>
      </vt:variant>
      <vt:variant>
        <vt:i4>0</vt:i4>
      </vt:variant>
      <vt:variant>
        <vt:i4>5</vt:i4>
      </vt:variant>
      <vt:variant>
        <vt:lpwstr/>
      </vt:variant>
      <vt:variant>
        <vt:lpwstr>_Toc234307641</vt:lpwstr>
      </vt:variant>
      <vt:variant>
        <vt:i4>1310768</vt:i4>
      </vt:variant>
      <vt:variant>
        <vt:i4>239</vt:i4>
      </vt:variant>
      <vt:variant>
        <vt:i4>0</vt:i4>
      </vt:variant>
      <vt:variant>
        <vt:i4>5</vt:i4>
      </vt:variant>
      <vt:variant>
        <vt:lpwstr/>
      </vt:variant>
      <vt:variant>
        <vt:lpwstr>_Toc234307640</vt:lpwstr>
      </vt:variant>
      <vt:variant>
        <vt:i4>1245232</vt:i4>
      </vt:variant>
      <vt:variant>
        <vt:i4>233</vt:i4>
      </vt:variant>
      <vt:variant>
        <vt:i4>0</vt:i4>
      </vt:variant>
      <vt:variant>
        <vt:i4>5</vt:i4>
      </vt:variant>
      <vt:variant>
        <vt:lpwstr/>
      </vt:variant>
      <vt:variant>
        <vt:lpwstr>_Toc234307639</vt:lpwstr>
      </vt:variant>
      <vt:variant>
        <vt:i4>1245232</vt:i4>
      </vt:variant>
      <vt:variant>
        <vt:i4>227</vt:i4>
      </vt:variant>
      <vt:variant>
        <vt:i4>0</vt:i4>
      </vt:variant>
      <vt:variant>
        <vt:i4>5</vt:i4>
      </vt:variant>
      <vt:variant>
        <vt:lpwstr/>
      </vt:variant>
      <vt:variant>
        <vt:lpwstr>_Toc234307638</vt:lpwstr>
      </vt:variant>
      <vt:variant>
        <vt:i4>1245232</vt:i4>
      </vt:variant>
      <vt:variant>
        <vt:i4>221</vt:i4>
      </vt:variant>
      <vt:variant>
        <vt:i4>0</vt:i4>
      </vt:variant>
      <vt:variant>
        <vt:i4>5</vt:i4>
      </vt:variant>
      <vt:variant>
        <vt:lpwstr/>
      </vt:variant>
      <vt:variant>
        <vt:lpwstr>_Toc234307637</vt:lpwstr>
      </vt:variant>
      <vt:variant>
        <vt:i4>1245232</vt:i4>
      </vt:variant>
      <vt:variant>
        <vt:i4>215</vt:i4>
      </vt:variant>
      <vt:variant>
        <vt:i4>0</vt:i4>
      </vt:variant>
      <vt:variant>
        <vt:i4>5</vt:i4>
      </vt:variant>
      <vt:variant>
        <vt:lpwstr/>
      </vt:variant>
      <vt:variant>
        <vt:lpwstr>_Toc234307636</vt:lpwstr>
      </vt:variant>
      <vt:variant>
        <vt:i4>1245232</vt:i4>
      </vt:variant>
      <vt:variant>
        <vt:i4>209</vt:i4>
      </vt:variant>
      <vt:variant>
        <vt:i4>0</vt:i4>
      </vt:variant>
      <vt:variant>
        <vt:i4>5</vt:i4>
      </vt:variant>
      <vt:variant>
        <vt:lpwstr/>
      </vt:variant>
      <vt:variant>
        <vt:lpwstr>_Toc234307635</vt:lpwstr>
      </vt:variant>
      <vt:variant>
        <vt:i4>1245232</vt:i4>
      </vt:variant>
      <vt:variant>
        <vt:i4>203</vt:i4>
      </vt:variant>
      <vt:variant>
        <vt:i4>0</vt:i4>
      </vt:variant>
      <vt:variant>
        <vt:i4>5</vt:i4>
      </vt:variant>
      <vt:variant>
        <vt:lpwstr/>
      </vt:variant>
      <vt:variant>
        <vt:lpwstr>_Toc234307634</vt:lpwstr>
      </vt:variant>
      <vt:variant>
        <vt:i4>1245232</vt:i4>
      </vt:variant>
      <vt:variant>
        <vt:i4>197</vt:i4>
      </vt:variant>
      <vt:variant>
        <vt:i4>0</vt:i4>
      </vt:variant>
      <vt:variant>
        <vt:i4>5</vt:i4>
      </vt:variant>
      <vt:variant>
        <vt:lpwstr/>
      </vt:variant>
      <vt:variant>
        <vt:lpwstr>_Toc234307633</vt:lpwstr>
      </vt:variant>
      <vt:variant>
        <vt:i4>1245232</vt:i4>
      </vt:variant>
      <vt:variant>
        <vt:i4>191</vt:i4>
      </vt:variant>
      <vt:variant>
        <vt:i4>0</vt:i4>
      </vt:variant>
      <vt:variant>
        <vt:i4>5</vt:i4>
      </vt:variant>
      <vt:variant>
        <vt:lpwstr/>
      </vt:variant>
      <vt:variant>
        <vt:lpwstr>_Toc234307632</vt:lpwstr>
      </vt:variant>
      <vt:variant>
        <vt:i4>1245232</vt:i4>
      </vt:variant>
      <vt:variant>
        <vt:i4>185</vt:i4>
      </vt:variant>
      <vt:variant>
        <vt:i4>0</vt:i4>
      </vt:variant>
      <vt:variant>
        <vt:i4>5</vt:i4>
      </vt:variant>
      <vt:variant>
        <vt:lpwstr/>
      </vt:variant>
      <vt:variant>
        <vt:lpwstr>_Toc234307631</vt:lpwstr>
      </vt:variant>
      <vt:variant>
        <vt:i4>1245232</vt:i4>
      </vt:variant>
      <vt:variant>
        <vt:i4>179</vt:i4>
      </vt:variant>
      <vt:variant>
        <vt:i4>0</vt:i4>
      </vt:variant>
      <vt:variant>
        <vt:i4>5</vt:i4>
      </vt:variant>
      <vt:variant>
        <vt:lpwstr/>
      </vt:variant>
      <vt:variant>
        <vt:lpwstr>_Toc234307630</vt:lpwstr>
      </vt:variant>
      <vt:variant>
        <vt:i4>1179696</vt:i4>
      </vt:variant>
      <vt:variant>
        <vt:i4>173</vt:i4>
      </vt:variant>
      <vt:variant>
        <vt:i4>0</vt:i4>
      </vt:variant>
      <vt:variant>
        <vt:i4>5</vt:i4>
      </vt:variant>
      <vt:variant>
        <vt:lpwstr/>
      </vt:variant>
      <vt:variant>
        <vt:lpwstr>_Toc234307629</vt:lpwstr>
      </vt:variant>
      <vt:variant>
        <vt:i4>1179696</vt:i4>
      </vt:variant>
      <vt:variant>
        <vt:i4>167</vt:i4>
      </vt:variant>
      <vt:variant>
        <vt:i4>0</vt:i4>
      </vt:variant>
      <vt:variant>
        <vt:i4>5</vt:i4>
      </vt:variant>
      <vt:variant>
        <vt:lpwstr/>
      </vt:variant>
      <vt:variant>
        <vt:lpwstr>_Toc234307628</vt:lpwstr>
      </vt:variant>
      <vt:variant>
        <vt:i4>1179696</vt:i4>
      </vt:variant>
      <vt:variant>
        <vt:i4>161</vt:i4>
      </vt:variant>
      <vt:variant>
        <vt:i4>0</vt:i4>
      </vt:variant>
      <vt:variant>
        <vt:i4>5</vt:i4>
      </vt:variant>
      <vt:variant>
        <vt:lpwstr/>
      </vt:variant>
      <vt:variant>
        <vt:lpwstr>_Toc234307627</vt:lpwstr>
      </vt:variant>
      <vt:variant>
        <vt:i4>1179696</vt:i4>
      </vt:variant>
      <vt:variant>
        <vt:i4>155</vt:i4>
      </vt:variant>
      <vt:variant>
        <vt:i4>0</vt:i4>
      </vt:variant>
      <vt:variant>
        <vt:i4>5</vt:i4>
      </vt:variant>
      <vt:variant>
        <vt:lpwstr/>
      </vt:variant>
      <vt:variant>
        <vt:lpwstr>_Toc234307626</vt:lpwstr>
      </vt:variant>
      <vt:variant>
        <vt:i4>1179696</vt:i4>
      </vt:variant>
      <vt:variant>
        <vt:i4>149</vt:i4>
      </vt:variant>
      <vt:variant>
        <vt:i4>0</vt:i4>
      </vt:variant>
      <vt:variant>
        <vt:i4>5</vt:i4>
      </vt:variant>
      <vt:variant>
        <vt:lpwstr/>
      </vt:variant>
      <vt:variant>
        <vt:lpwstr>_Toc234307625</vt:lpwstr>
      </vt:variant>
      <vt:variant>
        <vt:i4>1179696</vt:i4>
      </vt:variant>
      <vt:variant>
        <vt:i4>143</vt:i4>
      </vt:variant>
      <vt:variant>
        <vt:i4>0</vt:i4>
      </vt:variant>
      <vt:variant>
        <vt:i4>5</vt:i4>
      </vt:variant>
      <vt:variant>
        <vt:lpwstr/>
      </vt:variant>
      <vt:variant>
        <vt:lpwstr>_Toc234307624</vt:lpwstr>
      </vt:variant>
      <vt:variant>
        <vt:i4>1179696</vt:i4>
      </vt:variant>
      <vt:variant>
        <vt:i4>137</vt:i4>
      </vt:variant>
      <vt:variant>
        <vt:i4>0</vt:i4>
      </vt:variant>
      <vt:variant>
        <vt:i4>5</vt:i4>
      </vt:variant>
      <vt:variant>
        <vt:lpwstr/>
      </vt:variant>
      <vt:variant>
        <vt:lpwstr>_Toc234307623</vt:lpwstr>
      </vt:variant>
      <vt:variant>
        <vt:i4>1179696</vt:i4>
      </vt:variant>
      <vt:variant>
        <vt:i4>131</vt:i4>
      </vt:variant>
      <vt:variant>
        <vt:i4>0</vt:i4>
      </vt:variant>
      <vt:variant>
        <vt:i4>5</vt:i4>
      </vt:variant>
      <vt:variant>
        <vt:lpwstr/>
      </vt:variant>
      <vt:variant>
        <vt:lpwstr>_Toc234307622</vt:lpwstr>
      </vt:variant>
      <vt:variant>
        <vt:i4>1179696</vt:i4>
      </vt:variant>
      <vt:variant>
        <vt:i4>125</vt:i4>
      </vt:variant>
      <vt:variant>
        <vt:i4>0</vt:i4>
      </vt:variant>
      <vt:variant>
        <vt:i4>5</vt:i4>
      </vt:variant>
      <vt:variant>
        <vt:lpwstr/>
      </vt:variant>
      <vt:variant>
        <vt:lpwstr>_Toc234307621</vt:lpwstr>
      </vt:variant>
      <vt:variant>
        <vt:i4>1179696</vt:i4>
      </vt:variant>
      <vt:variant>
        <vt:i4>119</vt:i4>
      </vt:variant>
      <vt:variant>
        <vt:i4>0</vt:i4>
      </vt:variant>
      <vt:variant>
        <vt:i4>5</vt:i4>
      </vt:variant>
      <vt:variant>
        <vt:lpwstr/>
      </vt:variant>
      <vt:variant>
        <vt:lpwstr>_Toc234307620</vt:lpwstr>
      </vt:variant>
      <vt:variant>
        <vt:i4>1114160</vt:i4>
      </vt:variant>
      <vt:variant>
        <vt:i4>113</vt:i4>
      </vt:variant>
      <vt:variant>
        <vt:i4>0</vt:i4>
      </vt:variant>
      <vt:variant>
        <vt:i4>5</vt:i4>
      </vt:variant>
      <vt:variant>
        <vt:lpwstr/>
      </vt:variant>
      <vt:variant>
        <vt:lpwstr>_Toc234307619</vt:lpwstr>
      </vt:variant>
      <vt:variant>
        <vt:i4>1114160</vt:i4>
      </vt:variant>
      <vt:variant>
        <vt:i4>107</vt:i4>
      </vt:variant>
      <vt:variant>
        <vt:i4>0</vt:i4>
      </vt:variant>
      <vt:variant>
        <vt:i4>5</vt:i4>
      </vt:variant>
      <vt:variant>
        <vt:lpwstr/>
      </vt:variant>
      <vt:variant>
        <vt:lpwstr>_Toc234307618</vt:lpwstr>
      </vt:variant>
      <vt:variant>
        <vt:i4>1114160</vt:i4>
      </vt:variant>
      <vt:variant>
        <vt:i4>101</vt:i4>
      </vt:variant>
      <vt:variant>
        <vt:i4>0</vt:i4>
      </vt:variant>
      <vt:variant>
        <vt:i4>5</vt:i4>
      </vt:variant>
      <vt:variant>
        <vt:lpwstr/>
      </vt:variant>
      <vt:variant>
        <vt:lpwstr>_Toc234307617</vt:lpwstr>
      </vt:variant>
      <vt:variant>
        <vt:i4>1114160</vt:i4>
      </vt:variant>
      <vt:variant>
        <vt:i4>95</vt:i4>
      </vt:variant>
      <vt:variant>
        <vt:i4>0</vt:i4>
      </vt:variant>
      <vt:variant>
        <vt:i4>5</vt:i4>
      </vt:variant>
      <vt:variant>
        <vt:lpwstr/>
      </vt:variant>
      <vt:variant>
        <vt:lpwstr>_Toc234307616</vt:lpwstr>
      </vt:variant>
      <vt:variant>
        <vt:i4>1114160</vt:i4>
      </vt:variant>
      <vt:variant>
        <vt:i4>89</vt:i4>
      </vt:variant>
      <vt:variant>
        <vt:i4>0</vt:i4>
      </vt:variant>
      <vt:variant>
        <vt:i4>5</vt:i4>
      </vt:variant>
      <vt:variant>
        <vt:lpwstr/>
      </vt:variant>
      <vt:variant>
        <vt:lpwstr>_Toc234307615</vt:lpwstr>
      </vt:variant>
      <vt:variant>
        <vt:i4>1114160</vt:i4>
      </vt:variant>
      <vt:variant>
        <vt:i4>83</vt:i4>
      </vt:variant>
      <vt:variant>
        <vt:i4>0</vt:i4>
      </vt:variant>
      <vt:variant>
        <vt:i4>5</vt:i4>
      </vt:variant>
      <vt:variant>
        <vt:lpwstr/>
      </vt:variant>
      <vt:variant>
        <vt:lpwstr>_Toc234307614</vt:lpwstr>
      </vt:variant>
      <vt:variant>
        <vt:i4>1114160</vt:i4>
      </vt:variant>
      <vt:variant>
        <vt:i4>77</vt:i4>
      </vt:variant>
      <vt:variant>
        <vt:i4>0</vt:i4>
      </vt:variant>
      <vt:variant>
        <vt:i4>5</vt:i4>
      </vt:variant>
      <vt:variant>
        <vt:lpwstr/>
      </vt:variant>
      <vt:variant>
        <vt:lpwstr>_Toc234307613</vt:lpwstr>
      </vt:variant>
      <vt:variant>
        <vt:i4>1114160</vt:i4>
      </vt:variant>
      <vt:variant>
        <vt:i4>71</vt:i4>
      </vt:variant>
      <vt:variant>
        <vt:i4>0</vt:i4>
      </vt:variant>
      <vt:variant>
        <vt:i4>5</vt:i4>
      </vt:variant>
      <vt:variant>
        <vt:lpwstr/>
      </vt:variant>
      <vt:variant>
        <vt:lpwstr>_Toc234307612</vt:lpwstr>
      </vt:variant>
      <vt:variant>
        <vt:i4>1114160</vt:i4>
      </vt:variant>
      <vt:variant>
        <vt:i4>65</vt:i4>
      </vt:variant>
      <vt:variant>
        <vt:i4>0</vt:i4>
      </vt:variant>
      <vt:variant>
        <vt:i4>5</vt:i4>
      </vt:variant>
      <vt:variant>
        <vt:lpwstr/>
      </vt:variant>
      <vt:variant>
        <vt:lpwstr>_Toc234307611</vt:lpwstr>
      </vt:variant>
      <vt:variant>
        <vt:i4>1114160</vt:i4>
      </vt:variant>
      <vt:variant>
        <vt:i4>59</vt:i4>
      </vt:variant>
      <vt:variant>
        <vt:i4>0</vt:i4>
      </vt:variant>
      <vt:variant>
        <vt:i4>5</vt:i4>
      </vt:variant>
      <vt:variant>
        <vt:lpwstr/>
      </vt:variant>
      <vt:variant>
        <vt:lpwstr>_Toc234307610</vt:lpwstr>
      </vt:variant>
      <vt:variant>
        <vt:i4>1048624</vt:i4>
      </vt:variant>
      <vt:variant>
        <vt:i4>53</vt:i4>
      </vt:variant>
      <vt:variant>
        <vt:i4>0</vt:i4>
      </vt:variant>
      <vt:variant>
        <vt:i4>5</vt:i4>
      </vt:variant>
      <vt:variant>
        <vt:lpwstr/>
      </vt:variant>
      <vt:variant>
        <vt:lpwstr>_Toc234307609</vt:lpwstr>
      </vt:variant>
      <vt:variant>
        <vt:i4>1048624</vt:i4>
      </vt:variant>
      <vt:variant>
        <vt:i4>47</vt:i4>
      </vt:variant>
      <vt:variant>
        <vt:i4>0</vt:i4>
      </vt:variant>
      <vt:variant>
        <vt:i4>5</vt:i4>
      </vt:variant>
      <vt:variant>
        <vt:lpwstr/>
      </vt:variant>
      <vt:variant>
        <vt:lpwstr>_Toc234307608</vt:lpwstr>
      </vt:variant>
      <vt:variant>
        <vt:i4>1048624</vt:i4>
      </vt:variant>
      <vt:variant>
        <vt:i4>41</vt:i4>
      </vt:variant>
      <vt:variant>
        <vt:i4>0</vt:i4>
      </vt:variant>
      <vt:variant>
        <vt:i4>5</vt:i4>
      </vt:variant>
      <vt:variant>
        <vt:lpwstr/>
      </vt:variant>
      <vt:variant>
        <vt:lpwstr>_Toc234307607</vt:lpwstr>
      </vt:variant>
      <vt:variant>
        <vt:i4>1048624</vt:i4>
      </vt:variant>
      <vt:variant>
        <vt:i4>35</vt:i4>
      </vt:variant>
      <vt:variant>
        <vt:i4>0</vt:i4>
      </vt:variant>
      <vt:variant>
        <vt:i4>5</vt:i4>
      </vt:variant>
      <vt:variant>
        <vt:lpwstr/>
      </vt:variant>
      <vt:variant>
        <vt:lpwstr>_Toc234307606</vt:lpwstr>
      </vt:variant>
      <vt:variant>
        <vt:i4>1048624</vt:i4>
      </vt:variant>
      <vt:variant>
        <vt:i4>29</vt:i4>
      </vt:variant>
      <vt:variant>
        <vt:i4>0</vt:i4>
      </vt:variant>
      <vt:variant>
        <vt:i4>5</vt:i4>
      </vt:variant>
      <vt:variant>
        <vt:lpwstr/>
      </vt:variant>
      <vt:variant>
        <vt:lpwstr>_Toc234307605</vt:lpwstr>
      </vt:variant>
      <vt:variant>
        <vt:i4>1048624</vt:i4>
      </vt:variant>
      <vt:variant>
        <vt:i4>23</vt:i4>
      </vt:variant>
      <vt:variant>
        <vt:i4>0</vt:i4>
      </vt:variant>
      <vt:variant>
        <vt:i4>5</vt:i4>
      </vt:variant>
      <vt:variant>
        <vt:lpwstr/>
      </vt:variant>
      <vt:variant>
        <vt:lpwstr>_Toc234307604</vt:lpwstr>
      </vt:variant>
      <vt:variant>
        <vt:i4>1048624</vt:i4>
      </vt:variant>
      <vt:variant>
        <vt:i4>17</vt:i4>
      </vt:variant>
      <vt:variant>
        <vt:i4>0</vt:i4>
      </vt:variant>
      <vt:variant>
        <vt:i4>5</vt:i4>
      </vt:variant>
      <vt:variant>
        <vt:lpwstr/>
      </vt:variant>
      <vt:variant>
        <vt:lpwstr>_Toc234307603</vt:lpwstr>
      </vt:variant>
      <vt:variant>
        <vt:i4>1048624</vt:i4>
      </vt:variant>
      <vt:variant>
        <vt:i4>11</vt:i4>
      </vt:variant>
      <vt:variant>
        <vt:i4>0</vt:i4>
      </vt:variant>
      <vt:variant>
        <vt:i4>5</vt:i4>
      </vt:variant>
      <vt:variant>
        <vt:lpwstr/>
      </vt:variant>
      <vt:variant>
        <vt:lpwstr>_Toc234307602</vt:lpwstr>
      </vt:variant>
      <vt:variant>
        <vt:i4>5898259</vt:i4>
      </vt:variant>
      <vt:variant>
        <vt:i4>6</vt:i4>
      </vt:variant>
      <vt:variant>
        <vt:i4>0</vt:i4>
      </vt:variant>
      <vt:variant>
        <vt:i4>5</vt:i4>
      </vt:variant>
      <vt:variant>
        <vt:lpwstr>https://www.genderequalitycommission.vic.gov.au/state-gender-equality-victorias-public-sector</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4653158</vt:i4>
      </vt:variant>
      <vt:variant>
        <vt:i4>0</vt:i4>
      </vt:variant>
      <vt:variant>
        <vt:i4>0</vt:i4>
      </vt:variant>
      <vt:variant>
        <vt:i4>5</vt:i4>
      </vt:variant>
      <vt:variant>
        <vt:lpwstr>mailto:enquiries@genderequalitycommission.vic.gov.au</vt:lpwstr>
      </vt:variant>
      <vt:variant>
        <vt:lpwstr/>
      </vt:variant>
      <vt:variant>
        <vt:i4>1507386</vt:i4>
      </vt:variant>
      <vt:variant>
        <vt:i4>6</vt:i4>
      </vt:variant>
      <vt:variant>
        <vt:i4>0</vt:i4>
      </vt:variant>
      <vt:variant>
        <vt:i4>5</vt:i4>
      </vt:variant>
      <vt:variant>
        <vt:lpwstr/>
      </vt:variant>
      <vt:variant>
        <vt:lpwstr>_Indicator_7:_Gendered</vt:lpwstr>
      </vt:variant>
      <vt:variant>
        <vt:i4>6160410</vt:i4>
      </vt:variant>
      <vt:variant>
        <vt:i4>3</vt:i4>
      </vt:variant>
      <vt:variant>
        <vt:i4>0</vt:i4>
      </vt:variant>
      <vt:variant>
        <vt:i4>5</vt:i4>
      </vt:variant>
      <vt:variant>
        <vt:lpwstr>https://www.localgovernment.vic.gov.au/our-programs/gender-equity</vt:lpwstr>
      </vt:variant>
      <vt:variant>
        <vt:lpwstr/>
      </vt:variant>
      <vt:variant>
        <vt:i4>1048637</vt:i4>
      </vt:variant>
      <vt:variant>
        <vt:i4>0</vt:i4>
      </vt:variant>
      <vt:variant>
        <vt:i4>0</vt:i4>
      </vt:variant>
      <vt:variant>
        <vt:i4>5</vt:i4>
      </vt:variant>
      <vt:variant>
        <vt:lpwstr>https://www.mav.asn.au/__data/assets/pdf_file/0016/43009/Women-elected-to-councils-in-the-2024-Victorian-local-government-elections.pdf</vt:lpwstr>
      </vt:variant>
      <vt:variant>
        <vt:lpwstr/>
      </vt:variant>
      <vt:variant>
        <vt:i4>3145799</vt:i4>
      </vt:variant>
      <vt:variant>
        <vt:i4>444</vt:i4>
      </vt:variant>
      <vt:variant>
        <vt:i4>0</vt:i4>
      </vt:variant>
      <vt:variant>
        <vt:i4>5</vt:i4>
      </vt:variant>
      <vt:variant>
        <vt:lpwstr>mailto:jessica.megarry@genderequalitycommission.vic.gov.au</vt:lpwstr>
      </vt:variant>
      <vt:variant>
        <vt:lpwstr/>
      </vt:variant>
      <vt:variant>
        <vt:i4>3145799</vt:i4>
      </vt:variant>
      <vt:variant>
        <vt:i4>441</vt:i4>
      </vt:variant>
      <vt:variant>
        <vt:i4>0</vt:i4>
      </vt:variant>
      <vt:variant>
        <vt:i4>5</vt:i4>
      </vt:variant>
      <vt:variant>
        <vt:lpwstr>mailto:jessica.megarry@genderequalitycommission.vic.gov.au</vt:lpwstr>
      </vt:variant>
      <vt:variant>
        <vt:lpwstr/>
      </vt:variant>
      <vt:variant>
        <vt:i4>3342456</vt:i4>
      </vt:variant>
      <vt:variant>
        <vt:i4>438</vt:i4>
      </vt:variant>
      <vt:variant>
        <vt:i4>0</vt:i4>
      </vt:variant>
      <vt:variant>
        <vt:i4>5</vt:i4>
      </vt:variant>
      <vt:variant>
        <vt:lpwstr>https://scholar.google.com/citations?view_op=view_citation&amp;hl=en&amp;user=Rh5CiFkAAAAJ&amp;cstart=20&amp;pagesize=80&amp;sortby=pubdate&amp;citation_for_view=Rh5CiFkAAAAJ:roLk4NBRz8UC</vt:lpwstr>
      </vt:variant>
      <vt:variant>
        <vt:lpwstr/>
      </vt:variant>
      <vt:variant>
        <vt:i4>2424925</vt:i4>
      </vt:variant>
      <vt:variant>
        <vt:i4>435</vt:i4>
      </vt:variant>
      <vt:variant>
        <vt:i4>0</vt:i4>
      </vt:variant>
      <vt:variant>
        <vt:i4>5</vt:i4>
      </vt:variant>
      <vt:variant>
        <vt:lpwstr>mailto:alice.dunt@genderequalitycommission.vic.gov.au</vt:lpwstr>
      </vt:variant>
      <vt:variant>
        <vt:lpwstr/>
      </vt:variant>
      <vt:variant>
        <vt:i4>6684680</vt:i4>
      </vt:variant>
      <vt:variant>
        <vt:i4>432</vt:i4>
      </vt:variant>
      <vt:variant>
        <vt:i4>0</vt:i4>
      </vt:variant>
      <vt:variant>
        <vt:i4>5</vt:i4>
      </vt:variant>
      <vt:variant>
        <vt:lpwstr>mailto:kellye.hartman@genderequalitycommission.vic.gov.au</vt:lpwstr>
      </vt:variant>
      <vt:variant>
        <vt:lpwstr/>
      </vt:variant>
      <vt:variant>
        <vt:i4>852084</vt:i4>
      </vt:variant>
      <vt:variant>
        <vt:i4>429</vt:i4>
      </vt:variant>
      <vt:variant>
        <vt:i4>0</vt:i4>
      </vt:variant>
      <vt:variant>
        <vt:i4>5</vt:i4>
      </vt:variant>
      <vt:variant>
        <vt:lpwstr>mailto:Niki.vincent@genderequalitycommission.vic.gov.au</vt:lpwstr>
      </vt:variant>
      <vt:variant>
        <vt:lpwstr/>
      </vt:variant>
      <vt:variant>
        <vt:i4>6684680</vt:i4>
      </vt:variant>
      <vt:variant>
        <vt:i4>426</vt:i4>
      </vt:variant>
      <vt:variant>
        <vt:i4>0</vt:i4>
      </vt:variant>
      <vt:variant>
        <vt:i4>5</vt:i4>
      </vt:variant>
      <vt:variant>
        <vt:lpwstr>mailto:kellye.hartman@genderequalitycommission.vic.gov.au</vt:lpwstr>
      </vt:variant>
      <vt:variant>
        <vt:lpwstr/>
      </vt:variant>
      <vt:variant>
        <vt:i4>6684680</vt:i4>
      </vt:variant>
      <vt:variant>
        <vt:i4>423</vt:i4>
      </vt:variant>
      <vt:variant>
        <vt:i4>0</vt:i4>
      </vt:variant>
      <vt:variant>
        <vt:i4>5</vt:i4>
      </vt:variant>
      <vt:variant>
        <vt:lpwstr>mailto:kellye.hartman@genderequalitycommission.vic.gov.au</vt:lpwstr>
      </vt:variant>
      <vt:variant>
        <vt:lpwstr/>
      </vt:variant>
      <vt:variant>
        <vt:i4>6684680</vt:i4>
      </vt:variant>
      <vt:variant>
        <vt:i4>420</vt:i4>
      </vt:variant>
      <vt:variant>
        <vt:i4>0</vt:i4>
      </vt:variant>
      <vt:variant>
        <vt:i4>5</vt:i4>
      </vt:variant>
      <vt:variant>
        <vt:lpwstr>mailto:kellye.hartman@genderequalitycommission.vic.gov.au</vt:lpwstr>
      </vt:variant>
      <vt:variant>
        <vt:lpwstr/>
      </vt:variant>
      <vt:variant>
        <vt:i4>6684680</vt:i4>
      </vt:variant>
      <vt:variant>
        <vt:i4>417</vt:i4>
      </vt:variant>
      <vt:variant>
        <vt:i4>0</vt:i4>
      </vt:variant>
      <vt:variant>
        <vt:i4>5</vt:i4>
      </vt:variant>
      <vt:variant>
        <vt:lpwstr>mailto:kellye.hartman@genderequalitycommission.vic.gov.au</vt:lpwstr>
      </vt:variant>
      <vt:variant>
        <vt:lpwstr/>
      </vt:variant>
      <vt:variant>
        <vt:i4>1441888</vt:i4>
      </vt:variant>
      <vt:variant>
        <vt:i4>414</vt:i4>
      </vt:variant>
      <vt:variant>
        <vt:i4>0</vt:i4>
      </vt:variant>
      <vt:variant>
        <vt:i4>5</vt:i4>
      </vt:variant>
      <vt:variant>
        <vt:lpwstr>mailto:kate.farhall@genderequalitycommission.vic.gov.au</vt:lpwstr>
      </vt:variant>
      <vt:variant>
        <vt:lpwstr/>
      </vt:variant>
      <vt:variant>
        <vt:i4>6684680</vt:i4>
      </vt:variant>
      <vt:variant>
        <vt:i4>411</vt:i4>
      </vt:variant>
      <vt:variant>
        <vt:i4>0</vt:i4>
      </vt:variant>
      <vt:variant>
        <vt:i4>5</vt:i4>
      </vt:variant>
      <vt:variant>
        <vt:lpwstr>mailto:kellye.hartman@genderequalitycommission.vic.gov.au</vt:lpwstr>
      </vt:variant>
      <vt:variant>
        <vt:lpwstr/>
      </vt:variant>
      <vt:variant>
        <vt:i4>6684680</vt:i4>
      </vt:variant>
      <vt:variant>
        <vt:i4>408</vt:i4>
      </vt:variant>
      <vt:variant>
        <vt:i4>0</vt:i4>
      </vt:variant>
      <vt:variant>
        <vt:i4>5</vt:i4>
      </vt:variant>
      <vt:variant>
        <vt:lpwstr>mailto:kellye.hartman@genderequalitycommission.vic.gov.au</vt:lpwstr>
      </vt:variant>
      <vt:variant>
        <vt:lpwstr/>
      </vt:variant>
      <vt:variant>
        <vt:i4>2424925</vt:i4>
      </vt:variant>
      <vt:variant>
        <vt:i4>405</vt:i4>
      </vt:variant>
      <vt:variant>
        <vt:i4>0</vt:i4>
      </vt:variant>
      <vt:variant>
        <vt:i4>5</vt:i4>
      </vt:variant>
      <vt:variant>
        <vt:lpwstr>mailto:alice.dunt@genderequalitycommission.vic.gov.au</vt:lpwstr>
      </vt:variant>
      <vt:variant>
        <vt:lpwstr/>
      </vt:variant>
      <vt:variant>
        <vt:i4>1441888</vt:i4>
      </vt:variant>
      <vt:variant>
        <vt:i4>402</vt:i4>
      </vt:variant>
      <vt:variant>
        <vt:i4>0</vt:i4>
      </vt:variant>
      <vt:variant>
        <vt:i4>5</vt:i4>
      </vt:variant>
      <vt:variant>
        <vt:lpwstr>mailto:kate.farhall@genderequalitycommission.vic.gov.au</vt:lpwstr>
      </vt:variant>
      <vt:variant>
        <vt:lpwstr/>
      </vt:variant>
      <vt:variant>
        <vt:i4>1441888</vt:i4>
      </vt:variant>
      <vt:variant>
        <vt:i4>399</vt:i4>
      </vt:variant>
      <vt:variant>
        <vt:i4>0</vt:i4>
      </vt:variant>
      <vt:variant>
        <vt:i4>5</vt:i4>
      </vt:variant>
      <vt:variant>
        <vt:lpwstr>mailto:kate.farhall@genderequalitycommission.vic.gov.au</vt:lpwstr>
      </vt:variant>
      <vt:variant>
        <vt:lpwstr/>
      </vt:variant>
      <vt:variant>
        <vt:i4>852084</vt:i4>
      </vt:variant>
      <vt:variant>
        <vt:i4>396</vt:i4>
      </vt:variant>
      <vt:variant>
        <vt:i4>0</vt:i4>
      </vt:variant>
      <vt:variant>
        <vt:i4>5</vt:i4>
      </vt:variant>
      <vt:variant>
        <vt:lpwstr>mailto:Niki.vincent@genderequalitycommission.vic.gov.au</vt:lpwstr>
      </vt:variant>
      <vt:variant>
        <vt:lpwstr/>
      </vt:variant>
      <vt:variant>
        <vt:i4>2097216</vt:i4>
      </vt:variant>
      <vt:variant>
        <vt:i4>393</vt:i4>
      </vt:variant>
      <vt:variant>
        <vt:i4>0</vt:i4>
      </vt:variant>
      <vt:variant>
        <vt:i4>5</vt:i4>
      </vt:variant>
      <vt:variant>
        <vt:lpwstr>mailto:simon.glynn@genderequalitycommission.vic.gov.au</vt:lpwstr>
      </vt:variant>
      <vt:variant>
        <vt:lpwstr/>
      </vt:variant>
      <vt:variant>
        <vt:i4>1441888</vt:i4>
      </vt:variant>
      <vt:variant>
        <vt:i4>390</vt:i4>
      </vt:variant>
      <vt:variant>
        <vt:i4>0</vt:i4>
      </vt:variant>
      <vt:variant>
        <vt:i4>5</vt:i4>
      </vt:variant>
      <vt:variant>
        <vt:lpwstr>mailto:kate.farhall@genderequalitycommission.vic.gov.au</vt:lpwstr>
      </vt:variant>
      <vt:variant>
        <vt:lpwstr/>
      </vt:variant>
      <vt:variant>
        <vt:i4>1441888</vt:i4>
      </vt:variant>
      <vt:variant>
        <vt:i4>387</vt:i4>
      </vt:variant>
      <vt:variant>
        <vt:i4>0</vt:i4>
      </vt:variant>
      <vt:variant>
        <vt:i4>5</vt:i4>
      </vt:variant>
      <vt:variant>
        <vt:lpwstr>mailto:kate.farhall@genderequalitycommission.vic.gov.au</vt:lpwstr>
      </vt:variant>
      <vt:variant>
        <vt:lpwstr/>
      </vt:variant>
      <vt:variant>
        <vt:i4>6684680</vt:i4>
      </vt:variant>
      <vt:variant>
        <vt:i4>384</vt:i4>
      </vt:variant>
      <vt:variant>
        <vt:i4>0</vt:i4>
      </vt:variant>
      <vt:variant>
        <vt:i4>5</vt:i4>
      </vt:variant>
      <vt:variant>
        <vt:lpwstr>mailto:kellye.hartman@genderequalitycommission.vic.gov.au</vt:lpwstr>
      </vt:variant>
      <vt:variant>
        <vt:lpwstr/>
      </vt:variant>
      <vt:variant>
        <vt:i4>6684680</vt:i4>
      </vt:variant>
      <vt:variant>
        <vt:i4>381</vt:i4>
      </vt:variant>
      <vt:variant>
        <vt:i4>0</vt:i4>
      </vt:variant>
      <vt:variant>
        <vt:i4>5</vt:i4>
      </vt:variant>
      <vt:variant>
        <vt:lpwstr>mailto:kellye.hartman@genderequalitycommission.vic.gov.au</vt:lpwstr>
      </vt:variant>
      <vt:variant>
        <vt:lpwstr/>
      </vt:variant>
      <vt:variant>
        <vt:i4>6684680</vt:i4>
      </vt:variant>
      <vt:variant>
        <vt:i4>378</vt:i4>
      </vt:variant>
      <vt:variant>
        <vt:i4>0</vt:i4>
      </vt:variant>
      <vt:variant>
        <vt:i4>5</vt:i4>
      </vt:variant>
      <vt:variant>
        <vt:lpwstr>mailto:kellye.hartman@genderequalitycommission.vic.gov.au</vt:lpwstr>
      </vt:variant>
      <vt:variant>
        <vt:lpwstr/>
      </vt:variant>
      <vt:variant>
        <vt:i4>6684680</vt:i4>
      </vt:variant>
      <vt:variant>
        <vt:i4>375</vt:i4>
      </vt:variant>
      <vt:variant>
        <vt:i4>0</vt:i4>
      </vt:variant>
      <vt:variant>
        <vt:i4>5</vt:i4>
      </vt:variant>
      <vt:variant>
        <vt:lpwstr>mailto:kellye.hartman@genderequalitycommission.vic.gov.au</vt:lpwstr>
      </vt:variant>
      <vt:variant>
        <vt:lpwstr/>
      </vt:variant>
      <vt:variant>
        <vt:i4>2293834</vt:i4>
      </vt:variant>
      <vt:variant>
        <vt:i4>372</vt:i4>
      </vt:variant>
      <vt:variant>
        <vt:i4>0</vt:i4>
      </vt:variant>
      <vt:variant>
        <vt:i4>5</vt:i4>
      </vt:variant>
      <vt:variant>
        <vt:lpwstr>https://humanrights.gov.au/media/documents-files-PDFs/reports-and-publications/sex-and-gender/2025/Speaking-from-Experience-Report_A-june-2025.pdf</vt:lpwstr>
      </vt:variant>
      <vt:variant>
        <vt:lpwstr/>
      </vt:variant>
      <vt:variant>
        <vt:i4>1441888</vt:i4>
      </vt:variant>
      <vt:variant>
        <vt:i4>369</vt:i4>
      </vt:variant>
      <vt:variant>
        <vt:i4>0</vt:i4>
      </vt:variant>
      <vt:variant>
        <vt:i4>5</vt:i4>
      </vt:variant>
      <vt:variant>
        <vt:lpwstr>mailto:kate.farhall@genderequalitycommission.vic.gov.au</vt:lpwstr>
      </vt:variant>
      <vt:variant>
        <vt:lpwstr/>
      </vt:variant>
      <vt:variant>
        <vt:i4>1441888</vt:i4>
      </vt:variant>
      <vt:variant>
        <vt:i4>366</vt:i4>
      </vt:variant>
      <vt:variant>
        <vt:i4>0</vt:i4>
      </vt:variant>
      <vt:variant>
        <vt:i4>5</vt:i4>
      </vt:variant>
      <vt:variant>
        <vt:lpwstr>mailto:kate.farhall@genderequalitycommission.vic.gov.au</vt:lpwstr>
      </vt:variant>
      <vt:variant>
        <vt:lpwstr/>
      </vt:variant>
      <vt:variant>
        <vt:i4>3539020</vt:i4>
      </vt:variant>
      <vt:variant>
        <vt:i4>363</vt:i4>
      </vt:variant>
      <vt:variant>
        <vt:i4>0</vt:i4>
      </vt:variant>
      <vt:variant>
        <vt:i4>5</vt:i4>
      </vt:variant>
      <vt:variant>
        <vt:lpwstr>mailto:monique.failla@genderequalitycommission.vic.gov.au</vt:lpwstr>
      </vt:variant>
      <vt:variant>
        <vt:lpwstr/>
      </vt:variant>
      <vt:variant>
        <vt:i4>6684680</vt:i4>
      </vt:variant>
      <vt:variant>
        <vt:i4>360</vt:i4>
      </vt:variant>
      <vt:variant>
        <vt:i4>0</vt:i4>
      </vt:variant>
      <vt:variant>
        <vt:i4>5</vt:i4>
      </vt:variant>
      <vt:variant>
        <vt:lpwstr>mailto:kellye.hartman@genderequalitycommission.vic.gov.au</vt:lpwstr>
      </vt:variant>
      <vt:variant>
        <vt:lpwstr/>
      </vt:variant>
      <vt:variant>
        <vt:i4>852084</vt:i4>
      </vt:variant>
      <vt:variant>
        <vt:i4>357</vt:i4>
      </vt:variant>
      <vt:variant>
        <vt:i4>0</vt:i4>
      </vt:variant>
      <vt:variant>
        <vt:i4>5</vt:i4>
      </vt:variant>
      <vt:variant>
        <vt:lpwstr>mailto:Niki.vincent@genderequalitycommission.vic.gov.au</vt:lpwstr>
      </vt:variant>
      <vt:variant>
        <vt:lpwstr/>
      </vt:variant>
      <vt:variant>
        <vt:i4>852084</vt:i4>
      </vt:variant>
      <vt:variant>
        <vt:i4>354</vt:i4>
      </vt:variant>
      <vt:variant>
        <vt:i4>0</vt:i4>
      </vt:variant>
      <vt:variant>
        <vt:i4>5</vt:i4>
      </vt:variant>
      <vt:variant>
        <vt:lpwstr>mailto:Niki.vincent@genderequalitycommission.vic.gov.au</vt:lpwstr>
      </vt:variant>
      <vt:variant>
        <vt:lpwstr/>
      </vt:variant>
      <vt:variant>
        <vt:i4>1441888</vt:i4>
      </vt:variant>
      <vt:variant>
        <vt:i4>351</vt:i4>
      </vt:variant>
      <vt:variant>
        <vt:i4>0</vt:i4>
      </vt:variant>
      <vt:variant>
        <vt:i4>5</vt:i4>
      </vt:variant>
      <vt:variant>
        <vt:lpwstr>mailto:kate.farhall@genderequalitycommission.vic.gov.au</vt:lpwstr>
      </vt:variant>
      <vt:variant>
        <vt:lpwstr/>
      </vt:variant>
      <vt:variant>
        <vt:i4>852084</vt:i4>
      </vt:variant>
      <vt:variant>
        <vt:i4>348</vt:i4>
      </vt:variant>
      <vt:variant>
        <vt:i4>0</vt:i4>
      </vt:variant>
      <vt:variant>
        <vt:i4>5</vt:i4>
      </vt:variant>
      <vt:variant>
        <vt:lpwstr>mailto:Niki.vincent@genderequalitycommission.vic.gov.au</vt:lpwstr>
      </vt:variant>
      <vt:variant>
        <vt:lpwstr/>
      </vt:variant>
      <vt:variant>
        <vt:i4>852084</vt:i4>
      </vt:variant>
      <vt:variant>
        <vt:i4>345</vt:i4>
      </vt:variant>
      <vt:variant>
        <vt:i4>0</vt:i4>
      </vt:variant>
      <vt:variant>
        <vt:i4>5</vt:i4>
      </vt:variant>
      <vt:variant>
        <vt:lpwstr>mailto:Niki.vincent@genderequalitycommission.vic.gov.au</vt:lpwstr>
      </vt:variant>
      <vt:variant>
        <vt:lpwstr/>
      </vt:variant>
      <vt:variant>
        <vt:i4>1441888</vt:i4>
      </vt:variant>
      <vt:variant>
        <vt:i4>342</vt:i4>
      </vt:variant>
      <vt:variant>
        <vt:i4>0</vt:i4>
      </vt:variant>
      <vt:variant>
        <vt:i4>5</vt:i4>
      </vt:variant>
      <vt:variant>
        <vt:lpwstr>mailto:kate.farhall@genderequalitycommission.vic.gov.au</vt:lpwstr>
      </vt:variant>
      <vt:variant>
        <vt:lpwstr/>
      </vt:variant>
      <vt:variant>
        <vt:i4>852084</vt:i4>
      </vt:variant>
      <vt:variant>
        <vt:i4>339</vt:i4>
      </vt:variant>
      <vt:variant>
        <vt:i4>0</vt:i4>
      </vt:variant>
      <vt:variant>
        <vt:i4>5</vt:i4>
      </vt:variant>
      <vt:variant>
        <vt:lpwstr>mailto:Niki.vincent@genderequalitycommission.vic.gov.au</vt:lpwstr>
      </vt:variant>
      <vt:variant>
        <vt:lpwstr/>
      </vt:variant>
      <vt:variant>
        <vt:i4>1441888</vt:i4>
      </vt:variant>
      <vt:variant>
        <vt:i4>336</vt:i4>
      </vt:variant>
      <vt:variant>
        <vt:i4>0</vt:i4>
      </vt:variant>
      <vt:variant>
        <vt:i4>5</vt:i4>
      </vt:variant>
      <vt:variant>
        <vt:lpwstr>mailto:kate.farhall@genderequalitycommission.vic.gov.au</vt:lpwstr>
      </vt:variant>
      <vt:variant>
        <vt:lpwstr/>
      </vt:variant>
      <vt:variant>
        <vt:i4>852084</vt:i4>
      </vt:variant>
      <vt:variant>
        <vt:i4>333</vt:i4>
      </vt:variant>
      <vt:variant>
        <vt:i4>0</vt:i4>
      </vt:variant>
      <vt:variant>
        <vt:i4>5</vt:i4>
      </vt:variant>
      <vt:variant>
        <vt:lpwstr>mailto:Niki.vincent@genderequalitycommission.vic.gov.au</vt:lpwstr>
      </vt:variant>
      <vt:variant>
        <vt:lpwstr/>
      </vt:variant>
      <vt:variant>
        <vt:i4>1441888</vt:i4>
      </vt:variant>
      <vt:variant>
        <vt:i4>330</vt:i4>
      </vt:variant>
      <vt:variant>
        <vt:i4>0</vt:i4>
      </vt:variant>
      <vt:variant>
        <vt:i4>5</vt:i4>
      </vt:variant>
      <vt:variant>
        <vt:lpwstr>mailto:kate.farhall@genderequalitycommission.vic.gov.au</vt:lpwstr>
      </vt:variant>
      <vt:variant>
        <vt:lpwstr/>
      </vt:variant>
      <vt:variant>
        <vt:i4>1441888</vt:i4>
      </vt:variant>
      <vt:variant>
        <vt:i4>327</vt:i4>
      </vt:variant>
      <vt:variant>
        <vt:i4>0</vt:i4>
      </vt:variant>
      <vt:variant>
        <vt:i4>5</vt:i4>
      </vt:variant>
      <vt:variant>
        <vt:lpwstr>mailto:kate.farhall@genderequalitycommission.vic.gov.au</vt:lpwstr>
      </vt:variant>
      <vt:variant>
        <vt:lpwstr/>
      </vt:variant>
      <vt:variant>
        <vt:i4>852084</vt:i4>
      </vt:variant>
      <vt:variant>
        <vt:i4>324</vt:i4>
      </vt:variant>
      <vt:variant>
        <vt:i4>0</vt:i4>
      </vt:variant>
      <vt:variant>
        <vt:i4>5</vt:i4>
      </vt:variant>
      <vt:variant>
        <vt:lpwstr>mailto:Niki.vincent@genderequalitycommission.vic.gov.au</vt:lpwstr>
      </vt:variant>
      <vt:variant>
        <vt:lpwstr/>
      </vt:variant>
      <vt:variant>
        <vt:i4>1441888</vt:i4>
      </vt:variant>
      <vt:variant>
        <vt:i4>321</vt:i4>
      </vt:variant>
      <vt:variant>
        <vt:i4>0</vt:i4>
      </vt:variant>
      <vt:variant>
        <vt:i4>5</vt:i4>
      </vt:variant>
      <vt:variant>
        <vt:lpwstr>mailto:kate.farhall@genderequalitycommission.vic.gov.au</vt:lpwstr>
      </vt:variant>
      <vt:variant>
        <vt:lpwstr/>
      </vt:variant>
      <vt:variant>
        <vt:i4>6684680</vt:i4>
      </vt:variant>
      <vt:variant>
        <vt:i4>318</vt:i4>
      </vt:variant>
      <vt:variant>
        <vt:i4>0</vt:i4>
      </vt:variant>
      <vt:variant>
        <vt:i4>5</vt:i4>
      </vt:variant>
      <vt:variant>
        <vt:lpwstr>mailto:kellye.hartman@genderequalitycommission.vic.gov.au</vt:lpwstr>
      </vt:variant>
      <vt:variant>
        <vt:lpwstr/>
      </vt:variant>
      <vt:variant>
        <vt:i4>1441888</vt:i4>
      </vt:variant>
      <vt:variant>
        <vt:i4>315</vt:i4>
      </vt:variant>
      <vt:variant>
        <vt:i4>0</vt:i4>
      </vt:variant>
      <vt:variant>
        <vt:i4>5</vt:i4>
      </vt:variant>
      <vt:variant>
        <vt:lpwstr>mailto:kate.farhall@genderequalitycommission.vic.gov.au</vt:lpwstr>
      </vt:variant>
      <vt:variant>
        <vt:lpwstr/>
      </vt:variant>
      <vt:variant>
        <vt:i4>1441888</vt:i4>
      </vt:variant>
      <vt:variant>
        <vt:i4>312</vt:i4>
      </vt:variant>
      <vt:variant>
        <vt:i4>0</vt:i4>
      </vt:variant>
      <vt:variant>
        <vt:i4>5</vt:i4>
      </vt:variant>
      <vt:variant>
        <vt:lpwstr>mailto:kate.farhall@genderequalitycommission.vic.gov.au</vt:lpwstr>
      </vt:variant>
      <vt:variant>
        <vt:lpwstr/>
      </vt:variant>
      <vt:variant>
        <vt:i4>8257549</vt:i4>
      </vt:variant>
      <vt:variant>
        <vt:i4>309</vt:i4>
      </vt:variant>
      <vt:variant>
        <vt:i4>0</vt:i4>
      </vt:variant>
      <vt:variant>
        <vt:i4>5</vt:i4>
      </vt:variant>
      <vt:variant>
        <vt:lpwstr>mailto:luke.talbot@genderequalitycommission.vic.gov.au</vt:lpwstr>
      </vt:variant>
      <vt:variant>
        <vt:lpwstr/>
      </vt:variant>
      <vt:variant>
        <vt:i4>852084</vt:i4>
      </vt:variant>
      <vt:variant>
        <vt:i4>306</vt:i4>
      </vt:variant>
      <vt:variant>
        <vt:i4>0</vt:i4>
      </vt:variant>
      <vt:variant>
        <vt:i4>5</vt:i4>
      </vt:variant>
      <vt:variant>
        <vt:lpwstr>mailto:Niki.vincent@genderequalitycommission.vic.gov.au</vt:lpwstr>
      </vt:variant>
      <vt:variant>
        <vt:lpwstr/>
      </vt:variant>
      <vt:variant>
        <vt:i4>1441888</vt:i4>
      </vt:variant>
      <vt:variant>
        <vt:i4>303</vt:i4>
      </vt:variant>
      <vt:variant>
        <vt:i4>0</vt:i4>
      </vt:variant>
      <vt:variant>
        <vt:i4>5</vt:i4>
      </vt:variant>
      <vt:variant>
        <vt:lpwstr>mailto:kate.farhall@genderequalitycommission.vic.gov.au</vt:lpwstr>
      </vt:variant>
      <vt:variant>
        <vt:lpwstr/>
      </vt:variant>
      <vt:variant>
        <vt:i4>1441888</vt:i4>
      </vt:variant>
      <vt:variant>
        <vt:i4>300</vt:i4>
      </vt:variant>
      <vt:variant>
        <vt:i4>0</vt:i4>
      </vt:variant>
      <vt:variant>
        <vt:i4>5</vt:i4>
      </vt:variant>
      <vt:variant>
        <vt:lpwstr>mailto:kate.farhall@genderequalitycommission.vic.gov.au</vt:lpwstr>
      </vt:variant>
      <vt:variant>
        <vt:lpwstr/>
      </vt:variant>
      <vt:variant>
        <vt:i4>6684680</vt:i4>
      </vt:variant>
      <vt:variant>
        <vt:i4>297</vt:i4>
      </vt:variant>
      <vt:variant>
        <vt:i4>0</vt:i4>
      </vt:variant>
      <vt:variant>
        <vt:i4>5</vt:i4>
      </vt:variant>
      <vt:variant>
        <vt:lpwstr>mailto:kellye.hartman@genderequalitycommission.vic.gov.au</vt:lpwstr>
      </vt:variant>
      <vt:variant>
        <vt:lpwstr/>
      </vt:variant>
      <vt:variant>
        <vt:i4>6684680</vt:i4>
      </vt:variant>
      <vt:variant>
        <vt:i4>294</vt:i4>
      </vt:variant>
      <vt:variant>
        <vt:i4>0</vt:i4>
      </vt:variant>
      <vt:variant>
        <vt:i4>5</vt:i4>
      </vt:variant>
      <vt:variant>
        <vt:lpwstr>mailto:kellye.hartman@genderequalitycommission.vic.gov.au</vt:lpwstr>
      </vt:variant>
      <vt:variant>
        <vt:lpwstr/>
      </vt:variant>
      <vt:variant>
        <vt:i4>6684680</vt:i4>
      </vt:variant>
      <vt:variant>
        <vt:i4>291</vt:i4>
      </vt:variant>
      <vt:variant>
        <vt:i4>0</vt:i4>
      </vt:variant>
      <vt:variant>
        <vt:i4>5</vt:i4>
      </vt:variant>
      <vt:variant>
        <vt:lpwstr>mailto:kellye.hartman@genderequalitycommission.vic.gov.au</vt:lpwstr>
      </vt:variant>
      <vt:variant>
        <vt:lpwstr/>
      </vt:variant>
      <vt:variant>
        <vt:i4>1441888</vt:i4>
      </vt:variant>
      <vt:variant>
        <vt:i4>288</vt:i4>
      </vt:variant>
      <vt:variant>
        <vt:i4>0</vt:i4>
      </vt:variant>
      <vt:variant>
        <vt:i4>5</vt:i4>
      </vt:variant>
      <vt:variant>
        <vt:lpwstr>mailto:kate.farhall@genderequalitycommission.vic.gov.au</vt:lpwstr>
      </vt:variant>
      <vt:variant>
        <vt:lpwstr/>
      </vt:variant>
      <vt:variant>
        <vt:i4>1441888</vt:i4>
      </vt:variant>
      <vt:variant>
        <vt:i4>285</vt:i4>
      </vt:variant>
      <vt:variant>
        <vt:i4>0</vt:i4>
      </vt:variant>
      <vt:variant>
        <vt:i4>5</vt:i4>
      </vt:variant>
      <vt:variant>
        <vt:lpwstr>mailto:kate.farhall@genderequalitycommission.vic.gov.au</vt:lpwstr>
      </vt:variant>
      <vt:variant>
        <vt:lpwstr/>
      </vt:variant>
      <vt:variant>
        <vt:i4>852084</vt:i4>
      </vt:variant>
      <vt:variant>
        <vt:i4>282</vt:i4>
      </vt:variant>
      <vt:variant>
        <vt:i4>0</vt:i4>
      </vt:variant>
      <vt:variant>
        <vt:i4>5</vt:i4>
      </vt:variant>
      <vt:variant>
        <vt:lpwstr>mailto:Niki.vincent@genderequalitycommission.vic.gov.au</vt:lpwstr>
      </vt:variant>
      <vt:variant>
        <vt:lpwstr/>
      </vt:variant>
      <vt:variant>
        <vt:i4>1441888</vt:i4>
      </vt:variant>
      <vt:variant>
        <vt:i4>279</vt:i4>
      </vt:variant>
      <vt:variant>
        <vt:i4>0</vt:i4>
      </vt:variant>
      <vt:variant>
        <vt:i4>5</vt:i4>
      </vt:variant>
      <vt:variant>
        <vt:lpwstr>mailto:kate.farhall@genderequalitycommission.vic.gov.au</vt:lpwstr>
      </vt:variant>
      <vt:variant>
        <vt:lpwstr/>
      </vt:variant>
      <vt:variant>
        <vt:i4>2031712</vt:i4>
      </vt:variant>
      <vt:variant>
        <vt:i4>276</vt:i4>
      </vt:variant>
      <vt:variant>
        <vt:i4>0</vt:i4>
      </vt:variant>
      <vt:variant>
        <vt:i4>5</vt:i4>
      </vt:variant>
      <vt:variant>
        <vt:lpwstr>mailto:andrew.elkson@genderequalitycommission.vic.gov.au</vt:lpwstr>
      </vt:variant>
      <vt:variant>
        <vt:lpwstr/>
      </vt:variant>
      <vt:variant>
        <vt:i4>1441888</vt:i4>
      </vt:variant>
      <vt:variant>
        <vt:i4>273</vt:i4>
      </vt:variant>
      <vt:variant>
        <vt:i4>0</vt:i4>
      </vt:variant>
      <vt:variant>
        <vt:i4>5</vt:i4>
      </vt:variant>
      <vt:variant>
        <vt:lpwstr>mailto:kate.farhall@genderequalitycommission.vic.gov.au</vt:lpwstr>
      </vt:variant>
      <vt:variant>
        <vt:lpwstr/>
      </vt:variant>
      <vt:variant>
        <vt:i4>852084</vt:i4>
      </vt:variant>
      <vt:variant>
        <vt:i4>270</vt:i4>
      </vt:variant>
      <vt:variant>
        <vt:i4>0</vt:i4>
      </vt:variant>
      <vt:variant>
        <vt:i4>5</vt:i4>
      </vt:variant>
      <vt:variant>
        <vt:lpwstr>mailto:Niki.vincent@genderequalitycommission.vic.gov.au</vt:lpwstr>
      </vt:variant>
      <vt:variant>
        <vt:lpwstr/>
      </vt:variant>
      <vt:variant>
        <vt:i4>1441888</vt:i4>
      </vt:variant>
      <vt:variant>
        <vt:i4>267</vt:i4>
      </vt:variant>
      <vt:variant>
        <vt:i4>0</vt:i4>
      </vt:variant>
      <vt:variant>
        <vt:i4>5</vt:i4>
      </vt:variant>
      <vt:variant>
        <vt:lpwstr>mailto:kate.farhall@genderequalitycommission.vic.gov.au</vt:lpwstr>
      </vt:variant>
      <vt:variant>
        <vt:lpwstr/>
      </vt:variant>
      <vt:variant>
        <vt:i4>8257549</vt:i4>
      </vt:variant>
      <vt:variant>
        <vt:i4>264</vt:i4>
      </vt:variant>
      <vt:variant>
        <vt:i4>0</vt:i4>
      </vt:variant>
      <vt:variant>
        <vt:i4>5</vt:i4>
      </vt:variant>
      <vt:variant>
        <vt:lpwstr>mailto:luke.talbot@genderequalitycommission.vic.gov.au</vt:lpwstr>
      </vt:variant>
      <vt:variant>
        <vt:lpwstr/>
      </vt:variant>
      <vt:variant>
        <vt:i4>1441888</vt:i4>
      </vt:variant>
      <vt:variant>
        <vt:i4>261</vt:i4>
      </vt:variant>
      <vt:variant>
        <vt:i4>0</vt:i4>
      </vt:variant>
      <vt:variant>
        <vt:i4>5</vt:i4>
      </vt:variant>
      <vt:variant>
        <vt:lpwstr>mailto:kate.farhall@genderequalitycommission.vic.gov.au</vt:lpwstr>
      </vt:variant>
      <vt:variant>
        <vt:lpwstr/>
      </vt:variant>
      <vt:variant>
        <vt:i4>6684680</vt:i4>
      </vt:variant>
      <vt:variant>
        <vt:i4>258</vt:i4>
      </vt:variant>
      <vt:variant>
        <vt:i4>0</vt:i4>
      </vt:variant>
      <vt:variant>
        <vt:i4>5</vt:i4>
      </vt:variant>
      <vt:variant>
        <vt:lpwstr>mailto:kellye.hartman@genderequalitycommission.vic.gov.au</vt:lpwstr>
      </vt:variant>
      <vt:variant>
        <vt:lpwstr/>
      </vt:variant>
      <vt:variant>
        <vt:i4>6684680</vt:i4>
      </vt:variant>
      <vt:variant>
        <vt:i4>255</vt:i4>
      </vt:variant>
      <vt:variant>
        <vt:i4>0</vt:i4>
      </vt:variant>
      <vt:variant>
        <vt:i4>5</vt:i4>
      </vt:variant>
      <vt:variant>
        <vt:lpwstr>mailto:kellye.hartman@genderequalitycommission.vic.gov.au</vt:lpwstr>
      </vt:variant>
      <vt:variant>
        <vt:lpwstr/>
      </vt:variant>
      <vt:variant>
        <vt:i4>1441888</vt:i4>
      </vt:variant>
      <vt:variant>
        <vt:i4>252</vt:i4>
      </vt:variant>
      <vt:variant>
        <vt:i4>0</vt:i4>
      </vt:variant>
      <vt:variant>
        <vt:i4>5</vt:i4>
      </vt:variant>
      <vt:variant>
        <vt:lpwstr>mailto:kate.farhall@genderequalitycommission.vic.gov.au</vt:lpwstr>
      </vt:variant>
      <vt:variant>
        <vt:lpwstr/>
      </vt:variant>
      <vt:variant>
        <vt:i4>1441888</vt:i4>
      </vt:variant>
      <vt:variant>
        <vt:i4>249</vt:i4>
      </vt:variant>
      <vt:variant>
        <vt:i4>0</vt:i4>
      </vt:variant>
      <vt:variant>
        <vt:i4>5</vt:i4>
      </vt:variant>
      <vt:variant>
        <vt:lpwstr>mailto:kate.farhall@genderequalitycommission.vic.gov.au</vt:lpwstr>
      </vt:variant>
      <vt:variant>
        <vt:lpwstr/>
      </vt:variant>
      <vt:variant>
        <vt:i4>8257549</vt:i4>
      </vt:variant>
      <vt:variant>
        <vt:i4>246</vt:i4>
      </vt:variant>
      <vt:variant>
        <vt:i4>0</vt:i4>
      </vt:variant>
      <vt:variant>
        <vt:i4>5</vt:i4>
      </vt:variant>
      <vt:variant>
        <vt:lpwstr>mailto:luke.talbot@genderequalitycommission.vic.gov.au</vt:lpwstr>
      </vt:variant>
      <vt:variant>
        <vt:lpwstr/>
      </vt:variant>
      <vt:variant>
        <vt:i4>6684680</vt:i4>
      </vt:variant>
      <vt:variant>
        <vt:i4>243</vt:i4>
      </vt:variant>
      <vt:variant>
        <vt:i4>0</vt:i4>
      </vt:variant>
      <vt:variant>
        <vt:i4>5</vt:i4>
      </vt:variant>
      <vt:variant>
        <vt:lpwstr>mailto:kellye.hartman@genderequalitycommission.vic.gov.au</vt:lpwstr>
      </vt:variant>
      <vt:variant>
        <vt:lpwstr/>
      </vt:variant>
      <vt:variant>
        <vt:i4>1441888</vt:i4>
      </vt:variant>
      <vt:variant>
        <vt:i4>240</vt:i4>
      </vt:variant>
      <vt:variant>
        <vt:i4>0</vt:i4>
      </vt:variant>
      <vt:variant>
        <vt:i4>5</vt:i4>
      </vt:variant>
      <vt:variant>
        <vt:lpwstr>mailto:kate.farhall@genderequalitycommission.vic.gov.au</vt:lpwstr>
      </vt:variant>
      <vt:variant>
        <vt:lpwstr/>
      </vt:variant>
      <vt:variant>
        <vt:i4>6684680</vt:i4>
      </vt:variant>
      <vt:variant>
        <vt:i4>237</vt:i4>
      </vt:variant>
      <vt:variant>
        <vt:i4>0</vt:i4>
      </vt:variant>
      <vt:variant>
        <vt:i4>5</vt:i4>
      </vt:variant>
      <vt:variant>
        <vt:lpwstr>mailto:kellye.hartman@genderequalitycommission.vic.gov.au</vt:lpwstr>
      </vt:variant>
      <vt:variant>
        <vt:lpwstr/>
      </vt:variant>
      <vt:variant>
        <vt:i4>1441888</vt:i4>
      </vt:variant>
      <vt:variant>
        <vt:i4>234</vt:i4>
      </vt:variant>
      <vt:variant>
        <vt:i4>0</vt:i4>
      </vt:variant>
      <vt:variant>
        <vt:i4>5</vt:i4>
      </vt:variant>
      <vt:variant>
        <vt:lpwstr>mailto:kate.farhall@genderequalitycommission.vic.gov.au</vt:lpwstr>
      </vt:variant>
      <vt:variant>
        <vt:lpwstr/>
      </vt:variant>
      <vt:variant>
        <vt:i4>6684680</vt:i4>
      </vt:variant>
      <vt:variant>
        <vt:i4>231</vt:i4>
      </vt:variant>
      <vt:variant>
        <vt:i4>0</vt:i4>
      </vt:variant>
      <vt:variant>
        <vt:i4>5</vt:i4>
      </vt:variant>
      <vt:variant>
        <vt:lpwstr>mailto:kellye.hartman@genderequalitycommission.vic.gov.au</vt:lpwstr>
      </vt:variant>
      <vt:variant>
        <vt:lpwstr/>
      </vt:variant>
      <vt:variant>
        <vt:i4>1441888</vt:i4>
      </vt:variant>
      <vt:variant>
        <vt:i4>228</vt:i4>
      </vt:variant>
      <vt:variant>
        <vt:i4>0</vt:i4>
      </vt:variant>
      <vt:variant>
        <vt:i4>5</vt:i4>
      </vt:variant>
      <vt:variant>
        <vt:lpwstr>mailto:kate.farhall@genderequalitycommission.vic.gov.au</vt:lpwstr>
      </vt:variant>
      <vt:variant>
        <vt:lpwstr/>
      </vt:variant>
      <vt:variant>
        <vt:i4>6684680</vt:i4>
      </vt:variant>
      <vt:variant>
        <vt:i4>225</vt:i4>
      </vt:variant>
      <vt:variant>
        <vt:i4>0</vt:i4>
      </vt:variant>
      <vt:variant>
        <vt:i4>5</vt:i4>
      </vt:variant>
      <vt:variant>
        <vt:lpwstr>mailto:kellye.hartman@genderequalitycommission.vic.gov.au</vt:lpwstr>
      </vt:variant>
      <vt:variant>
        <vt:lpwstr/>
      </vt:variant>
      <vt:variant>
        <vt:i4>6684680</vt:i4>
      </vt:variant>
      <vt:variant>
        <vt:i4>222</vt:i4>
      </vt:variant>
      <vt:variant>
        <vt:i4>0</vt:i4>
      </vt:variant>
      <vt:variant>
        <vt:i4>5</vt:i4>
      </vt:variant>
      <vt:variant>
        <vt:lpwstr>mailto:kellye.hartman@genderequalitycommission.vic.gov.au</vt:lpwstr>
      </vt:variant>
      <vt:variant>
        <vt:lpwstr/>
      </vt:variant>
      <vt:variant>
        <vt:i4>6684680</vt:i4>
      </vt:variant>
      <vt:variant>
        <vt:i4>219</vt:i4>
      </vt:variant>
      <vt:variant>
        <vt:i4>0</vt:i4>
      </vt:variant>
      <vt:variant>
        <vt:i4>5</vt:i4>
      </vt:variant>
      <vt:variant>
        <vt:lpwstr>mailto:kellye.hartman@genderequalitycommission.vic.gov.au</vt:lpwstr>
      </vt:variant>
      <vt:variant>
        <vt:lpwstr/>
      </vt:variant>
      <vt:variant>
        <vt:i4>1441888</vt:i4>
      </vt:variant>
      <vt:variant>
        <vt:i4>216</vt:i4>
      </vt:variant>
      <vt:variant>
        <vt:i4>0</vt:i4>
      </vt:variant>
      <vt:variant>
        <vt:i4>5</vt:i4>
      </vt:variant>
      <vt:variant>
        <vt:lpwstr>mailto:kate.farhall@genderequalitycommission.vic.gov.au</vt:lpwstr>
      </vt:variant>
      <vt:variant>
        <vt:lpwstr/>
      </vt:variant>
      <vt:variant>
        <vt:i4>2883624</vt:i4>
      </vt:variant>
      <vt:variant>
        <vt:i4>213</vt:i4>
      </vt:variant>
      <vt:variant>
        <vt:i4>0</vt:i4>
      </vt:variant>
      <vt:variant>
        <vt:i4>5</vt:i4>
      </vt:variant>
      <vt:variant>
        <vt:lpwstr>https://www.jobsandskills.gov.au/publications/new-perspectives-old-problems-gendered-jobs-work-and-pay</vt:lpwstr>
      </vt:variant>
      <vt:variant>
        <vt:lpwstr/>
      </vt:variant>
      <vt:variant>
        <vt:i4>3145799</vt:i4>
      </vt:variant>
      <vt:variant>
        <vt:i4>210</vt:i4>
      </vt:variant>
      <vt:variant>
        <vt:i4>0</vt:i4>
      </vt:variant>
      <vt:variant>
        <vt:i4>5</vt:i4>
      </vt:variant>
      <vt:variant>
        <vt:lpwstr>mailto:jessica.megarry@genderequalitycommission.vic.gov.au</vt:lpwstr>
      </vt:variant>
      <vt:variant>
        <vt:lpwstr/>
      </vt:variant>
      <vt:variant>
        <vt:i4>1441888</vt:i4>
      </vt:variant>
      <vt:variant>
        <vt:i4>207</vt:i4>
      </vt:variant>
      <vt:variant>
        <vt:i4>0</vt:i4>
      </vt:variant>
      <vt:variant>
        <vt:i4>5</vt:i4>
      </vt:variant>
      <vt:variant>
        <vt:lpwstr>mailto:kate.farhall@genderequalitycommission.vic.gov.au</vt:lpwstr>
      </vt:variant>
      <vt:variant>
        <vt:lpwstr/>
      </vt:variant>
      <vt:variant>
        <vt:i4>852084</vt:i4>
      </vt:variant>
      <vt:variant>
        <vt:i4>204</vt:i4>
      </vt:variant>
      <vt:variant>
        <vt:i4>0</vt:i4>
      </vt:variant>
      <vt:variant>
        <vt:i4>5</vt:i4>
      </vt:variant>
      <vt:variant>
        <vt:lpwstr>mailto:Niki.vincent@genderequalitycommission.vic.gov.au</vt:lpwstr>
      </vt:variant>
      <vt:variant>
        <vt:lpwstr/>
      </vt:variant>
      <vt:variant>
        <vt:i4>1441888</vt:i4>
      </vt:variant>
      <vt:variant>
        <vt:i4>201</vt:i4>
      </vt:variant>
      <vt:variant>
        <vt:i4>0</vt:i4>
      </vt:variant>
      <vt:variant>
        <vt:i4>5</vt:i4>
      </vt:variant>
      <vt:variant>
        <vt:lpwstr>mailto:kate.farhall@genderequalitycommission.vic.gov.au</vt:lpwstr>
      </vt:variant>
      <vt:variant>
        <vt:lpwstr/>
      </vt:variant>
      <vt:variant>
        <vt:i4>1441888</vt:i4>
      </vt:variant>
      <vt:variant>
        <vt:i4>198</vt:i4>
      </vt:variant>
      <vt:variant>
        <vt:i4>0</vt:i4>
      </vt:variant>
      <vt:variant>
        <vt:i4>5</vt:i4>
      </vt:variant>
      <vt:variant>
        <vt:lpwstr>mailto:kate.farhall@genderequalitycommission.vic.gov.au</vt:lpwstr>
      </vt:variant>
      <vt:variant>
        <vt:lpwstr/>
      </vt:variant>
      <vt:variant>
        <vt:i4>1441888</vt:i4>
      </vt:variant>
      <vt:variant>
        <vt:i4>195</vt:i4>
      </vt:variant>
      <vt:variant>
        <vt:i4>0</vt:i4>
      </vt:variant>
      <vt:variant>
        <vt:i4>5</vt:i4>
      </vt:variant>
      <vt:variant>
        <vt:lpwstr>mailto:kate.farhall@genderequalitycommission.vic.gov.au</vt:lpwstr>
      </vt:variant>
      <vt:variant>
        <vt:lpwstr/>
      </vt:variant>
      <vt:variant>
        <vt:i4>6684680</vt:i4>
      </vt:variant>
      <vt:variant>
        <vt:i4>192</vt:i4>
      </vt:variant>
      <vt:variant>
        <vt:i4>0</vt:i4>
      </vt:variant>
      <vt:variant>
        <vt:i4>5</vt:i4>
      </vt:variant>
      <vt:variant>
        <vt:lpwstr>mailto:kellye.hartman@genderequalitycommission.vic.gov.au</vt:lpwstr>
      </vt:variant>
      <vt:variant>
        <vt:lpwstr/>
      </vt:variant>
      <vt:variant>
        <vt:i4>6684680</vt:i4>
      </vt:variant>
      <vt:variant>
        <vt:i4>189</vt:i4>
      </vt:variant>
      <vt:variant>
        <vt:i4>0</vt:i4>
      </vt:variant>
      <vt:variant>
        <vt:i4>5</vt:i4>
      </vt:variant>
      <vt:variant>
        <vt:lpwstr>mailto:kellye.hartman@genderequalitycommission.vic.gov.au</vt:lpwstr>
      </vt:variant>
      <vt:variant>
        <vt:lpwstr/>
      </vt:variant>
      <vt:variant>
        <vt:i4>1441888</vt:i4>
      </vt:variant>
      <vt:variant>
        <vt:i4>186</vt:i4>
      </vt:variant>
      <vt:variant>
        <vt:i4>0</vt:i4>
      </vt:variant>
      <vt:variant>
        <vt:i4>5</vt:i4>
      </vt:variant>
      <vt:variant>
        <vt:lpwstr>mailto:kate.farhall@genderequalitycommission.vic.gov.au</vt:lpwstr>
      </vt:variant>
      <vt:variant>
        <vt:lpwstr/>
      </vt:variant>
      <vt:variant>
        <vt:i4>6684680</vt:i4>
      </vt:variant>
      <vt:variant>
        <vt:i4>183</vt:i4>
      </vt:variant>
      <vt:variant>
        <vt:i4>0</vt:i4>
      </vt:variant>
      <vt:variant>
        <vt:i4>5</vt:i4>
      </vt:variant>
      <vt:variant>
        <vt:lpwstr>mailto:kellye.hartman@genderequalitycommission.vic.gov.au</vt:lpwstr>
      </vt:variant>
      <vt:variant>
        <vt:lpwstr/>
      </vt:variant>
      <vt:variant>
        <vt:i4>1441888</vt:i4>
      </vt:variant>
      <vt:variant>
        <vt:i4>180</vt:i4>
      </vt:variant>
      <vt:variant>
        <vt:i4>0</vt:i4>
      </vt:variant>
      <vt:variant>
        <vt:i4>5</vt:i4>
      </vt:variant>
      <vt:variant>
        <vt:lpwstr>mailto:kate.farhall@genderequalitycommission.vic.gov.au</vt:lpwstr>
      </vt:variant>
      <vt:variant>
        <vt:lpwstr/>
      </vt:variant>
      <vt:variant>
        <vt:i4>6684680</vt:i4>
      </vt:variant>
      <vt:variant>
        <vt:i4>177</vt:i4>
      </vt:variant>
      <vt:variant>
        <vt:i4>0</vt:i4>
      </vt:variant>
      <vt:variant>
        <vt:i4>5</vt:i4>
      </vt:variant>
      <vt:variant>
        <vt:lpwstr>mailto:kellye.hartman@genderequalitycommission.vic.gov.au</vt:lpwstr>
      </vt:variant>
      <vt:variant>
        <vt:lpwstr/>
      </vt:variant>
      <vt:variant>
        <vt:i4>1441888</vt:i4>
      </vt:variant>
      <vt:variant>
        <vt:i4>174</vt:i4>
      </vt:variant>
      <vt:variant>
        <vt:i4>0</vt:i4>
      </vt:variant>
      <vt:variant>
        <vt:i4>5</vt:i4>
      </vt:variant>
      <vt:variant>
        <vt:lpwstr>mailto:kate.farhall@genderequalitycommission.vic.gov.au</vt:lpwstr>
      </vt:variant>
      <vt:variant>
        <vt:lpwstr/>
      </vt:variant>
      <vt:variant>
        <vt:i4>1900669</vt:i4>
      </vt:variant>
      <vt:variant>
        <vt:i4>171</vt:i4>
      </vt:variant>
      <vt:variant>
        <vt:i4>0</vt:i4>
      </vt:variant>
      <vt:variant>
        <vt:i4>5</vt:i4>
      </vt:variant>
      <vt:variant>
        <vt:lpwstr>mailto:kate.farhall@dffh.vic.gov.au</vt:lpwstr>
      </vt:variant>
      <vt:variant>
        <vt:lpwstr/>
      </vt:variant>
      <vt:variant>
        <vt:i4>6684680</vt:i4>
      </vt:variant>
      <vt:variant>
        <vt:i4>168</vt:i4>
      </vt:variant>
      <vt:variant>
        <vt:i4>0</vt:i4>
      </vt:variant>
      <vt:variant>
        <vt:i4>5</vt:i4>
      </vt:variant>
      <vt:variant>
        <vt:lpwstr>mailto:kellye.hartman@genderequalitycommission.vic.gov.au</vt:lpwstr>
      </vt:variant>
      <vt:variant>
        <vt:lpwstr/>
      </vt:variant>
      <vt:variant>
        <vt:i4>852084</vt:i4>
      </vt:variant>
      <vt:variant>
        <vt:i4>165</vt:i4>
      </vt:variant>
      <vt:variant>
        <vt:i4>0</vt:i4>
      </vt:variant>
      <vt:variant>
        <vt:i4>5</vt:i4>
      </vt:variant>
      <vt:variant>
        <vt:lpwstr>mailto:Niki.vincent@genderequalitycommission.vic.gov.au</vt:lpwstr>
      </vt:variant>
      <vt:variant>
        <vt:lpwstr/>
      </vt:variant>
      <vt:variant>
        <vt:i4>2424925</vt:i4>
      </vt:variant>
      <vt:variant>
        <vt:i4>162</vt:i4>
      </vt:variant>
      <vt:variant>
        <vt:i4>0</vt:i4>
      </vt:variant>
      <vt:variant>
        <vt:i4>5</vt:i4>
      </vt:variant>
      <vt:variant>
        <vt:lpwstr>mailto:alice.dunt@genderequalitycommission.vic.gov.au</vt:lpwstr>
      </vt:variant>
      <vt:variant>
        <vt:lpwstr/>
      </vt:variant>
      <vt:variant>
        <vt:i4>6684680</vt:i4>
      </vt:variant>
      <vt:variant>
        <vt:i4>159</vt:i4>
      </vt:variant>
      <vt:variant>
        <vt:i4>0</vt:i4>
      </vt:variant>
      <vt:variant>
        <vt:i4>5</vt:i4>
      </vt:variant>
      <vt:variant>
        <vt:lpwstr>mailto:kellye.hartman@genderequalitycommission.vic.gov.au</vt:lpwstr>
      </vt:variant>
      <vt:variant>
        <vt:lpwstr/>
      </vt:variant>
      <vt:variant>
        <vt:i4>6684680</vt:i4>
      </vt:variant>
      <vt:variant>
        <vt:i4>156</vt:i4>
      </vt:variant>
      <vt:variant>
        <vt:i4>0</vt:i4>
      </vt:variant>
      <vt:variant>
        <vt:i4>5</vt:i4>
      </vt:variant>
      <vt:variant>
        <vt:lpwstr>mailto:kellye.hartman@genderequalitycommission.vic.gov.au</vt:lpwstr>
      </vt:variant>
      <vt:variant>
        <vt:lpwstr/>
      </vt:variant>
      <vt:variant>
        <vt:i4>6684680</vt:i4>
      </vt:variant>
      <vt:variant>
        <vt:i4>153</vt:i4>
      </vt:variant>
      <vt:variant>
        <vt:i4>0</vt:i4>
      </vt:variant>
      <vt:variant>
        <vt:i4>5</vt:i4>
      </vt:variant>
      <vt:variant>
        <vt:lpwstr>mailto:kellye.hartman@genderequalitycommission.vic.gov.au</vt:lpwstr>
      </vt:variant>
      <vt:variant>
        <vt:lpwstr/>
      </vt:variant>
      <vt:variant>
        <vt:i4>6684680</vt:i4>
      </vt:variant>
      <vt:variant>
        <vt:i4>150</vt:i4>
      </vt:variant>
      <vt:variant>
        <vt:i4>0</vt:i4>
      </vt:variant>
      <vt:variant>
        <vt:i4>5</vt:i4>
      </vt:variant>
      <vt:variant>
        <vt:lpwstr>mailto:kellye.hartman@genderequalitycommission.vic.gov.au</vt:lpwstr>
      </vt:variant>
      <vt:variant>
        <vt:lpwstr/>
      </vt:variant>
      <vt:variant>
        <vt:i4>6684680</vt:i4>
      </vt:variant>
      <vt:variant>
        <vt:i4>147</vt:i4>
      </vt:variant>
      <vt:variant>
        <vt:i4>0</vt:i4>
      </vt:variant>
      <vt:variant>
        <vt:i4>5</vt:i4>
      </vt:variant>
      <vt:variant>
        <vt:lpwstr>mailto:kellye.hartman@genderequalitycommission.vic.gov.au</vt:lpwstr>
      </vt:variant>
      <vt:variant>
        <vt:lpwstr/>
      </vt:variant>
      <vt:variant>
        <vt:i4>6684680</vt:i4>
      </vt:variant>
      <vt:variant>
        <vt:i4>144</vt:i4>
      </vt:variant>
      <vt:variant>
        <vt:i4>0</vt:i4>
      </vt:variant>
      <vt:variant>
        <vt:i4>5</vt:i4>
      </vt:variant>
      <vt:variant>
        <vt:lpwstr>mailto:kellye.hartman@genderequalitycommission.vic.gov.au</vt:lpwstr>
      </vt:variant>
      <vt:variant>
        <vt:lpwstr/>
      </vt:variant>
      <vt:variant>
        <vt:i4>8257570</vt:i4>
      </vt:variant>
      <vt:variant>
        <vt:i4>141</vt:i4>
      </vt:variant>
      <vt:variant>
        <vt:i4>0</vt:i4>
      </vt:variant>
      <vt:variant>
        <vt:i4>5</vt:i4>
      </vt:variant>
      <vt:variant>
        <vt:lpwstr>https://www.wgea.gov.au/sites/default/files/documents/BCEC WGEA Gender Equity Insights 2020 Delivering the Business Outcomes_WEB_FINAL.pdf</vt:lpwstr>
      </vt:variant>
      <vt:variant>
        <vt:lpwstr/>
      </vt:variant>
      <vt:variant>
        <vt:i4>852084</vt:i4>
      </vt:variant>
      <vt:variant>
        <vt:i4>138</vt:i4>
      </vt:variant>
      <vt:variant>
        <vt:i4>0</vt:i4>
      </vt:variant>
      <vt:variant>
        <vt:i4>5</vt:i4>
      </vt:variant>
      <vt:variant>
        <vt:lpwstr>mailto:Niki.vincent@genderequalitycommission.vic.gov.au</vt:lpwstr>
      </vt:variant>
      <vt:variant>
        <vt:lpwstr/>
      </vt:variant>
      <vt:variant>
        <vt:i4>1441888</vt:i4>
      </vt:variant>
      <vt:variant>
        <vt:i4>135</vt:i4>
      </vt:variant>
      <vt:variant>
        <vt:i4>0</vt:i4>
      </vt:variant>
      <vt:variant>
        <vt:i4>5</vt:i4>
      </vt:variant>
      <vt:variant>
        <vt:lpwstr>mailto:kate.farhall@genderequalitycommission.vic.gov.au</vt:lpwstr>
      </vt:variant>
      <vt:variant>
        <vt:lpwstr/>
      </vt:variant>
      <vt:variant>
        <vt:i4>1441888</vt:i4>
      </vt:variant>
      <vt:variant>
        <vt:i4>132</vt:i4>
      </vt:variant>
      <vt:variant>
        <vt:i4>0</vt:i4>
      </vt:variant>
      <vt:variant>
        <vt:i4>5</vt:i4>
      </vt:variant>
      <vt:variant>
        <vt:lpwstr>mailto:kate.farhall@genderequalitycommission.vic.gov.au</vt:lpwstr>
      </vt:variant>
      <vt:variant>
        <vt:lpwstr/>
      </vt:variant>
      <vt:variant>
        <vt:i4>1441888</vt:i4>
      </vt:variant>
      <vt:variant>
        <vt:i4>129</vt:i4>
      </vt:variant>
      <vt:variant>
        <vt:i4>0</vt:i4>
      </vt:variant>
      <vt:variant>
        <vt:i4>5</vt:i4>
      </vt:variant>
      <vt:variant>
        <vt:lpwstr>mailto:kate.farhall@genderequalitycommission.vic.gov.au</vt:lpwstr>
      </vt:variant>
      <vt:variant>
        <vt:lpwstr/>
      </vt:variant>
      <vt:variant>
        <vt:i4>1441888</vt:i4>
      </vt:variant>
      <vt:variant>
        <vt:i4>126</vt:i4>
      </vt:variant>
      <vt:variant>
        <vt:i4>0</vt:i4>
      </vt:variant>
      <vt:variant>
        <vt:i4>5</vt:i4>
      </vt:variant>
      <vt:variant>
        <vt:lpwstr>mailto:kate.farhall@genderequalitycommission.vic.gov.au</vt:lpwstr>
      </vt:variant>
      <vt:variant>
        <vt:lpwstr/>
      </vt:variant>
      <vt:variant>
        <vt:i4>1441888</vt:i4>
      </vt:variant>
      <vt:variant>
        <vt:i4>123</vt:i4>
      </vt:variant>
      <vt:variant>
        <vt:i4>0</vt:i4>
      </vt:variant>
      <vt:variant>
        <vt:i4>5</vt:i4>
      </vt:variant>
      <vt:variant>
        <vt:lpwstr>mailto:kate.farhall@genderequalitycommission.vic.gov.au</vt:lpwstr>
      </vt:variant>
      <vt:variant>
        <vt:lpwstr/>
      </vt:variant>
      <vt:variant>
        <vt:i4>1441888</vt:i4>
      </vt:variant>
      <vt:variant>
        <vt:i4>120</vt:i4>
      </vt:variant>
      <vt:variant>
        <vt:i4>0</vt:i4>
      </vt:variant>
      <vt:variant>
        <vt:i4>5</vt:i4>
      </vt:variant>
      <vt:variant>
        <vt:lpwstr>mailto:kate.farhall@genderequalitycommission.vic.gov.au</vt:lpwstr>
      </vt:variant>
      <vt:variant>
        <vt:lpwstr/>
      </vt:variant>
      <vt:variant>
        <vt:i4>1441888</vt:i4>
      </vt:variant>
      <vt:variant>
        <vt:i4>117</vt:i4>
      </vt:variant>
      <vt:variant>
        <vt:i4>0</vt:i4>
      </vt:variant>
      <vt:variant>
        <vt:i4>5</vt:i4>
      </vt:variant>
      <vt:variant>
        <vt:lpwstr>mailto:kate.farhall@genderequalitycommission.vic.gov.au</vt:lpwstr>
      </vt:variant>
      <vt:variant>
        <vt:lpwstr/>
      </vt:variant>
      <vt:variant>
        <vt:i4>1441888</vt:i4>
      </vt:variant>
      <vt:variant>
        <vt:i4>114</vt:i4>
      </vt:variant>
      <vt:variant>
        <vt:i4>0</vt:i4>
      </vt:variant>
      <vt:variant>
        <vt:i4>5</vt:i4>
      </vt:variant>
      <vt:variant>
        <vt:lpwstr>mailto:kate.farhall@genderequalitycommission.vic.gov.au</vt:lpwstr>
      </vt:variant>
      <vt:variant>
        <vt:lpwstr/>
      </vt:variant>
      <vt:variant>
        <vt:i4>6684680</vt:i4>
      </vt:variant>
      <vt:variant>
        <vt:i4>111</vt:i4>
      </vt:variant>
      <vt:variant>
        <vt:i4>0</vt:i4>
      </vt:variant>
      <vt:variant>
        <vt:i4>5</vt:i4>
      </vt:variant>
      <vt:variant>
        <vt:lpwstr>mailto:kellye.hartman@genderequalitycommission.vic.gov.au</vt:lpwstr>
      </vt:variant>
      <vt:variant>
        <vt:lpwstr/>
      </vt:variant>
      <vt:variant>
        <vt:i4>6684680</vt:i4>
      </vt:variant>
      <vt:variant>
        <vt:i4>108</vt:i4>
      </vt:variant>
      <vt:variant>
        <vt:i4>0</vt:i4>
      </vt:variant>
      <vt:variant>
        <vt:i4>5</vt:i4>
      </vt:variant>
      <vt:variant>
        <vt:lpwstr>mailto:kellye.hartman@genderequalitycommission.vic.gov.au</vt:lpwstr>
      </vt:variant>
      <vt:variant>
        <vt:lpwstr/>
      </vt:variant>
      <vt:variant>
        <vt:i4>6684680</vt:i4>
      </vt:variant>
      <vt:variant>
        <vt:i4>105</vt:i4>
      </vt:variant>
      <vt:variant>
        <vt:i4>0</vt:i4>
      </vt:variant>
      <vt:variant>
        <vt:i4>5</vt:i4>
      </vt:variant>
      <vt:variant>
        <vt:lpwstr>mailto:kellye.hartman@genderequalitycommission.vic.gov.au</vt:lpwstr>
      </vt:variant>
      <vt:variant>
        <vt:lpwstr/>
      </vt:variant>
      <vt:variant>
        <vt:i4>6684680</vt:i4>
      </vt:variant>
      <vt:variant>
        <vt:i4>102</vt:i4>
      </vt:variant>
      <vt:variant>
        <vt:i4>0</vt:i4>
      </vt:variant>
      <vt:variant>
        <vt:i4>5</vt:i4>
      </vt:variant>
      <vt:variant>
        <vt:lpwstr>mailto:kellye.hartman@genderequalitycommission.vic.gov.au</vt:lpwstr>
      </vt:variant>
      <vt:variant>
        <vt:lpwstr/>
      </vt:variant>
      <vt:variant>
        <vt:i4>6684680</vt:i4>
      </vt:variant>
      <vt:variant>
        <vt:i4>99</vt:i4>
      </vt:variant>
      <vt:variant>
        <vt:i4>0</vt:i4>
      </vt:variant>
      <vt:variant>
        <vt:i4>5</vt:i4>
      </vt:variant>
      <vt:variant>
        <vt:lpwstr>mailto:kellye.hartman@genderequalitycommission.vic.gov.au</vt:lpwstr>
      </vt:variant>
      <vt:variant>
        <vt:lpwstr/>
      </vt:variant>
      <vt:variant>
        <vt:i4>2424925</vt:i4>
      </vt:variant>
      <vt:variant>
        <vt:i4>96</vt:i4>
      </vt:variant>
      <vt:variant>
        <vt:i4>0</vt:i4>
      </vt:variant>
      <vt:variant>
        <vt:i4>5</vt:i4>
      </vt:variant>
      <vt:variant>
        <vt:lpwstr>mailto:alice.dunt@genderequalitycommission.vic.gov.au</vt:lpwstr>
      </vt:variant>
      <vt:variant>
        <vt:lpwstr/>
      </vt:variant>
      <vt:variant>
        <vt:i4>852084</vt:i4>
      </vt:variant>
      <vt:variant>
        <vt:i4>93</vt:i4>
      </vt:variant>
      <vt:variant>
        <vt:i4>0</vt:i4>
      </vt:variant>
      <vt:variant>
        <vt:i4>5</vt:i4>
      </vt:variant>
      <vt:variant>
        <vt:lpwstr>mailto:Niki.vincent@genderequalitycommission.vic.gov.au</vt:lpwstr>
      </vt:variant>
      <vt:variant>
        <vt:lpwstr/>
      </vt:variant>
      <vt:variant>
        <vt:i4>6684680</vt:i4>
      </vt:variant>
      <vt:variant>
        <vt:i4>90</vt:i4>
      </vt:variant>
      <vt:variant>
        <vt:i4>0</vt:i4>
      </vt:variant>
      <vt:variant>
        <vt:i4>5</vt:i4>
      </vt:variant>
      <vt:variant>
        <vt:lpwstr>mailto:kellye.hartman@genderequalitycommission.vic.gov.au</vt:lpwstr>
      </vt:variant>
      <vt:variant>
        <vt:lpwstr/>
      </vt:variant>
      <vt:variant>
        <vt:i4>1441888</vt:i4>
      </vt:variant>
      <vt:variant>
        <vt:i4>87</vt:i4>
      </vt:variant>
      <vt:variant>
        <vt:i4>0</vt:i4>
      </vt:variant>
      <vt:variant>
        <vt:i4>5</vt:i4>
      </vt:variant>
      <vt:variant>
        <vt:lpwstr>mailto:kate.farhall@genderequalitycommission.vic.gov.au</vt:lpwstr>
      </vt:variant>
      <vt:variant>
        <vt:lpwstr/>
      </vt:variant>
      <vt:variant>
        <vt:i4>6684680</vt:i4>
      </vt:variant>
      <vt:variant>
        <vt:i4>84</vt:i4>
      </vt:variant>
      <vt:variant>
        <vt:i4>0</vt:i4>
      </vt:variant>
      <vt:variant>
        <vt:i4>5</vt:i4>
      </vt:variant>
      <vt:variant>
        <vt:lpwstr>mailto:kellye.hartman@genderequalitycommission.vic.gov.au</vt:lpwstr>
      </vt:variant>
      <vt:variant>
        <vt:lpwstr/>
      </vt:variant>
      <vt:variant>
        <vt:i4>6684680</vt:i4>
      </vt:variant>
      <vt:variant>
        <vt:i4>81</vt:i4>
      </vt:variant>
      <vt:variant>
        <vt:i4>0</vt:i4>
      </vt:variant>
      <vt:variant>
        <vt:i4>5</vt:i4>
      </vt:variant>
      <vt:variant>
        <vt:lpwstr>mailto:kellye.hartman@genderequalitycommission.vic.gov.au</vt:lpwstr>
      </vt:variant>
      <vt:variant>
        <vt:lpwstr/>
      </vt:variant>
      <vt:variant>
        <vt:i4>1441888</vt:i4>
      </vt:variant>
      <vt:variant>
        <vt:i4>78</vt:i4>
      </vt:variant>
      <vt:variant>
        <vt:i4>0</vt:i4>
      </vt:variant>
      <vt:variant>
        <vt:i4>5</vt:i4>
      </vt:variant>
      <vt:variant>
        <vt:lpwstr>mailto:kate.farhall@genderequalitycommission.vic.gov.au</vt:lpwstr>
      </vt:variant>
      <vt:variant>
        <vt:lpwstr/>
      </vt:variant>
      <vt:variant>
        <vt:i4>6684680</vt:i4>
      </vt:variant>
      <vt:variant>
        <vt:i4>75</vt:i4>
      </vt:variant>
      <vt:variant>
        <vt:i4>0</vt:i4>
      </vt:variant>
      <vt:variant>
        <vt:i4>5</vt:i4>
      </vt:variant>
      <vt:variant>
        <vt:lpwstr>mailto:kellye.hartman@genderequalitycommission.vic.gov.au</vt:lpwstr>
      </vt:variant>
      <vt:variant>
        <vt:lpwstr/>
      </vt:variant>
      <vt:variant>
        <vt:i4>6684680</vt:i4>
      </vt:variant>
      <vt:variant>
        <vt:i4>72</vt:i4>
      </vt:variant>
      <vt:variant>
        <vt:i4>0</vt:i4>
      </vt:variant>
      <vt:variant>
        <vt:i4>5</vt:i4>
      </vt:variant>
      <vt:variant>
        <vt:lpwstr>mailto:kellye.hartman@genderequalitycommission.vic.gov.au</vt:lpwstr>
      </vt:variant>
      <vt:variant>
        <vt:lpwstr/>
      </vt:variant>
      <vt:variant>
        <vt:i4>6684680</vt:i4>
      </vt:variant>
      <vt:variant>
        <vt:i4>69</vt:i4>
      </vt:variant>
      <vt:variant>
        <vt:i4>0</vt:i4>
      </vt:variant>
      <vt:variant>
        <vt:i4>5</vt:i4>
      </vt:variant>
      <vt:variant>
        <vt:lpwstr>mailto:kellye.hartman@genderequalitycommission.vic.gov.au</vt:lpwstr>
      </vt:variant>
      <vt:variant>
        <vt:lpwstr/>
      </vt:variant>
      <vt:variant>
        <vt:i4>6684680</vt:i4>
      </vt:variant>
      <vt:variant>
        <vt:i4>66</vt:i4>
      </vt:variant>
      <vt:variant>
        <vt:i4>0</vt:i4>
      </vt:variant>
      <vt:variant>
        <vt:i4>5</vt:i4>
      </vt:variant>
      <vt:variant>
        <vt:lpwstr>mailto:kellye.hartman@genderequalitycommission.vic.gov.au</vt:lpwstr>
      </vt:variant>
      <vt:variant>
        <vt:lpwstr/>
      </vt:variant>
      <vt:variant>
        <vt:i4>1441888</vt:i4>
      </vt:variant>
      <vt:variant>
        <vt:i4>63</vt:i4>
      </vt:variant>
      <vt:variant>
        <vt:i4>0</vt:i4>
      </vt:variant>
      <vt:variant>
        <vt:i4>5</vt:i4>
      </vt:variant>
      <vt:variant>
        <vt:lpwstr>mailto:kate.farhall@genderequalitycommission.vic.gov.au</vt:lpwstr>
      </vt:variant>
      <vt:variant>
        <vt:lpwstr/>
      </vt:variant>
      <vt:variant>
        <vt:i4>6684680</vt:i4>
      </vt:variant>
      <vt:variant>
        <vt:i4>60</vt:i4>
      </vt:variant>
      <vt:variant>
        <vt:i4>0</vt:i4>
      </vt:variant>
      <vt:variant>
        <vt:i4>5</vt:i4>
      </vt:variant>
      <vt:variant>
        <vt:lpwstr>mailto:kellye.hartman@genderequalitycommission.vic.gov.au</vt:lpwstr>
      </vt:variant>
      <vt:variant>
        <vt:lpwstr/>
      </vt:variant>
      <vt:variant>
        <vt:i4>6684680</vt:i4>
      </vt:variant>
      <vt:variant>
        <vt:i4>57</vt:i4>
      </vt:variant>
      <vt:variant>
        <vt:i4>0</vt:i4>
      </vt:variant>
      <vt:variant>
        <vt:i4>5</vt:i4>
      </vt:variant>
      <vt:variant>
        <vt:lpwstr>mailto:kellye.hartman@genderequalitycommission.vic.gov.au</vt:lpwstr>
      </vt:variant>
      <vt:variant>
        <vt:lpwstr/>
      </vt:variant>
      <vt:variant>
        <vt:i4>1441888</vt:i4>
      </vt:variant>
      <vt:variant>
        <vt:i4>54</vt:i4>
      </vt:variant>
      <vt:variant>
        <vt:i4>0</vt:i4>
      </vt:variant>
      <vt:variant>
        <vt:i4>5</vt:i4>
      </vt:variant>
      <vt:variant>
        <vt:lpwstr>mailto:kate.farhall@genderequalitycommission.vic.gov.au</vt:lpwstr>
      </vt:variant>
      <vt:variant>
        <vt:lpwstr/>
      </vt:variant>
      <vt:variant>
        <vt:i4>1441888</vt:i4>
      </vt:variant>
      <vt:variant>
        <vt:i4>51</vt:i4>
      </vt:variant>
      <vt:variant>
        <vt:i4>0</vt:i4>
      </vt:variant>
      <vt:variant>
        <vt:i4>5</vt:i4>
      </vt:variant>
      <vt:variant>
        <vt:lpwstr>mailto:kate.farhall@genderequalitycommission.vic.gov.au</vt:lpwstr>
      </vt:variant>
      <vt:variant>
        <vt:lpwstr/>
      </vt:variant>
      <vt:variant>
        <vt:i4>852084</vt:i4>
      </vt:variant>
      <vt:variant>
        <vt:i4>48</vt:i4>
      </vt:variant>
      <vt:variant>
        <vt:i4>0</vt:i4>
      </vt:variant>
      <vt:variant>
        <vt:i4>5</vt:i4>
      </vt:variant>
      <vt:variant>
        <vt:lpwstr>mailto:Niki.vincent@genderequalitycommission.vic.gov.au</vt:lpwstr>
      </vt:variant>
      <vt:variant>
        <vt:lpwstr/>
      </vt:variant>
      <vt:variant>
        <vt:i4>3145799</vt:i4>
      </vt:variant>
      <vt:variant>
        <vt:i4>45</vt:i4>
      </vt:variant>
      <vt:variant>
        <vt:i4>0</vt:i4>
      </vt:variant>
      <vt:variant>
        <vt:i4>5</vt:i4>
      </vt:variant>
      <vt:variant>
        <vt:lpwstr>mailto:jessica.megarry@genderequalitycommission.vic.gov.au</vt:lpwstr>
      </vt:variant>
      <vt:variant>
        <vt:lpwstr/>
      </vt:variant>
      <vt:variant>
        <vt:i4>1441888</vt:i4>
      </vt:variant>
      <vt:variant>
        <vt:i4>42</vt:i4>
      </vt:variant>
      <vt:variant>
        <vt:i4>0</vt:i4>
      </vt:variant>
      <vt:variant>
        <vt:i4>5</vt:i4>
      </vt:variant>
      <vt:variant>
        <vt:lpwstr>mailto:kate.farhall@genderequalitycommission.vic.gov.au</vt:lpwstr>
      </vt:variant>
      <vt:variant>
        <vt:lpwstr/>
      </vt:variant>
      <vt:variant>
        <vt:i4>6684680</vt:i4>
      </vt:variant>
      <vt:variant>
        <vt:i4>39</vt:i4>
      </vt:variant>
      <vt:variant>
        <vt:i4>0</vt:i4>
      </vt:variant>
      <vt:variant>
        <vt:i4>5</vt:i4>
      </vt:variant>
      <vt:variant>
        <vt:lpwstr>mailto:kellye.hartman@genderequalitycommission.vic.gov.au</vt:lpwstr>
      </vt:variant>
      <vt:variant>
        <vt:lpwstr/>
      </vt:variant>
      <vt:variant>
        <vt:i4>1441888</vt:i4>
      </vt:variant>
      <vt:variant>
        <vt:i4>36</vt:i4>
      </vt:variant>
      <vt:variant>
        <vt:i4>0</vt:i4>
      </vt:variant>
      <vt:variant>
        <vt:i4>5</vt:i4>
      </vt:variant>
      <vt:variant>
        <vt:lpwstr>mailto:kate.farhall@genderequalitycommission.vic.gov.au</vt:lpwstr>
      </vt:variant>
      <vt:variant>
        <vt:lpwstr/>
      </vt:variant>
      <vt:variant>
        <vt:i4>852084</vt:i4>
      </vt:variant>
      <vt:variant>
        <vt:i4>33</vt:i4>
      </vt:variant>
      <vt:variant>
        <vt:i4>0</vt:i4>
      </vt:variant>
      <vt:variant>
        <vt:i4>5</vt:i4>
      </vt:variant>
      <vt:variant>
        <vt:lpwstr>mailto:Niki.vincent@genderequalitycommission.vic.gov.au</vt:lpwstr>
      </vt:variant>
      <vt:variant>
        <vt:lpwstr/>
      </vt:variant>
      <vt:variant>
        <vt:i4>6684680</vt:i4>
      </vt:variant>
      <vt:variant>
        <vt:i4>30</vt:i4>
      </vt:variant>
      <vt:variant>
        <vt:i4>0</vt:i4>
      </vt:variant>
      <vt:variant>
        <vt:i4>5</vt:i4>
      </vt:variant>
      <vt:variant>
        <vt:lpwstr>mailto:kellye.hartman@genderequalitycommission.vic.gov.au</vt:lpwstr>
      </vt:variant>
      <vt:variant>
        <vt:lpwstr/>
      </vt:variant>
      <vt:variant>
        <vt:i4>6684680</vt:i4>
      </vt:variant>
      <vt:variant>
        <vt:i4>27</vt:i4>
      </vt:variant>
      <vt:variant>
        <vt:i4>0</vt:i4>
      </vt:variant>
      <vt:variant>
        <vt:i4>5</vt:i4>
      </vt:variant>
      <vt:variant>
        <vt:lpwstr>mailto:kellye.hartman@genderequalitycommission.vic.gov.au</vt:lpwstr>
      </vt:variant>
      <vt:variant>
        <vt:lpwstr/>
      </vt:variant>
      <vt:variant>
        <vt:i4>6684680</vt:i4>
      </vt:variant>
      <vt:variant>
        <vt:i4>24</vt:i4>
      </vt:variant>
      <vt:variant>
        <vt:i4>0</vt:i4>
      </vt:variant>
      <vt:variant>
        <vt:i4>5</vt:i4>
      </vt:variant>
      <vt:variant>
        <vt:lpwstr>mailto:kellye.hartman@genderequalitycommission.vic.gov.au</vt:lpwstr>
      </vt:variant>
      <vt:variant>
        <vt:lpwstr/>
      </vt:variant>
      <vt:variant>
        <vt:i4>1441888</vt:i4>
      </vt:variant>
      <vt:variant>
        <vt:i4>21</vt:i4>
      </vt:variant>
      <vt:variant>
        <vt:i4>0</vt:i4>
      </vt:variant>
      <vt:variant>
        <vt:i4>5</vt:i4>
      </vt:variant>
      <vt:variant>
        <vt:lpwstr>mailto:kate.farhall@genderequalitycommission.vic.gov.au</vt:lpwstr>
      </vt:variant>
      <vt:variant>
        <vt:lpwstr/>
      </vt:variant>
      <vt:variant>
        <vt:i4>1441888</vt:i4>
      </vt:variant>
      <vt:variant>
        <vt:i4>18</vt:i4>
      </vt:variant>
      <vt:variant>
        <vt:i4>0</vt:i4>
      </vt:variant>
      <vt:variant>
        <vt:i4>5</vt:i4>
      </vt:variant>
      <vt:variant>
        <vt:lpwstr>mailto:kate.farhall@genderequalitycommission.vic.gov.au</vt:lpwstr>
      </vt:variant>
      <vt:variant>
        <vt:lpwstr/>
      </vt:variant>
      <vt:variant>
        <vt:i4>6684680</vt:i4>
      </vt:variant>
      <vt:variant>
        <vt:i4>15</vt:i4>
      </vt:variant>
      <vt:variant>
        <vt:i4>0</vt:i4>
      </vt:variant>
      <vt:variant>
        <vt:i4>5</vt:i4>
      </vt:variant>
      <vt:variant>
        <vt:lpwstr>mailto:kellye.hartman@genderequalitycommission.vic.gov.au</vt:lpwstr>
      </vt:variant>
      <vt:variant>
        <vt:lpwstr/>
      </vt:variant>
      <vt:variant>
        <vt:i4>852084</vt:i4>
      </vt:variant>
      <vt:variant>
        <vt:i4>12</vt:i4>
      </vt:variant>
      <vt:variant>
        <vt:i4>0</vt:i4>
      </vt:variant>
      <vt:variant>
        <vt:i4>5</vt:i4>
      </vt:variant>
      <vt:variant>
        <vt:lpwstr>mailto:Niki.vincent@genderequalitycommission.vic.gov.au</vt:lpwstr>
      </vt:variant>
      <vt:variant>
        <vt:lpwstr/>
      </vt:variant>
      <vt:variant>
        <vt:i4>1441888</vt:i4>
      </vt:variant>
      <vt:variant>
        <vt:i4>9</vt:i4>
      </vt:variant>
      <vt:variant>
        <vt:i4>0</vt:i4>
      </vt:variant>
      <vt:variant>
        <vt:i4>5</vt:i4>
      </vt:variant>
      <vt:variant>
        <vt:lpwstr>mailto:kate.farhall@genderequalitycommission.vic.gov.au</vt:lpwstr>
      </vt:variant>
      <vt:variant>
        <vt:lpwstr/>
      </vt:variant>
      <vt:variant>
        <vt:i4>852084</vt:i4>
      </vt:variant>
      <vt:variant>
        <vt:i4>6</vt:i4>
      </vt:variant>
      <vt:variant>
        <vt:i4>0</vt:i4>
      </vt:variant>
      <vt:variant>
        <vt:i4>5</vt:i4>
      </vt:variant>
      <vt:variant>
        <vt:lpwstr>mailto:Niki.vincent@genderequalitycommission.vic.gov.au</vt:lpwstr>
      </vt:variant>
      <vt:variant>
        <vt:lpwstr/>
      </vt:variant>
      <vt:variant>
        <vt:i4>6684680</vt:i4>
      </vt:variant>
      <vt:variant>
        <vt:i4>3</vt:i4>
      </vt:variant>
      <vt:variant>
        <vt:i4>0</vt:i4>
      </vt:variant>
      <vt:variant>
        <vt:i4>5</vt:i4>
      </vt:variant>
      <vt:variant>
        <vt:lpwstr>mailto:kellye.hartman@genderequalitycommission.vic.gov.au</vt:lpwstr>
      </vt:variant>
      <vt:variant>
        <vt:lpwstr/>
      </vt:variant>
      <vt:variant>
        <vt:i4>1441888</vt:i4>
      </vt:variant>
      <vt:variant>
        <vt:i4>0</vt:i4>
      </vt:variant>
      <vt:variant>
        <vt:i4>0</vt:i4>
      </vt:variant>
      <vt:variant>
        <vt:i4>5</vt:i4>
      </vt:variant>
      <vt:variant>
        <vt:lpwstr>mailto:kate.farhall@genderequalitycommission.vic.gov.au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Gender Equality in Victoria's Public Sector 2026</dc:title>
  <dc:subject>State of Gender Equality in Victoria's Public Sector 2026</dc:subject>
  <dc:creator>Commission for Gender Equality in the Public Sector</dc:creator>
  <cp:keywords>gender equality, public sector, gender pay gap</cp:keywords>
  <cp:lastModifiedBy>Andrew Elkson (CGEPS)</cp:lastModifiedBy>
  <cp:revision>2</cp:revision>
  <cp:lastPrinted>2026-01-24T07:38:00Z</cp:lastPrinted>
  <dcterms:created xsi:type="dcterms:W3CDTF">2026-08-10T05:00:00Z</dcterms:created>
  <dcterms:modified xsi:type="dcterms:W3CDTF">2026-08-10T05:00:00Z</dcterms:modified>
  <cp:category>CGEPS report template</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0x010100555DF7B4C3396B4DA0F821E47AA844D3</vt:lpwstr>
  </property>
  <property fmtid="{D5CDD505-2E9C-101B-9397-08002B2CF9AE}" pid="4" name="version">
    <vt:lpwstr>v6 29102021 sbv 04 20250616</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2026-06-30T22:20:43Z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093ce7e4-e2ac-4518-b229-d369573bb009</vt:lpwstr>
  </property>
  <property fmtid="{D5CDD505-2E9C-101B-9397-08002B2CF9AE}" pid="12" name="MSIP_Label_43e64453-338c-4f93-8a4d-0039a0a41f2a_ContentBits">
    <vt:lpwstr>2</vt:lpwstr>
  </property>
  <property fmtid="{D5CDD505-2E9C-101B-9397-08002B2CF9AE}" pid="13" name="MSIP_Label_43e64453-338c-4f93-8a4d-0039a0a41f2a_Tag">
    <vt:lpwstr>10, 0, 1, 1</vt:lpwstr>
  </property>
  <property fmtid="{D5CDD505-2E9C-101B-9397-08002B2CF9AE}" pid="14" name="ClassificationContentMarkingFooterShapeIds">
    <vt:lpwstr>7d07fd72,45c00b4,566f5a43,6a424684,52a0af94</vt:lpwstr>
  </property>
  <property fmtid="{D5CDD505-2E9C-101B-9397-08002B2CF9AE}" pid="15" name="ClassificationContentMarkingFooterFontProps">
    <vt:lpwstr>#e4100e,10,Arial Black</vt:lpwstr>
  </property>
  <property fmtid="{D5CDD505-2E9C-101B-9397-08002B2CF9AE}" pid="16" name="ClassificationContentMarkingFooterText">
    <vt:lpwstr>OFFICIAL: Sensitive</vt:lpwstr>
  </property>
  <property fmtid="{D5CDD505-2E9C-101B-9397-08002B2CF9AE}" pid="17" name="MSIP_Label_f6c7d016-c0e8-4bc1-9071-158a5ecbe94b_Enabled">
    <vt:lpwstr>true</vt:lpwstr>
  </property>
  <property fmtid="{D5CDD505-2E9C-101B-9397-08002B2CF9AE}" pid="18" name="MSIP_Label_f6c7d016-c0e8-4bc1-9071-158a5ecbe94b_SetDate">
    <vt:lpwstr>2026-06-30T23:50:03Z</vt:lpwstr>
  </property>
  <property fmtid="{D5CDD505-2E9C-101B-9397-08002B2CF9AE}" pid="19" name="MSIP_Label_f6c7d016-c0e8-4bc1-9071-158a5ecbe94b_Method">
    <vt:lpwstr>Privileged</vt:lpwstr>
  </property>
  <property fmtid="{D5CDD505-2E9C-101B-9397-08002B2CF9AE}" pid="20" name="MSIP_Label_f6c7d016-c0e8-4bc1-9071-158a5ecbe94b_Name">
    <vt:lpwstr>f6c7d016-c0e8-4bc1-9071-158a5ecbe94b</vt:lpwstr>
  </property>
  <property fmtid="{D5CDD505-2E9C-101B-9397-08002B2CF9AE}" pid="21" name="MSIP_Label_f6c7d016-c0e8-4bc1-9071-158a5ecbe94b_SiteId">
    <vt:lpwstr>c0e0601f-0fac-449c-9c88-a104c4eb9f28</vt:lpwstr>
  </property>
  <property fmtid="{D5CDD505-2E9C-101B-9397-08002B2CF9AE}" pid="22" name="MSIP_Label_f6c7d016-c0e8-4bc1-9071-158a5ecbe94b_ActionId">
    <vt:lpwstr>76e3c0b0-d7f3-48e7-89ae-7aa96f5b501b</vt:lpwstr>
  </property>
  <property fmtid="{D5CDD505-2E9C-101B-9397-08002B2CF9AE}" pid="23" name="MSIP_Label_f6c7d016-c0e8-4bc1-9071-158a5ecbe94b_ContentBits">
    <vt:lpwstr>2</vt:lpwstr>
  </property>
  <property fmtid="{D5CDD505-2E9C-101B-9397-08002B2CF9AE}" pid="24" name="MSIP_Label_f6c7d016-c0e8-4bc1-9071-158a5ecbe94b_Tag">
    <vt:lpwstr>10, 0, 1, 1</vt:lpwstr>
  </property>
  <property fmtid="{D5CDD505-2E9C-101B-9397-08002B2CF9AE}" pid="25" name="_MarkAsFinal">
    <vt:bool>true</vt:bool>
  </property>
</Properties>
</file>