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D5429" w14:textId="77777777" w:rsidR="003D56F1" w:rsidRPr="00280C4B" w:rsidRDefault="003D56F1" w:rsidP="003D56F1">
      <w:pPr>
        <w:pStyle w:val="Sectionbreakfirstpage"/>
        <w:sectPr w:rsidR="003D56F1" w:rsidRPr="00280C4B" w:rsidSect="003D56F1">
          <w:footerReference w:type="default" r:id="rId11"/>
          <w:footerReference w:type="first" r:id="rId12"/>
          <w:pgSz w:w="11906" w:h="16838" w:code="9"/>
          <w:pgMar w:top="454" w:right="851" w:bottom="1418" w:left="851" w:header="340" w:footer="567" w:gutter="0"/>
          <w:cols w:space="708"/>
          <w:docGrid w:linePitch="360"/>
        </w:sectPr>
      </w:pPr>
      <w:bookmarkStart w:id="0" w:name="_Hlk41913885"/>
    </w:p>
    <w:p w14:paraId="71929A42" w14:textId="17D8DCE4" w:rsidR="003D56F1" w:rsidRPr="0009050A" w:rsidRDefault="005F1E57" w:rsidP="00996E27">
      <w:pPr>
        <w:pStyle w:val="Documenttitle"/>
        <w:ind w:left="2127"/>
      </w:pPr>
      <w:r>
        <w:rPr>
          <w:noProof/>
        </w:rPr>
        <w:drawing>
          <wp:anchor distT="0" distB="0" distL="114300" distR="114300" simplePos="0" relativeHeight="251659264" behindDoc="1" locked="1" layoutInCell="1" allowOverlap="1" wp14:anchorId="08585FAD" wp14:editId="1A93E8AC">
            <wp:simplePos x="0" y="0"/>
            <wp:positionH relativeFrom="page">
              <wp:posOffset>16510</wp:posOffset>
            </wp:positionH>
            <wp:positionV relativeFrom="page">
              <wp:posOffset>23495</wp:posOffset>
            </wp:positionV>
            <wp:extent cx="1619885" cy="1619885"/>
            <wp:effectExtent l="0" t="0" r="0" b="0"/>
            <wp:wrapNone/>
            <wp:docPr id="606968729"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68729" name="Picture 6">
                      <a:extLst>
                        <a:ext uri="{C183D7F6-B498-43B3-948B-1728B52AA6E4}">
                          <adec:decorative xmlns:adec="http://schemas.microsoft.com/office/drawing/2017/decorative" val="1"/>
                        </a:ext>
                      </a:extLst>
                    </pic:cNvPr>
                    <pic:cNvPicPr/>
                  </pic:nvPicPr>
                  <pic:blipFill>
                    <a:blip r:embed="rId13"/>
                    <a:stretch>
                      <a:fillRect/>
                    </a:stretch>
                  </pic:blipFill>
                  <pic:spPr>
                    <a:xfrm>
                      <a:off x="0" y="0"/>
                      <a:ext cx="1619885" cy="1619885"/>
                    </a:xfrm>
                    <a:prstGeom prst="rect">
                      <a:avLst/>
                    </a:prstGeom>
                  </pic:spPr>
                </pic:pic>
              </a:graphicData>
            </a:graphic>
            <wp14:sizeRelH relativeFrom="margin">
              <wp14:pctWidth>0</wp14:pctWidth>
            </wp14:sizeRelH>
            <wp14:sizeRelV relativeFrom="margin">
              <wp14:pctHeight>0</wp14:pctHeight>
            </wp14:sizeRelV>
          </wp:anchor>
        </w:drawing>
      </w:r>
      <w:r>
        <w:t xml:space="preserve">Commission for Gender Equality in the Public Sector PhD program </w:t>
      </w:r>
    </w:p>
    <w:p w14:paraId="2034CF5D" w14:textId="5F6511FB" w:rsidR="003D56F1" w:rsidRPr="0016037B" w:rsidRDefault="00996E27" w:rsidP="00996E27">
      <w:pPr>
        <w:pStyle w:val="Documentsubtitle"/>
        <w:ind w:left="2127"/>
      </w:pPr>
      <w:r>
        <w:t>Guidelines</w:t>
      </w:r>
    </w:p>
    <w:p w14:paraId="2503E027" w14:textId="77777777" w:rsidR="003D56F1" w:rsidRPr="00250DC4" w:rsidRDefault="003D56F1" w:rsidP="003D56F1">
      <w:pPr>
        <w:pStyle w:val="Bannermarking"/>
        <w:ind w:left="33"/>
      </w:pPr>
    </w:p>
    <w:p w14:paraId="20BB08F1" w14:textId="77777777" w:rsidR="003D56F1" w:rsidRDefault="003D56F1" w:rsidP="003D56F1">
      <w:pPr>
        <w:pStyle w:val="TOCheadingfactsheet"/>
        <w:sectPr w:rsidR="003D56F1" w:rsidSect="003D56F1">
          <w:headerReference w:type="default" r:id="rId14"/>
          <w:footerReference w:type="default" r:id="rId15"/>
          <w:type w:val="continuous"/>
          <w:pgSz w:w="11906" w:h="16838" w:code="9"/>
          <w:pgMar w:top="851" w:right="851" w:bottom="851" w:left="851" w:header="851" w:footer="567" w:gutter="0"/>
          <w:cols w:space="340"/>
          <w:titlePg/>
          <w:docGrid w:linePitch="360"/>
        </w:sectPr>
      </w:pPr>
    </w:p>
    <w:p w14:paraId="1C4F63B0" w14:textId="77777777" w:rsidR="007970E2" w:rsidRDefault="007970E2" w:rsidP="007970E2">
      <w:pPr>
        <w:pStyle w:val="Body"/>
      </w:pPr>
    </w:p>
    <w:p w14:paraId="7F371DAC" w14:textId="6526CB3A" w:rsidR="003D56F1" w:rsidRPr="00917A07" w:rsidRDefault="003D56F1" w:rsidP="003D56F1">
      <w:pPr>
        <w:pStyle w:val="TOCheadingfactsheet"/>
      </w:pPr>
      <w:r w:rsidRPr="00917A07">
        <w:t>Contents</w:t>
      </w:r>
    </w:p>
    <w:p w14:paraId="38DC21E3" w14:textId="1BEE0427" w:rsidR="00C1781E" w:rsidRDefault="003D56F1">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7180534" w:history="1">
        <w:r w:rsidR="00C1781E" w:rsidRPr="009F1B41">
          <w:rPr>
            <w:rStyle w:val="Hyperlink"/>
          </w:rPr>
          <w:t>Message from the Commissioner</w:t>
        </w:r>
        <w:r w:rsidR="00C1781E">
          <w:rPr>
            <w:webHidden/>
          </w:rPr>
          <w:tab/>
        </w:r>
        <w:r w:rsidR="00C1781E">
          <w:rPr>
            <w:webHidden/>
          </w:rPr>
          <w:fldChar w:fldCharType="begin"/>
        </w:r>
        <w:r w:rsidR="00C1781E">
          <w:rPr>
            <w:webHidden/>
          </w:rPr>
          <w:instrText xml:space="preserve"> PAGEREF _Toc207180534 \h </w:instrText>
        </w:r>
        <w:r w:rsidR="00C1781E">
          <w:rPr>
            <w:webHidden/>
          </w:rPr>
        </w:r>
        <w:r w:rsidR="00C1781E">
          <w:rPr>
            <w:webHidden/>
          </w:rPr>
          <w:fldChar w:fldCharType="separate"/>
        </w:r>
        <w:r w:rsidR="00C1781E">
          <w:rPr>
            <w:webHidden/>
          </w:rPr>
          <w:t>1</w:t>
        </w:r>
        <w:r w:rsidR="00C1781E">
          <w:rPr>
            <w:webHidden/>
          </w:rPr>
          <w:fldChar w:fldCharType="end"/>
        </w:r>
      </w:hyperlink>
    </w:p>
    <w:p w14:paraId="700CE3C5" w14:textId="0824C622" w:rsidR="00C1781E" w:rsidRDefault="00C1781E">
      <w:pPr>
        <w:pStyle w:val="TOC1"/>
        <w:rPr>
          <w:rFonts w:asciiTheme="minorHAnsi" w:eastAsiaTheme="minorEastAsia" w:hAnsiTheme="minorHAnsi" w:cstheme="minorBidi"/>
          <w:b w:val="0"/>
          <w:kern w:val="2"/>
          <w:sz w:val="24"/>
          <w:szCs w:val="24"/>
          <w:lang w:eastAsia="en-AU"/>
          <w14:ligatures w14:val="standardContextual"/>
        </w:rPr>
      </w:pPr>
      <w:hyperlink w:anchor="_Toc207180535" w:history="1">
        <w:r w:rsidRPr="009F1B41">
          <w:rPr>
            <w:rStyle w:val="Hyperlink"/>
            <w:lang w:val="en-US"/>
          </w:rPr>
          <w:t>About the Commission</w:t>
        </w:r>
        <w:r>
          <w:rPr>
            <w:webHidden/>
          </w:rPr>
          <w:tab/>
        </w:r>
        <w:r>
          <w:rPr>
            <w:webHidden/>
          </w:rPr>
          <w:fldChar w:fldCharType="begin"/>
        </w:r>
        <w:r>
          <w:rPr>
            <w:webHidden/>
          </w:rPr>
          <w:instrText xml:space="preserve"> PAGEREF _Toc207180535 \h </w:instrText>
        </w:r>
        <w:r>
          <w:rPr>
            <w:webHidden/>
          </w:rPr>
        </w:r>
        <w:r>
          <w:rPr>
            <w:webHidden/>
          </w:rPr>
          <w:fldChar w:fldCharType="separate"/>
        </w:r>
        <w:r>
          <w:rPr>
            <w:webHidden/>
          </w:rPr>
          <w:t>2</w:t>
        </w:r>
        <w:r>
          <w:rPr>
            <w:webHidden/>
          </w:rPr>
          <w:fldChar w:fldCharType="end"/>
        </w:r>
      </w:hyperlink>
    </w:p>
    <w:p w14:paraId="398AE265" w14:textId="7D1C49CA" w:rsidR="00C1781E" w:rsidRDefault="00C1781E">
      <w:pPr>
        <w:pStyle w:val="TOC2"/>
        <w:rPr>
          <w:rFonts w:asciiTheme="minorHAnsi" w:eastAsiaTheme="minorEastAsia" w:hAnsiTheme="minorHAnsi" w:cstheme="minorBidi"/>
          <w:kern w:val="2"/>
          <w:sz w:val="24"/>
          <w:szCs w:val="24"/>
          <w:lang w:eastAsia="en-AU"/>
          <w14:ligatures w14:val="standardContextual"/>
        </w:rPr>
      </w:pPr>
      <w:hyperlink w:anchor="_Toc207180536" w:history="1">
        <w:r w:rsidRPr="009F1B41">
          <w:rPr>
            <w:rStyle w:val="Hyperlink"/>
          </w:rPr>
          <w:t>Objects of the Gender Equality Act 2020</w:t>
        </w:r>
        <w:r>
          <w:rPr>
            <w:webHidden/>
          </w:rPr>
          <w:tab/>
        </w:r>
        <w:r>
          <w:rPr>
            <w:webHidden/>
          </w:rPr>
          <w:fldChar w:fldCharType="begin"/>
        </w:r>
        <w:r>
          <w:rPr>
            <w:webHidden/>
          </w:rPr>
          <w:instrText xml:space="preserve"> PAGEREF _Toc207180536 \h </w:instrText>
        </w:r>
        <w:r>
          <w:rPr>
            <w:webHidden/>
          </w:rPr>
        </w:r>
        <w:r>
          <w:rPr>
            <w:webHidden/>
          </w:rPr>
          <w:fldChar w:fldCharType="separate"/>
        </w:r>
        <w:r>
          <w:rPr>
            <w:webHidden/>
          </w:rPr>
          <w:t>2</w:t>
        </w:r>
        <w:r>
          <w:rPr>
            <w:webHidden/>
          </w:rPr>
          <w:fldChar w:fldCharType="end"/>
        </w:r>
      </w:hyperlink>
    </w:p>
    <w:p w14:paraId="201C10D7" w14:textId="43215CB1" w:rsidR="00C1781E" w:rsidRDefault="00C1781E">
      <w:pPr>
        <w:pStyle w:val="TOC2"/>
        <w:rPr>
          <w:rFonts w:asciiTheme="minorHAnsi" w:eastAsiaTheme="minorEastAsia" w:hAnsiTheme="minorHAnsi" w:cstheme="minorBidi"/>
          <w:kern w:val="2"/>
          <w:sz w:val="24"/>
          <w:szCs w:val="24"/>
          <w:lang w:eastAsia="en-AU"/>
          <w14:ligatures w14:val="standardContextual"/>
        </w:rPr>
      </w:pPr>
      <w:hyperlink w:anchor="_Toc207180537" w:history="1">
        <w:r w:rsidRPr="009F1B41">
          <w:rPr>
            <w:rStyle w:val="Hyperlink"/>
          </w:rPr>
          <w:t>The Commissioner’s research function</w:t>
        </w:r>
        <w:r>
          <w:rPr>
            <w:webHidden/>
          </w:rPr>
          <w:tab/>
        </w:r>
        <w:r>
          <w:rPr>
            <w:webHidden/>
          </w:rPr>
          <w:fldChar w:fldCharType="begin"/>
        </w:r>
        <w:r>
          <w:rPr>
            <w:webHidden/>
          </w:rPr>
          <w:instrText xml:space="preserve"> PAGEREF _Toc207180537 \h </w:instrText>
        </w:r>
        <w:r>
          <w:rPr>
            <w:webHidden/>
          </w:rPr>
        </w:r>
        <w:r>
          <w:rPr>
            <w:webHidden/>
          </w:rPr>
          <w:fldChar w:fldCharType="separate"/>
        </w:r>
        <w:r>
          <w:rPr>
            <w:webHidden/>
          </w:rPr>
          <w:t>2</w:t>
        </w:r>
        <w:r>
          <w:rPr>
            <w:webHidden/>
          </w:rPr>
          <w:fldChar w:fldCharType="end"/>
        </w:r>
      </w:hyperlink>
    </w:p>
    <w:p w14:paraId="6FBEBAE7" w14:textId="7A192387" w:rsidR="00C1781E" w:rsidRDefault="00C1781E">
      <w:pPr>
        <w:pStyle w:val="TOC1"/>
        <w:rPr>
          <w:rFonts w:asciiTheme="minorHAnsi" w:eastAsiaTheme="minorEastAsia" w:hAnsiTheme="minorHAnsi" w:cstheme="minorBidi"/>
          <w:b w:val="0"/>
          <w:kern w:val="2"/>
          <w:sz w:val="24"/>
          <w:szCs w:val="24"/>
          <w:lang w:eastAsia="en-AU"/>
          <w14:ligatures w14:val="standardContextual"/>
        </w:rPr>
      </w:pPr>
      <w:hyperlink w:anchor="_Toc207180538" w:history="1">
        <w:r w:rsidRPr="009F1B41">
          <w:rPr>
            <w:rStyle w:val="Hyperlink"/>
          </w:rPr>
          <w:t>The Commission’s PhD program</w:t>
        </w:r>
        <w:r>
          <w:rPr>
            <w:webHidden/>
          </w:rPr>
          <w:tab/>
        </w:r>
        <w:r>
          <w:rPr>
            <w:webHidden/>
          </w:rPr>
          <w:fldChar w:fldCharType="begin"/>
        </w:r>
        <w:r>
          <w:rPr>
            <w:webHidden/>
          </w:rPr>
          <w:instrText xml:space="preserve"> PAGEREF _Toc207180538 \h </w:instrText>
        </w:r>
        <w:r>
          <w:rPr>
            <w:webHidden/>
          </w:rPr>
        </w:r>
        <w:r>
          <w:rPr>
            <w:webHidden/>
          </w:rPr>
          <w:fldChar w:fldCharType="separate"/>
        </w:r>
        <w:r>
          <w:rPr>
            <w:webHidden/>
          </w:rPr>
          <w:t>3</w:t>
        </w:r>
        <w:r>
          <w:rPr>
            <w:webHidden/>
          </w:rPr>
          <w:fldChar w:fldCharType="end"/>
        </w:r>
      </w:hyperlink>
    </w:p>
    <w:p w14:paraId="031535F8" w14:textId="03A408F0" w:rsidR="00C1781E" w:rsidRDefault="00C1781E">
      <w:pPr>
        <w:pStyle w:val="TOC2"/>
        <w:rPr>
          <w:rFonts w:asciiTheme="minorHAnsi" w:eastAsiaTheme="minorEastAsia" w:hAnsiTheme="minorHAnsi" w:cstheme="minorBidi"/>
          <w:kern w:val="2"/>
          <w:sz w:val="24"/>
          <w:szCs w:val="24"/>
          <w:lang w:eastAsia="en-AU"/>
          <w14:ligatures w14:val="standardContextual"/>
        </w:rPr>
      </w:pPr>
      <w:hyperlink w:anchor="_Toc207180539" w:history="1">
        <w:r w:rsidRPr="009F1B41">
          <w:rPr>
            <w:rStyle w:val="Hyperlink"/>
          </w:rPr>
          <w:t>Benefits of the program</w:t>
        </w:r>
        <w:r>
          <w:rPr>
            <w:webHidden/>
          </w:rPr>
          <w:tab/>
        </w:r>
        <w:r>
          <w:rPr>
            <w:webHidden/>
          </w:rPr>
          <w:fldChar w:fldCharType="begin"/>
        </w:r>
        <w:r>
          <w:rPr>
            <w:webHidden/>
          </w:rPr>
          <w:instrText xml:space="preserve"> PAGEREF _Toc207180539 \h </w:instrText>
        </w:r>
        <w:r>
          <w:rPr>
            <w:webHidden/>
          </w:rPr>
        </w:r>
        <w:r>
          <w:rPr>
            <w:webHidden/>
          </w:rPr>
          <w:fldChar w:fldCharType="separate"/>
        </w:r>
        <w:r>
          <w:rPr>
            <w:webHidden/>
          </w:rPr>
          <w:t>3</w:t>
        </w:r>
        <w:r>
          <w:rPr>
            <w:webHidden/>
          </w:rPr>
          <w:fldChar w:fldCharType="end"/>
        </w:r>
      </w:hyperlink>
    </w:p>
    <w:p w14:paraId="5FC41CEB" w14:textId="163B1A6B" w:rsidR="00C1781E" w:rsidRDefault="00C1781E">
      <w:pPr>
        <w:pStyle w:val="TOC2"/>
        <w:rPr>
          <w:rFonts w:asciiTheme="minorHAnsi" w:eastAsiaTheme="minorEastAsia" w:hAnsiTheme="minorHAnsi" w:cstheme="minorBidi"/>
          <w:kern w:val="2"/>
          <w:sz w:val="24"/>
          <w:szCs w:val="24"/>
          <w:lang w:eastAsia="en-AU"/>
          <w14:ligatures w14:val="standardContextual"/>
        </w:rPr>
      </w:pPr>
      <w:hyperlink w:anchor="_Toc207180540" w:history="1">
        <w:r w:rsidRPr="009F1B41">
          <w:rPr>
            <w:rStyle w:val="Hyperlink"/>
            <w:rFonts w:eastAsia="Times"/>
            <w:lang w:val="en-US"/>
          </w:rPr>
          <w:t>Eligibility</w:t>
        </w:r>
        <w:r>
          <w:rPr>
            <w:webHidden/>
          </w:rPr>
          <w:tab/>
        </w:r>
        <w:r>
          <w:rPr>
            <w:webHidden/>
          </w:rPr>
          <w:fldChar w:fldCharType="begin"/>
        </w:r>
        <w:r>
          <w:rPr>
            <w:webHidden/>
          </w:rPr>
          <w:instrText xml:space="preserve"> PAGEREF _Toc207180540 \h </w:instrText>
        </w:r>
        <w:r>
          <w:rPr>
            <w:webHidden/>
          </w:rPr>
        </w:r>
        <w:r>
          <w:rPr>
            <w:webHidden/>
          </w:rPr>
          <w:fldChar w:fldCharType="separate"/>
        </w:r>
        <w:r>
          <w:rPr>
            <w:webHidden/>
          </w:rPr>
          <w:t>4</w:t>
        </w:r>
        <w:r>
          <w:rPr>
            <w:webHidden/>
          </w:rPr>
          <w:fldChar w:fldCharType="end"/>
        </w:r>
      </w:hyperlink>
    </w:p>
    <w:p w14:paraId="01965B90" w14:textId="6830FD18" w:rsidR="00C1781E" w:rsidRDefault="00C1781E">
      <w:pPr>
        <w:pStyle w:val="TOC2"/>
        <w:rPr>
          <w:rFonts w:asciiTheme="minorHAnsi" w:eastAsiaTheme="minorEastAsia" w:hAnsiTheme="minorHAnsi" w:cstheme="minorBidi"/>
          <w:kern w:val="2"/>
          <w:sz w:val="24"/>
          <w:szCs w:val="24"/>
          <w:lang w:eastAsia="en-AU"/>
          <w14:ligatures w14:val="standardContextual"/>
        </w:rPr>
      </w:pPr>
      <w:hyperlink w:anchor="_Toc207180541" w:history="1">
        <w:r w:rsidRPr="009F1B41">
          <w:rPr>
            <w:rStyle w:val="Hyperlink"/>
            <w:lang w:val="en-US"/>
          </w:rPr>
          <w:t>Assessment criteria and process</w:t>
        </w:r>
        <w:r>
          <w:rPr>
            <w:webHidden/>
          </w:rPr>
          <w:tab/>
        </w:r>
        <w:r>
          <w:rPr>
            <w:webHidden/>
          </w:rPr>
          <w:fldChar w:fldCharType="begin"/>
        </w:r>
        <w:r>
          <w:rPr>
            <w:webHidden/>
          </w:rPr>
          <w:instrText xml:space="preserve"> PAGEREF _Toc207180541 \h </w:instrText>
        </w:r>
        <w:r>
          <w:rPr>
            <w:webHidden/>
          </w:rPr>
        </w:r>
        <w:r>
          <w:rPr>
            <w:webHidden/>
          </w:rPr>
          <w:fldChar w:fldCharType="separate"/>
        </w:r>
        <w:r>
          <w:rPr>
            <w:webHidden/>
          </w:rPr>
          <w:t>4</w:t>
        </w:r>
        <w:r>
          <w:rPr>
            <w:webHidden/>
          </w:rPr>
          <w:fldChar w:fldCharType="end"/>
        </w:r>
      </w:hyperlink>
    </w:p>
    <w:p w14:paraId="004354EB" w14:textId="76F41243" w:rsidR="00C1781E" w:rsidRDefault="00C1781E">
      <w:pPr>
        <w:pStyle w:val="TOC2"/>
        <w:rPr>
          <w:rFonts w:asciiTheme="minorHAnsi" w:eastAsiaTheme="minorEastAsia" w:hAnsiTheme="minorHAnsi" w:cstheme="minorBidi"/>
          <w:kern w:val="2"/>
          <w:sz w:val="24"/>
          <w:szCs w:val="24"/>
          <w:lang w:eastAsia="en-AU"/>
          <w14:ligatures w14:val="standardContextual"/>
        </w:rPr>
      </w:pPr>
      <w:hyperlink w:anchor="_Toc207180542" w:history="1">
        <w:r w:rsidRPr="009F1B41">
          <w:rPr>
            <w:rStyle w:val="Hyperlink"/>
          </w:rPr>
          <w:t>Onboarding</w:t>
        </w:r>
        <w:r>
          <w:rPr>
            <w:webHidden/>
          </w:rPr>
          <w:tab/>
        </w:r>
        <w:r>
          <w:rPr>
            <w:webHidden/>
          </w:rPr>
          <w:fldChar w:fldCharType="begin"/>
        </w:r>
        <w:r>
          <w:rPr>
            <w:webHidden/>
          </w:rPr>
          <w:instrText xml:space="preserve"> PAGEREF _Toc207180542 \h </w:instrText>
        </w:r>
        <w:r>
          <w:rPr>
            <w:webHidden/>
          </w:rPr>
        </w:r>
        <w:r>
          <w:rPr>
            <w:webHidden/>
          </w:rPr>
          <w:fldChar w:fldCharType="separate"/>
        </w:r>
        <w:r>
          <w:rPr>
            <w:webHidden/>
          </w:rPr>
          <w:t>5</w:t>
        </w:r>
        <w:r>
          <w:rPr>
            <w:webHidden/>
          </w:rPr>
          <w:fldChar w:fldCharType="end"/>
        </w:r>
      </w:hyperlink>
    </w:p>
    <w:p w14:paraId="321D784A" w14:textId="686F135E" w:rsidR="00C1781E" w:rsidRDefault="00C1781E">
      <w:pPr>
        <w:pStyle w:val="TOC2"/>
        <w:rPr>
          <w:rFonts w:asciiTheme="minorHAnsi" w:eastAsiaTheme="minorEastAsia" w:hAnsiTheme="minorHAnsi" w:cstheme="minorBidi"/>
          <w:kern w:val="2"/>
          <w:sz w:val="24"/>
          <w:szCs w:val="24"/>
          <w:lang w:eastAsia="en-AU"/>
          <w14:ligatures w14:val="standardContextual"/>
        </w:rPr>
      </w:pPr>
      <w:hyperlink w:anchor="_Toc207180543" w:history="1">
        <w:r w:rsidRPr="009F1B41">
          <w:rPr>
            <w:rStyle w:val="Hyperlink"/>
            <w:lang w:val="en-US"/>
          </w:rPr>
          <w:t>Key Dates</w:t>
        </w:r>
        <w:r>
          <w:rPr>
            <w:webHidden/>
          </w:rPr>
          <w:tab/>
        </w:r>
        <w:r>
          <w:rPr>
            <w:webHidden/>
          </w:rPr>
          <w:fldChar w:fldCharType="begin"/>
        </w:r>
        <w:r>
          <w:rPr>
            <w:webHidden/>
          </w:rPr>
          <w:instrText xml:space="preserve"> PAGEREF _Toc207180543 \h </w:instrText>
        </w:r>
        <w:r>
          <w:rPr>
            <w:webHidden/>
          </w:rPr>
        </w:r>
        <w:r>
          <w:rPr>
            <w:webHidden/>
          </w:rPr>
          <w:fldChar w:fldCharType="separate"/>
        </w:r>
        <w:r>
          <w:rPr>
            <w:webHidden/>
          </w:rPr>
          <w:t>5</w:t>
        </w:r>
        <w:r>
          <w:rPr>
            <w:webHidden/>
          </w:rPr>
          <w:fldChar w:fldCharType="end"/>
        </w:r>
      </w:hyperlink>
    </w:p>
    <w:p w14:paraId="2F9C87B6" w14:textId="136365FE" w:rsidR="00C1781E" w:rsidRDefault="00C1781E">
      <w:pPr>
        <w:pStyle w:val="TOC2"/>
        <w:rPr>
          <w:rFonts w:asciiTheme="minorHAnsi" w:eastAsiaTheme="minorEastAsia" w:hAnsiTheme="minorHAnsi" w:cstheme="minorBidi"/>
          <w:kern w:val="2"/>
          <w:sz w:val="24"/>
          <w:szCs w:val="24"/>
          <w:lang w:eastAsia="en-AU"/>
          <w14:ligatures w14:val="standardContextual"/>
        </w:rPr>
      </w:pPr>
      <w:hyperlink w:anchor="_Toc207180544" w:history="1">
        <w:r w:rsidRPr="009F1B41">
          <w:rPr>
            <w:rStyle w:val="Hyperlink"/>
            <w:lang w:val="en-US"/>
          </w:rPr>
          <w:t>How to apply</w:t>
        </w:r>
        <w:r>
          <w:rPr>
            <w:webHidden/>
          </w:rPr>
          <w:tab/>
        </w:r>
        <w:r>
          <w:rPr>
            <w:webHidden/>
          </w:rPr>
          <w:fldChar w:fldCharType="begin"/>
        </w:r>
        <w:r>
          <w:rPr>
            <w:webHidden/>
          </w:rPr>
          <w:instrText xml:space="preserve"> PAGEREF _Toc207180544 \h </w:instrText>
        </w:r>
        <w:r>
          <w:rPr>
            <w:webHidden/>
          </w:rPr>
        </w:r>
        <w:r>
          <w:rPr>
            <w:webHidden/>
          </w:rPr>
          <w:fldChar w:fldCharType="separate"/>
        </w:r>
        <w:r>
          <w:rPr>
            <w:webHidden/>
          </w:rPr>
          <w:t>6</w:t>
        </w:r>
        <w:r>
          <w:rPr>
            <w:webHidden/>
          </w:rPr>
          <w:fldChar w:fldCharType="end"/>
        </w:r>
      </w:hyperlink>
    </w:p>
    <w:p w14:paraId="230F1082" w14:textId="78F12BED" w:rsidR="00C1781E" w:rsidRDefault="00C1781E">
      <w:pPr>
        <w:pStyle w:val="TOC1"/>
        <w:rPr>
          <w:rFonts w:asciiTheme="minorHAnsi" w:eastAsiaTheme="minorEastAsia" w:hAnsiTheme="minorHAnsi" w:cstheme="minorBidi"/>
          <w:b w:val="0"/>
          <w:kern w:val="2"/>
          <w:sz w:val="24"/>
          <w:szCs w:val="24"/>
          <w:lang w:eastAsia="en-AU"/>
          <w14:ligatures w14:val="standardContextual"/>
        </w:rPr>
      </w:pPr>
      <w:hyperlink w:anchor="_Toc207180545" w:history="1">
        <w:r w:rsidRPr="009F1B41">
          <w:rPr>
            <w:rStyle w:val="Hyperlink"/>
          </w:rPr>
          <w:t>Collection Notice</w:t>
        </w:r>
        <w:r>
          <w:rPr>
            <w:webHidden/>
          </w:rPr>
          <w:tab/>
        </w:r>
        <w:r>
          <w:rPr>
            <w:webHidden/>
          </w:rPr>
          <w:fldChar w:fldCharType="begin"/>
        </w:r>
        <w:r>
          <w:rPr>
            <w:webHidden/>
          </w:rPr>
          <w:instrText xml:space="preserve"> PAGEREF _Toc207180545 \h </w:instrText>
        </w:r>
        <w:r>
          <w:rPr>
            <w:webHidden/>
          </w:rPr>
        </w:r>
        <w:r>
          <w:rPr>
            <w:webHidden/>
          </w:rPr>
          <w:fldChar w:fldCharType="separate"/>
        </w:r>
        <w:r>
          <w:rPr>
            <w:webHidden/>
          </w:rPr>
          <w:t>6</w:t>
        </w:r>
        <w:r>
          <w:rPr>
            <w:webHidden/>
          </w:rPr>
          <w:fldChar w:fldCharType="end"/>
        </w:r>
      </w:hyperlink>
    </w:p>
    <w:p w14:paraId="13F91855" w14:textId="354355A4" w:rsidR="00C1781E" w:rsidRDefault="00C1781E">
      <w:pPr>
        <w:pStyle w:val="TOC2"/>
        <w:rPr>
          <w:rFonts w:asciiTheme="minorHAnsi" w:eastAsiaTheme="minorEastAsia" w:hAnsiTheme="minorHAnsi" w:cstheme="minorBidi"/>
          <w:kern w:val="2"/>
          <w:sz w:val="24"/>
          <w:szCs w:val="24"/>
          <w:lang w:eastAsia="en-AU"/>
          <w14:ligatures w14:val="standardContextual"/>
        </w:rPr>
      </w:pPr>
      <w:hyperlink w:anchor="_Toc207180546" w:history="1">
        <w:r w:rsidRPr="009F1B41">
          <w:rPr>
            <w:rStyle w:val="Hyperlink"/>
          </w:rPr>
          <w:t>Use of your information:</w:t>
        </w:r>
        <w:r>
          <w:rPr>
            <w:webHidden/>
          </w:rPr>
          <w:tab/>
        </w:r>
        <w:r>
          <w:rPr>
            <w:webHidden/>
          </w:rPr>
          <w:fldChar w:fldCharType="begin"/>
        </w:r>
        <w:r>
          <w:rPr>
            <w:webHidden/>
          </w:rPr>
          <w:instrText xml:space="preserve"> PAGEREF _Toc207180546 \h </w:instrText>
        </w:r>
        <w:r>
          <w:rPr>
            <w:webHidden/>
          </w:rPr>
        </w:r>
        <w:r>
          <w:rPr>
            <w:webHidden/>
          </w:rPr>
          <w:fldChar w:fldCharType="separate"/>
        </w:r>
        <w:r>
          <w:rPr>
            <w:webHidden/>
          </w:rPr>
          <w:t>6</w:t>
        </w:r>
        <w:r>
          <w:rPr>
            <w:webHidden/>
          </w:rPr>
          <w:fldChar w:fldCharType="end"/>
        </w:r>
      </w:hyperlink>
    </w:p>
    <w:p w14:paraId="562724D5" w14:textId="2249FB09" w:rsidR="00C1781E" w:rsidRDefault="00C1781E">
      <w:pPr>
        <w:pStyle w:val="TOC2"/>
        <w:rPr>
          <w:rFonts w:asciiTheme="minorHAnsi" w:eastAsiaTheme="minorEastAsia" w:hAnsiTheme="minorHAnsi" w:cstheme="minorBidi"/>
          <w:kern w:val="2"/>
          <w:sz w:val="24"/>
          <w:szCs w:val="24"/>
          <w:lang w:eastAsia="en-AU"/>
          <w14:ligatures w14:val="standardContextual"/>
        </w:rPr>
      </w:pPr>
      <w:hyperlink w:anchor="_Toc207180547" w:history="1">
        <w:r w:rsidRPr="009F1B41">
          <w:rPr>
            <w:rStyle w:val="Hyperlink"/>
          </w:rPr>
          <w:t>Sharing of your information:</w:t>
        </w:r>
        <w:r>
          <w:rPr>
            <w:webHidden/>
          </w:rPr>
          <w:tab/>
        </w:r>
        <w:r>
          <w:rPr>
            <w:webHidden/>
          </w:rPr>
          <w:fldChar w:fldCharType="begin"/>
        </w:r>
        <w:r>
          <w:rPr>
            <w:webHidden/>
          </w:rPr>
          <w:instrText xml:space="preserve"> PAGEREF _Toc207180547 \h </w:instrText>
        </w:r>
        <w:r>
          <w:rPr>
            <w:webHidden/>
          </w:rPr>
        </w:r>
        <w:r>
          <w:rPr>
            <w:webHidden/>
          </w:rPr>
          <w:fldChar w:fldCharType="separate"/>
        </w:r>
        <w:r>
          <w:rPr>
            <w:webHidden/>
          </w:rPr>
          <w:t>6</w:t>
        </w:r>
        <w:r>
          <w:rPr>
            <w:webHidden/>
          </w:rPr>
          <w:fldChar w:fldCharType="end"/>
        </w:r>
      </w:hyperlink>
    </w:p>
    <w:p w14:paraId="36BCE2CF" w14:textId="79206F78" w:rsidR="00C1781E" w:rsidRDefault="00C1781E">
      <w:pPr>
        <w:pStyle w:val="TOC2"/>
        <w:rPr>
          <w:rFonts w:asciiTheme="minorHAnsi" w:eastAsiaTheme="minorEastAsia" w:hAnsiTheme="minorHAnsi" w:cstheme="minorBidi"/>
          <w:kern w:val="2"/>
          <w:sz w:val="24"/>
          <w:szCs w:val="24"/>
          <w:lang w:eastAsia="en-AU"/>
          <w14:ligatures w14:val="standardContextual"/>
        </w:rPr>
      </w:pPr>
      <w:hyperlink w:anchor="_Toc207180548" w:history="1">
        <w:r w:rsidRPr="009F1B41">
          <w:rPr>
            <w:rStyle w:val="Hyperlink"/>
          </w:rPr>
          <w:t>Privacy</w:t>
        </w:r>
        <w:r>
          <w:rPr>
            <w:webHidden/>
          </w:rPr>
          <w:tab/>
        </w:r>
        <w:r>
          <w:rPr>
            <w:webHidden/>
          </w:rPr>
          <w:fldChar w:fldCharType="begin"/>
        </w:r>
        <w:r>
          <w:rPr>
            <w:webHidden/>
          </w:rPr>
          <w:instrText xml:space="preserve"> PAGEREF _Toc207180548 \h </w:instrText>
        </w:r>
        <w:r>
          <w:rPr>
            <w:webHidden/>
          </w:rPr>
        </w:r>
        <w:r>
          <w:rPr>
            <w:webHidden/>
          </w:rPr>
          <w:fldChar w:fldCharType="separate"/>
        </w:r>
        <w:r>
          <w:rPr>
            <w:webHidden/>
          </w:rPr>
          <w:t>6</w:t>
        </w:r>
        <w:r>
          <w:rPr>
            <w:webHidden/>
          </w:rPr>
          <w:fldChar w:fldCharType="end"/>
        </w:r>
      </w:hyperlink>
    </w:p>
    <w:p w14:paraId="1D6329F6" w14:textId="0755FA77" w:rsidR="00AC4C43" w:rsidRDefault="003D56F1" w:rsidP="003D56F1">
      <w:pPr>
        <w:pStyle w:val="Body"/>
        <w:sectPr w:rsidR="00AC4C43" w:rsidSect="003D56F1">
          <w:type w:val="continuous"/>
          <w:pgSz w:w="11906" w:h="16838" w:code="9"/>
          <w:pgMar w:top="851" w:right="851" w:bottom="851" w:left="851" w:header="851" w:footer="567" w:gutter="0"/>
          <w:cols w:space="340"/>
          <w:titlePg/>
          <w:docGrid w:linePitch="360"/>
        </w:sectPr>
      </w:pPr>
      <w:r>
        <w:fldChar w:fldCharType="end"/>
      </w:r>
    </w:p>
    <w:p w14:paraId="0B5C9789" w14:textId="05106A60" w:rsidR="00933796" w:rsidRPr="004D1CCC" w:rsidRDefault="00933796" w:rsidP="00CF16FA">
      <w:pPr>
        <w:pStyle w:val="Heading1"/>
      </w:pPr>
      <w:bookmarkStart w:id="1" w:name="_Toc207024771"/>
      <w:bookmarkStart w:id="2" w:name="_Toc93669337"/>
      <w:bookmarkStart w:id="3" w:name="_Toc70419158"/>
      <w:bookmarkStart w:id="4" w:name="_Toc207178367"/>
      <w:bookmarkStart w:id="5" w:name="_Toc207180534"/>
      <w:bookmarkStart w:id="6" w:name="_Toc66794859"/>
      <w:bookmarkEnd w:id="0"/>
      <w:r w:rsidRPr="00933796">
        <w:t>Message from the Commissioner</w:t>
      </w:r>
      <w:bookmarkEnd w:id="1"/>
      <w:bookmarkEnd w:id="2"/>
      <w:bookmarkEnd w:id="3"/>
      <w:bookmarkEnd w:id="4"/>
      <w:bookmarkEnd w:id="5"/>
    </w:p>
    <w:p w14:paraId="52D39AAE" w14:textId="264FF012" w:rsidR="00933796" w:rsidRPr="00933796" w:rsidRDefault="00F61FB7" w:rsidP="00933796">
      <w:pPr>
        <w:pStyle w:val="Body"/>
        <w:rPr>
          <w:szCs w:val="21"/>
        </w:rPr>
      </w:pPr>
      <w:r>
        <w:rPr>
          <w:szCs w:val="21"/>
        </w:rPr>
        <w:t xml:space="preserve">The </w:t>
      </w:r>
      <w:r w:rsidR="00933796" w:rsidRPr="00933796">
        <w:rPr>
          <w:szCs w:val="21"/>
        </w:rPr>
        <w:t xml:space="preserve">Commission for Gender Equality in the Public Sector’s PhD </w:t>
      </w:r>
      <w:r w:rsidR="00686F20">
        <w:rPr>
          <w:szCs w:val="21"/>
        </w:rPr>
        <w:t>P</w:t>
      </w:r>
      <w:r w:rsidR="00933796" w:rsidRPr="00933796">
        <w:rPr>
          <w:szCs w:val="21"/>
        </w:rPr>
        <w:t>rogram</w:t>
      </w:r>
      <w:r>
        <w:rPr>
          <w:szCs w:val="21"/>
        </w:rPr>
        <w:t xml:space="preserve"> was established in 202</w:t>
      </w:r>
      <w:r w:rsidR="003C0DC4">
        <w:rPr>
          <w:szCs w:val="21"/>
        </w:rPr>
        <w:t>5</w:t>
      </w:r>
      <w:r>
        <w:rPr>
          <w:szCs w:val="21"/>
        </w:rPr>
        <w:t xml:space="preserve">. </w:t>
      </w:r>
      <w:r w:rsidR="00933796" w:rsidRPr="00933796">
        <w:rPr>
          <w:szCs w:val="21"/>
        </w:rPr>
        <w:t>As Victoria’s first Public Sector Gender Equality Commissioner, I am proud to support research that grows the evidence</w:t>
      </w:r>
      <w:r w:rsidR="002F07C9">
        <w:rPr>
          <w:szCs w:val="21"/>
        </w:rPr>
        <w:t xml:space="preserve"> </w:t>
      </w:r>
      <w:r w:rsidR="00580511">
        <w:rPr>
          <w:szCs w:val="21"/>
        </w:rPr>
        <w:t xml:space="preserve">we need </w:t>
      </w:r>
      <w:r w:rsidR="00933796" w:rsidRPr="00933796">
        <w:rPr>
          <w:szCs w:val="21"/>
        </w:rPr>
        <w:t xml:space="preserve">to drive intersectional gender equality. </w:t>
      </w:r>
      <w:r w:rsidR="00580511">
        <w:rPr>
          <w:szCs w:val="21"/>
        </w:rPr>
        <w:t xml:space="preserve">This program </w:t>
      </w:r>
      <w:r w:rsidR="00933796" w:rsidRPr="00933796">
        <w:rPr>
          <w:szCs w:val="21"/>
        </w:rPr>
        <w:t xml:space="preserve">also </w:t>
      </w:r>
      <w:r w:rsidR="00580511">
        <w:rPr>
          <w:szCs w:val="21"/>
        </w:rPr>
        <w:t>helps</w:t>
      </w:r>
      <w:r w:rsidR="00933796" w:rsidRPr="00933796">
        <w:rPr>
          <w:szCs w:val="21"/>
        </w:rPr>
        <w:t xml:space="preserve"> grow the community of researchers in this </w:t>
      </w:r>
      <w:r w:rsidR="00672BA3">
        <w:rPr>
          <w:szCs w:val="21"/>
        </w:rPr>
        <w:t>important field</w:t>
      </w:r>
      <w:r w:rsidR="00933796" w:rsidRPr="00933796">
        <w:rPr>
          <w:szCs w:val="21"/>
        </w:rPr>
        <w:t xml:space="preserve">. </w:t>
      </w:r>
    </w:p>
    <w:p w14:paraId="1AE1F96D" w14:textId="03FECB65" w:rsidR="00933796" w:rsidRPr="00933796" w:rsidRDefault="00933796" w:rsidP="00933796">
      <w:pPr>
        <w:pStyle w:val="Body"/>
        <w:rPr>
          <w:szCs w:val="21"/>
        </w:rPr>
      </w:pPr>
      <w:r w:rsidRPr="00933796">
        <w:rPr>
          <w:szCs w:val="21"/>
        </w:rPr>
        <w:t xml:space="preserve">The </w:t>
      </w:r>
      <w:r w:rsidRPr="00933796">
        <w:rPr>
          <w:i/>
          <w:szCs w:val="21"/>
        </w:rPr>
        <w:t>Gender Equality Act 2020</w:t>
      </w:r>
      <w:bookmarkStart w:id="7" w:name="_Hlk158622380"/>
      <w:r w:rsidRPr="00933796">
        <w:rPr>
          <w:szCs w:val="21"/>
        </w:rPr>
        <w:t xml:space="preserve"> is </w:t>
      </w:r>
      <w:r w:rsidR="00672BA3">
        <w:rPr>
          <w:szCs w:val="21"/>
        </w:rPr>
        <w:t xml:space="preserve">nation-leading </w:t>
      </w:r>
      <w:r w:rsidRPr="00933796">
        <w:rPr>
          <w:szCs w:val="21"/>
        </w:rPr>
        <w:t>legislation.</w:t>
      </w:r>
      <w:r w:rsidR="00F87B7D">
        <w:rPr>
          <w:szCs w:val="21"/>
        </w:rPr>
        <w:t xml:space="preserve"> T</w:t>
      </w:r>
      <w:r w:rsidRPr="00933796">
        <w:rPr>
          <w:szCs w:val="21"/>
        </w:rPr>
        <w:t xml:space="preserve">argeted research is crucial to </w:t>
      </w:r>
      <w:r w:rsidR="00E040BE">
        <w:rPr>
          <w:szCs w:val="21"/>
        </w:rPr>
        <w:t>understand</w:t>
      </w:r>
      <w:r w:rsidRPr="00933796">
        <w:rPr>
          <w:szCs w:val="21"/>
        </w:rPr>
        <w:t xml:space="preserve"> how we can best </w:t>
      </w:r>
      <w:r w:rsidR="00672BA3">
        <w:rPr>
          <w:szCs w:val="21"/>
        </w:rPr>
        <w:t>ad</w:t>
      </w:r>
      <w:r w:rsidR="00A45792">
        <w:rPr>
          <w:szCs w:val="21"/>
        </w:rPr>
        <w:t>vance</w:t>
      </w:r>
      <w:r w:rsidRPr="00933796">
        <w:rPr>
          <w:szCs w:val="21"/>
        </w:rPr>
        <w:t xml:space="preserve"> intersectional gender equality in public sector workplaces, communities, policymaking and beyond. </w:t>
      </w:r>
    </w:p>
    <w:bookmarkEnd w:id="7"/>
    <w:p w14:paraId="6A2A99DF" w14:textId="1A4761EC" w:rsidR="00933796" w:rsidRPr="00933796" w:rsidRDefault="00933796" w:rsidP="00933796">
      <w:pPr>
        <w:pStyle w:val="Body"/>
        <w:rPr>
          <w:szCs w:val="21"/>
        </w:rPr>
      </w:pPr>
      <w:r w:rsidRPr="00933796">
        <w:rPr>
          <w:szCs w:val="21"/>
        </w:rPr>
        <w:t>Th</w:t>
      </w:r>
      <w:r w:rsidR="00E040BE">
        <w:rPr>
          <w:szCs w:val="21"/>
        </w:rPr>
        <w:t xml:space="preserve">is </w:t>
      </w:r>
      <w:r w:rsidRPr="00933796">
        <w:rPr>
          <w:szCs w:val="21"/>
        </w:rPr>
        <w:t xml:space="preserve">PhD program will </w:t>
      </w:r>
      <w:r w:rsidR="002A0552">
        <w:rPr>
          <w:szCs w:val="21"/>
        </w:rPr>
        <w:t>help</w:t>
      </w:r>
      <w:r w:rsidRPr="00933796">
        <w:rPr>
          <w:szCs w:val="21"/>
        </w:rPr>
        <w:t xml:space="preserve"> </w:t>
      </w:r>
      <w:r w:rsidR="00D57592">
        <w:rPr>
          <w:szCs w:val="21"/>
        </w:rPr>
        <w:t>achieve</w:t>
      </w:r>
      <w:r w:rsidRPr="00933796">
        <w:rPr>
          <w:szCs w:val="21"/>
        </w:rPr>
        <w:t xml:space="preserve"> the goals of the Act and the ambition of Victoria to continue to lead the nation in gender equality. By better understanding how to achieve intersectional gender equality, we can inspire other jurisdictions and sectors to follow Victoria’s lead. </w:t>
      </w:r>
    </w:p>
    <w:p w14:paraId="7F5DE097" w14:textId="53CD075D" w:rsidR="00933796" w:rsidRPr="00933796" w:rsidRDefault="00933796" w:rsidP="00933796">
      <w:pPr>
        <w:pStyle w:val="Body"/>
        <w:rPr>
          <w:szCs w:val="21"/>
        </w:rPr>
      </w:pPr>
      <w:r w:rsidRPr="00933796">
        <w:rPr>
          <w:szCs w:val="21"/>
        </w:rPr>
        <w:t xml:space="preserve">Successful applicants will undertake research that directly supports the </w:t>
      </w:r>
      <w:r w:rsidR="00EF08F4">
        <w:t>objects</w:t>
      </w:r>
      <w:r w:rsidRPr="00933796">
        <w:rPr>
          <w:szCs w:val="21"/>
        </w:rPr>
        <w:t xml:space="preserve"> of the Act</w:t>
      </w:r>
      <w:r w:rsidR="00534943">
        <w:rPr>
          <w:szCs w:val="21"/>
        </w:rPr>
        <w:t>,</w:t>
      </w:r>
      <w:r w:rsidRPr="00933796">
        <w:rPr>
          <w:szCs w:val="21"/>
        </w:rPr>
        <w:t xml:space="preserve"> whil</w:t>
      </w:r>
      <w:r w:rsidR="00534943">
        <w:rPr>
          <w:szCs w:val="21"/>
        </w:rPr>
        <w:t xml:space="preserve">e </w:t>
      </w:r>
      <w:r w:rsidRPr="00933796">
        <w:rPr>
          <w:szCs w:val="21"/>
        </w:rPr>
        <w:t xml:space="preserve">gaining exposure to the Victorian public sector and government </w:t>
      </w:r>
      <w:r w:rsidR="000209A1">
        <w:rPr>
          <w:szCs w:val="21"/>
        </w:rPr>
        <w:t>policymaking</w:t>
      </w:r>
      <w:r w:rsidRPr="00933796">
        <w:rPr>
          <w:szCs w:val="21"/>
        </w:rPr>
        <w:t xml:space="preserve">. </w:t>
      </w:r>
    </w:p>
    <w:p w14:paraId="4F7E063A" w14:textId="668D88CF" w:rsidR="00933796" w:rsidRPr="00933796" w:rsidRDefault="00933796" w:rsidP="00933796">
      <w:pPr>
        <w:pStyle w:val="Body"/>
        <w:rPr>
          <w:szCs w:val="21"/>
        </w:rPr>
      </w:pPr>
      <w:r w:rsidRPr="00933796">
        <w:rPr>
          <w:szCs w:val="21"/>
        </w:rPr>
        <w:t xml:space="preserve">I look forward to welcoming successful students to the CGEPS PhD </w:t>
      </w:r>
      <w:r w:rsidR="000907C1">
        <w:rPr>
          <w:szCs w:val="21"/>
        </w:rPr>
        <w:t>P</w:t>
      </w:r>
      <w:r w:rsidRPr="00933796">
        <w:rPr>
          <w:szCs w:val="21"/>
        </w:rPr>
        <w:t xml:space="preserve">rogram. I also look forward to the insights their research will </w:t>
      </w:r>
      <w:r w:rsidR="00253D2A">
        <w:rPr>
          <w:szCs w:val="21"/>
        </w:rPr>
        <w:t xml:space="preserve">bring </w:t>
      </w:r>
      <w:r w:rsidRPr="00933796">
        <w:rPr>
          <w:szCs w:val="21"/>
        </w:rPr>
        <w:t xml:space="preserve">to </w:t>
      </w:r>
      <w:r w:rsidR="00253D2A">
        <w:rPr>
          <w:szCs w:val="21"/>
        </w:rPr>
        <w:t>help create</w:t>
      </w:r>
      <w:r w:rsidR="002F30B9">
        <w:rPr>
          <w:szCs w:val="21"/>
        </w:rPr>
        <w:t xml:space="preserve"> a </w:t>
      </w:r>
      <w:r w:rsidRPr="00933796">
        <w:rPr>
          <w:szCs w:val="21"/>
        </w:rPr>
        <w:t xml:space="preserve">gender-equal future for everyone. </w:t>
      </w:r>
    </w:p>
    <w:p w14:paraId="088BFC71" w14:textId="36F4EF99" w:rsidR="00933796" w:rsidRPr="007970E2" w:rsidRDefault="00933796" w:rsidP="00933796">
      <w:pPr>
        <w:pStyle w:val="Body"/>
        <w:rPr>
          <w:b/>
          <w:bCs/>
          <w:szCs w:val="21"/>
        </w:rPr>
      </w:pPr>
      <w:r w:rsidRPr="00933796">
        <w:rPr>
          <w:b/>
          <w:bCs/>
          <w:szCs w:val="21"/>
        </w:rPr>
        <w:t>Dr Niki Vincent</w:t>
      </w:r>
      <w:r w:rsidR="007970E2">
        <w:rPr>
          <w:b/>
          <w:bCs/>
          <w:szCs w:val="21"/>
        </w:rPr>
        <w:br/>
      </w:r>
      <w:r w:rsidR="007970E2" w:rsidRPr="007970E2">
        <w:rPr>
          <w:szCs w:val="21"/>
        </w:rPr>
        <w:t>Public Sector Gender Equality</w:t>
      </w:r>
      <w:r w:rsidR="007970E2">
        <w:rPr>
          <w:b/>
          <w:bCs/>
          <w:szCs w:val="21"/>
        </w:rPr>
        <w:t xml:space="preserve"> </w:t>
      </w:r>
      <w:r w:rsidRPr="00933796">
        <w:rPr>
          <w:szCs w:val="21"/>
        </w:rPr>
        <w:t>Commissioner</w:t>
      </w:r>
    </w:p>
    <w:p w14:paraId="0D494959" w14:textId="06BD30E0" w:rsidR="00933796" w:rsidRPr="00933796" w:rsidRDefault="00933796" w:rsidP="0084544C">
      <w:pPr>
        <w:pStyle w:val="Heading1"/>
      </w:pPr>
      <w:bookmarkStart w:id="8" w:name="_Toc207178368"/>
      <w:bookmarkStart w:id="9" w:name="_Toc207180535"/>
      <w:r w:rsidRPr="00933796">
        <w:rPr>
          <w:lang w:val="en-US"/>
        </w:rPr>
        <w:lastRenderedPageBreak/>
        <w:t>About the Commission</w:t>
      </w:r>
      <w:bookmarkEnd w:id="8"/>
      <w:bookmarkEnd w:id="9"/>
    </w:p>
    <w:p w14:paraId="0754701F" w14:textId="538BF8F8" w:rsidR="00642390" w:rsidRDefault="00933796" w:rsidP="00933796">
      <w:pPr>
        <w:pStyle w:val="Body"/>
        <w:rPr>
          <w:szCs w:val="21"/>
          <w:lang w:val="en-US"/>
        </w:rPr>
      </w:pPr>
      <w:r w:rsidRPr="00933796">
        <w:rPr>
          <w:szCs w:val="21"/>
          <w:lang w:val="en-US"/>
        </w:rPr>
        <w:t xml:space="preserve">The </w:t>
      </w:r>
      <w:hyperlink r:id="rId16">
        <w:r w:rsidRPr="00924642">
          <w:rPr>
            <w:rStyle w:val="Hyperlink"/>
            <w:lang w:val="en-US"/>
          </w:rPr>
          <w:t>Commission for Gender Equality in the Public Sector</w:t>
        </w:r>
      </w:hyperlink>
      <w:r w:rsidRPr="00933796">
        <w:rPr>
          <w:szCs w:val="21"/>
          <w:lang w:val="en-US"/>
        </w:rPr>
        <w:t xml:space="preserve"> (the Commission / CGEPS) was established after the </w:t>
      </w:r>
      <w:hyperlink r:id="rId17">
        <w:r w:rsidRPr="00924642">
          <w:rPr>
            <w:rStyle w:val="Hyperlink"/>
            <w:i/>
            <w:lang w:val="en-US"/>
          </w:rPr>
          <w:t>Gender Equality Act 2020</w:t>
        </w:r>
      </w:hyperlink>
      <w:r w:rsidRPr="00933796">
        <w:rPr>
          <w:szCs w:val="21"/>
          <w:lang w:val="en-US"/>
        </w:rPr>
        <w:t xml:space="preserve"> (the Act) </w:t>
      </w:r>
      <w:r w:rsidR="00B73F9F">
        <w:rPr>
          <w:szCs w:val="21"/>
          <w:lang w:val="en-US"/>
        </w:rPr>
        <w:t xml:space="preserve">was </w:t>
      </w:r>
      <w:r w:rsidRPr="00933796">
        <w:rPr>
          <w:szCs w:val="21"/>
          <w:lang w:val="en-US"/>
        </w:rPr>
        <w:t xml:space="preserve">passed in February 2020. </w:t>
      </w:r>
    </w:p>
    <w:p w14:paraId="10E1DA87" w14:textId="31906F0E" w:rsidR="005E67CC" w:rsidRPr="00924642" w:rsidRDefault="00933796" w:rsidP="00924642">
      <w:pPr>
        <w:pStyle w:val="Body"/>
        <w:rPr>
          <w:lang w:val="en-US"/>
        </w:rPr>
      </w:pPr>
      <w:r w:rsidRPr="00933796">
        <w:rPr>
          <w:szCs w:val="21"/>
          <w:lang w:val="en-US"/>
        </w:rPr>
        <w:t xml:space="preserve">The Commission supports the </w:t>
      </w:r>
      <w:hyperlink r:id="rId18">
        <w:r w:rsidRPr="00924642">
          <w:rPr>
            <w:rStyle w:val="Hyperlink"/>
            <w:lang w:val="en-US"/>
          </w:rPr>
          <w:t>Public Sector Gender Equality Commissioner</w:t>
        </w:r>
      </w:hyperlink>
      <w:r w:rsidRPr="00933796">
        <w:rPr>
          <w:szCs w:val="21"/>
          <w:lang w:val="en-US"/>
        </w:rPr>
        <w:t xml:space="preserve"> (the Commissioner) </w:t>
      </w:r>
      <w:r w:rsidR="00FD137A">
        <w:rPr>
          <w:szCs w:val="21"/>
          <w:lang w:val="en-US"/>
        </w:rPr>
        <w:t>in</w:t>
      </w:r>
      <w:r w:rsidR="005E67CC">
        <w:rPr>
          <w:szCs w:val="21"/>
          <w:lang w:val="en-US"/>
        </w:rPr>
        <w:t>:</w:t>
      </w:r>
    </w:p>
    <w:p w14:paraId="59517121" w14:textId="77777777" w:rsidR="005E67CC" w:rsidRPr="005E67CC" w:rsidRDefault="00933796" w:rsidP="007970E2">
      <w:pPr>
        <w:pStyle w:val="Bullet1"/>
      </w:pPr>
      <w:r w:rsidRPr="00933796">
        <w:rPr>
          <w:lang w:val="en-US"/>
        </w:rPr>
        <w:t>oversee</w:t>
      </w:r>
      <w:r w:rsidR="00FD137A">
        <w:rPr>
          <w:lang w:val="en-US"/>
        </w:rPr>
        <w:t>ing</w:t>
      </w:r>
      <w:r w:rsidRPr="00933796">
        <w:rPr>
          <w:lang w:val="en-US"/>
        </w:rPr>
        <w:t xml:space="preserve"> the Act</w:t>
      </w:r>
      <w:r w:rsidR="005E67CC">
        <w:rPr>
          <w:lang w:val="en-US"/>
        </w:rPr>
        <w:t>,</w:t>
      </w:r>
    </w:p>
    <w:p w14:paraId="4F8F9C8F" w14:textId="3101D738" w:rsidR="00933796" w:rsidRPr="00933796" w:rsidRDefault="00933796" w:rsidP="007970E2">
      <w:pPr>
        <w:pStyle w:val="Bullet1"/>
      </w:pPr>
      <w:r w:rsidRPr="00933796">
        <w:rPr>
          <w:lang w:val="en-US"/>
        </w:rPr>
        <w:t xml:space="preserve"> promot</w:t>
      </w:r>
      <w:r w:rsidR="00FD137A">
        <w:rPr>
          <w:lang w:val="en-US"/>
        </w:rPr>
        <w:t>ing</w:t>
      </w:r>
      <w:r w:rsidRPr="00933796">
        <w:rPr>
          <w:lang w:val="en-US"/>
        </w:rPr>
        <w:t xml:space="preserve"> gender equality in the public sector workforce and </w:t>
      </w:r>
      <w:r w:rsidR="00FD137A">
        <w:rPr>
          <w:lang w:val="en-US"/>
        </w:rPr>
        <w:t>beyond</w:t>
      </w:r>
      <w:r w:rsidRPr="00933796">
        <w:rPr>
          <w:lang w:val="en-US"/>
        </w:rPr>
        <w:t>.</w:t>
      </w:r>
    </w:p>
    <w:p w14:paraId="249767B6" w14:textId="77777777" w:rsidR="002234C5" w:rsidRDefault="00933796" w:rsidP="007970E2">
      <w:pPr>
        <w:pStyle w:val="Bodyafterbullets"/>
        <w:rPr>
          <w:lang w:val="en-US"/>
        </w:rPr>
      </w:pPr>
      <w:r w:rsidRPr="00933796">
        <w:rPr>
          <w:lang w:val="en-US"/>
        </w:rPr>
        <w:t>The Act is a ground-breaking piece of legislation</w:t>
      </w:r>
      <w:r w:rsidR="00221CE2">
        <w:rPr>
          <w:lang w:val="en-US"/>
        </w:rPr>
        <w:t>.</w:t>
      </w:r>
      <w:r w:rsidRPr="00933796">
        <w:rPr>
          <w:lang w:val="en-US"/>
        </w:rPr>
        <w:t xml:space="preserve"> </w:t>
      </w:r>
      <w:r w:rsidR="00221CE2">
        <w:rPr>
          <w:lang w:val="en-US"/>
        </w:rPr>
        <w:t xml:space="preserve">It </w:t>
      </w:r>
      <w:r w:rsidRPr="00933796">
        <w:rPr>
          <w:lang w:val="en-US"/>
        </w:rPr>
        <w:t>requires certain public sector organisations in Victoria to take action t</w:t>
      </w:r>
      <w:r w:rsidR="00A65CD5">
        <w:rPr>
          <w:lang w:val="en-US"/>
        </w:rPr>
        <w:t>o improve</w:t>
      </w:r>
      <w:r w:rsidRPr="00933796">
        <w:rPr>
          <w:lang w:val="en-US"/>
        </w:rPr>
        <w:t xml:space="preserve"> gender equality. </w:t>
      </w:r>
    </w:p>
    <w:p w14:paraId="5375F0A4" w14:textId="5F727F1E" w:rsidR="00933796" w:rsidRPr="00933796" w:rsidRDefault="00A65CD5" w:rsidP="007970E2">
      <w:pPr>
        <w:pStyle w:val="Bodyafterbullets"/>
      </w:pPr>
      <w:r>
        <w:rPr>
          <w:lang w:val="en-US"/>
        </w:rPr>
        <w:t>These organisations</w:t>
      </w:r>
      <w:r w:rsidR="00440B2F">
        <w:rPr>
          <w:lang w:val="en-US"/>
        </w:rPr>
        <w:t xml:space="preserve"> must</w:t>
      </w:r>
      <w:r w:rsidR="002234C5">
        <w:rPr>
          <w:lang w:val="en-US"/>
        </w:rPr>
        <w:t>:</w:t>
      </w:r>
    </w:p>
    <w:p w14:paraId="6E9DA37C" w14:textId="0D279AED" w:rsidR="00933796" w:rsidRPr="00933796" w:rsidRDefault="002234C5" w:rsidP="000A451E">
      <w:pPr>
        <w:pStyle w:val="Bullet1"/>
      </w:pPr>
      <w:r w:rsidRPr="00933796">
        <w:rPr>
          <w:lang w:val="en-US"/>
        </w:rPr>
        <w:t>report on</w:t>
      </w:r>
      <w:r w:rsidR="00933796" w:rsidRPr="00933796">
        <w:rPr>
          <w:lang w:val="en-US"/>
        </w:rPr>
        <w:t xml:space="preserve"> gender equality measures</w:t>
      </w:r>
    </w:p>
    <w:p w14:paraId="3095B912" w14:textId="362ED7E1" w:rsidR="00933796" w:rsidRPr="00933796" w:rsidRDefault="00440B2F" w:rsidP="000A451E">
      <w:pPr>
        <w:pStyle w:val="Bullet1"/>
      </w:pPr>
      <w:r>
        <w:rPr>
          <w:lang w:val="en-US"/>
        </w:rPr>
        <w:t>set out</w:t>
      </w:r>
      <w:r w:rsidR="00933796" w:rsidRPr="00933796">
        <w:rPr>
          <w:lang w:val="en-US"/>
        </w:rPr>
        <w:t xml:space="preserve"> plan</w:t>
      </w:r>
      <w:r>
        <w:rPr>
          <w:lang w:val="en-US"/>
        </w:rPr>
        <w:t>s</w:t>
      </w:r>
      <w:r w:rsidR="00933796" w:rsidRPr="00933796">
        <w:rPr>
          <w:lang w:val="en-US"/>
        </w:rPr>
        <w:t xml:space="preserve"> to improve gender equality in their organisation</w:t>
      </w:r>
    </w:p>
    <w:p w14:paraId="7AE9A61A" w14:textId="6E548D14" w:rsidR="00933796" w:rsidRPr="00933796" w:rsidRDefault="00440B2F" w:rsidP="000A451E">
      <w:pPr>
        <w:pStyle w:val="Bullet1"/>
      </w:pPr>
      <w:r>
        <w:rPr>
          <w:lang w:val="en-US"/>
        </w:rPr>
        <w:t>consider</w:t>
      </w:r>
      <w:r w:rsidR="00933796" w:rsidRPr="00933796">
        <w:rPr>
          <w:lang w:val="en-US"/>
        </w:rPr>
        <w:t xml:space="preserve"> the gendered impacts of all policies, programs and services </w:t>
      </w:r>
      <w:r w:rsidR="00527156">
        <w:rPr>
          <w:lang w:val="en-US"/>
        </w:rPr>
        <w:t>that impact the public</w:t>
      </w:r>
      <w:r w:rsidR="007970E2">
        <w:rPr>
          <w:lang w:val="en-US"/>
        </w:rPr>
        <w:t>,</w:t>
      </w:r>
      <w:r w:rsidR="00933796" w:rsidRPr="00933796">
        <w:rPr>
          <w:lang w:val="en-US"/>
        </w:rPr>
        <w:t xml:space="preserve"> and</w:t>
      </w:r>
    </w:p>
    <w:p w14:paraId="4B626EFB" w14:textId="61013E54" w:rsidR="00933796" w:rsidRPr="0086259E" w:rsidRDefault="00933796" w:rsidP="000A451E">
      <w:pPr>
        <w:pStyle w:val="Bullet1"/>
      </w:pPr>
      <w:r w:rsidRPr="00933796">
        <w:rPr>
          <w:lang w:val="en-US"/>
        </w:rPr>
        <w:t>make measurable progress towards gender equality.</w:t>
      </w:r>
    </w:p>
    <w:p w14:paraId="1A488082" w14:textId="4CE188AD" w:rsidR="00933796" w:rsidRPr="00933796" w:rsidRDefault="00933796" w:rsidP="003403EF">
      <w:pPr>
        <w:pStyle w:val="Heading2"/>
      </w:pPr>
      <w:bookmarkStart w:id="10" w:name="_Toc207178369"/>
      <w:bookmarkStart w:id="11" w:name="_Toc207180536"/>
      <w:r w:rsidRPr="00933796">
        <w:t>Objects of the Gender Equality Act 2020</w:t>
      </w:r>
      <w:bookmarkEnd w:id="10"/>
      <w:bookmarkEnd w:id="11"/>
    </w:p>
    <w:p w14:paraId="6A76AF39" w14:textId="737152B8" w:rsidR="00933796" w:rsidRPr="00933796" w:rsidRDefault="00933796" w:rsidP="00933796">
      <w:pPr>
        <w:pStyle w:val="Body"/>
        <w:rPr>
          <w:szCs w:val="21"/>
        </w:rPr>
      </w:pPr>
      <w:r w:rsidRPr="00933796">
        <w:rPr>
          <w:szCs w:val="21"/>
        </w:rPr>
        <w:t>The</w:t>
      </w:r>
      <w:r w:rsidR="004E78B8">
        <w:rPr>
          <w:szCs w:val="21"/>
        </w:rPr>
        <w:t xml:space="preserve"> Ac</w:t>
      </w:r>
      <w:r w:rsidR="003B1329">
        <w:rPr>
          <w:szCs w:val="21"/>
        </w:rPr>
        <w:t>t has</w:t>
      </w:r>
      <w:r w:rsidRPr="00933796">
        <w:rPr>
          <w:szCs w:val="21"/>
        </w:rPr>
        <w:t xml:space="preserve"> </w:t>
      </w:r>
      <w:r w:rsidR="003B1329">
        <w:rPr>
          <w:szCs w:val="21"/>
        </w:rPr>
        <w:t>broad-ranging</w:t>
      </w:r>
      <w:r w:rsidRPr="00933796">
        <w:rPr>
          <w:szCs w:val="21"/>
        </w:rPr>
        <w:t xml:space="preserve"> </w:t>
      </w:r>
      <w:r w:rsidR="003B1329">
        <w:rPr>
          <w:szCs w:val="21"/>
        </w:rPr>
        <w:t>goals</w:t>
      </w:r>
      <w:r w:rsidRPr="00933796">
        <w:rPr>
          <w:szCs w:val="21"/>
        </w:rPr>
        <w:t xml:space="preserve">. </w:t>
      </w:r>
      <w:r w:rsidR="003B1329">
        <w:rPr>
          <w:szCs w:val="21"/>
        </w:rPr>
        <w:t>Its key strength is that</w:t>
      </w:r>
      <w:r w:rsidR="00FA2C4F">
        <w:rPr>
          <w:szCs w:val="21"/>
        </w:rPr>
        <w:t xml:space="preserve"> </w:t>
      </w:r>
      <w:r w:rsidR="00A42F0A">
        <w:rPr>
          <w:szCs w:val="21"/>
        </w:rPr>
        <w:t xml:space="preserve">it </w:t>
      </w:r>
      <w:r w:rsidR="00FA2C4F">
        <w:rPr>
          <w:szCs w:val="21"/>
        </w:rPr>
        <w:t xml:space="preserve">not only focuses on </w:t>
      </w:r>
      <w:r w:rsidRPr="00933796">
        <w:rPr>
          <w:szCs w:val="21"/>
        </w:rPr>
        <w:t xml:space="preserve">driving gender equality and improving women’s status, </w:t>
      </w:r>
      <w:r w:rsidR="00FA2C4F">
        <w:rPr>
          <w:szCs w:val="21"/>
        </w:rPr>
        <w:t xml:space="preserve">but </w:t>
      </w:r>
      <w:r w:rsidR="00BA77C8">
        <w:rPr>
          <w:szCs w:val="21"/>
        </w:rPr>
        <w:t xml:space="preserve">also </w:t>
      </w:r>
      <w:r w:rsidRPr="00933796">
        <w:rPr>
          <w:szCs w:val="21"/>
        </w:rPr>
        <w:t>recogni</w:t>
      </w:r>
      <w:r w:rsidR="00A42F0A">
        <w:rPr>
          <w:szCs w:val="21"/>
        </w:rPr>
        <w:t>s</w:t>
      </w:r>
      <w:r w:rsidR="00E54016">
        <w:rPr>
          <w:szCs w:val="21"/>
        </w:rPr>
        <w:t>es how</w:t>
      </w:r>
      <w:r w:rsidRPr="00933796">
        <w:rPr>
          <w:szCs w:val="21"/>
        </w:rPr>
        <w:t xml:space="preserve"> multiple forms of disadvantage and discrimination can shape </w:t>
      </w:r>
      <w:r w:rsidR="00EA39CA">
        <w:rPr>
          <w:szCs w:val="21"/>
        </w:rPr>
        <w:t xml:space="preserve">the </w:t>
      </w:r>
      <w:r w:rsidRPr="00933796">
        <w:rPr>
          <w:szCs w:val="21"/>
        </w:rPr>
        <w:t xml:space="preserve">experience of gender equality. </w:t>
      </w:r>
    </w:p>
    <w:p w14:paraId="662D2028" w14:textId="0021F11E" w:rsidR="00933796" w:rsidRPr="00933796" w:rsidRDefault="00933796" w:rsidP="00933796">
      <w:pPr>
        <w:pStyle w:val="Body"/>
        <w:rPr>
          <w:szCs w:val="21"/>
        </w:rPr>
      </w:pPr>
      <w:r w:rsidRPr="00933796">
        <w:rPr>
          <w:szCs w:val="21"/>
        </w:rPr>
        <w:t xml:space="preserve">The Act </w:t>
      </w:r>
      <w:r w:rsidR="008E079D">
        <w:rPr>
          <w:szCs w:val="21"/>
        </w:rPr>
        <w:t>aims to</w:t>
      </w:r>
      <w:r w:rsidRPr="00933796">
        <w:rPr>
          <w:szCs w:val="21"/>
        </w:rPr>
        <w:t>:</w:t>
      </w:r>
    </w:p>
    <w:p w14:paraId="30D023FA" w14:textId="77777777" w:rsidR="007E06B5" w:rsidRPr="00933796" w:rsidRDefault="007E06B5" w:rsidP="007E06B5">
      <w:pPr>
        <w:pStyle w:val="Bullet1"/>
      </w:pPr>
      <w:r w:rsidRPr="00933796">
        <w:t>promote</w:t>
      </w:r>
      <w:r>
        <w:t xml:space="preserve"> and support </w:t>
      </w:r>
      <w:r w:rsidRPr="00933796">
        <w:t xml:space="preserve">gender equality and </w:t>
      </w:r>
      <w:r>
        <w:t>improve</w:t>
      </w:r>
      <w:r w:rsidRPr="00933796">
        <w:t xml:space="preserve"> the status of women</w:t>
      </w:r>
    </w:p>
    <w:p w14:paraId="286D7689" w14:textId="16473201" w:rsidR="00933796" w:rsidRPr="00933796" w:rsidRDefault="00933796" w:rsidP="000A451E">
      <w:pPr>
        <w:pStyle w:val="Bullet1"/>
      </w:pPr>
      <w:r w:rsidRPr="00933796">
        <w:t>identif</w:t>
      </w:r>
      <w:r w:rsidR="00552336">
        <w:t xml:space="preserve">y </w:t>
      </w:r>
      <w:r w:rsidRPr="00933796">
        <w:t xml:space="preserve">and </w:t>
      </w:r>
      <w:r w:rsidR="00552336">
        <w:t xml:space="preserve">remove </w:t>
      </w:r>
      <w:r w:rsidRPr="00933796">
        <w:t>systemic causes of gender inequality in policy, programs and services in workplaces and communities</w:t>
      </w:r>
    </w:p>
    <w:p w14:paraId="0A693F50" w14:textId="7FC7E0B1" w:rsidR="00933796" w:rsidRPr="00933796" w:rsidRDefault="00933796" w:rsidP="000A451E">
      <w:pPr>
        <w:pStyle w:val="Bullet1"/>
      </w:pPr>
      <w:r w:rsidRPr="00933796">
        <w:t xml:space="preserve">recognise that gender inequality </w:t>
      </w:r>
      <w:r w:rsidR="00541D90">
        <w:t>is made</w:t>
      </w:r>
      <w:r w:rsidR="00552336">
        <w:t xml:space="preserve"> worse</w:t>
      </w:r>
      <w:r w:rsidRPr="00933796">
        <w:t xml:space="preserve"> by other forms of disadvantage or discrimination</w:t>
      </w:r>
      <w:r w:rsidR="00B62F4B">
        <w:t>.</w:t>
      </w:r>
      <w:r w:rsidR="00891253">
        <w:t xml:space="preserve"> A </w:t>
      </w:r>
      <w:r w:rsidRPr="00933796">
        <w:t>person</w:t>
      </w:r>
      <w:r w:rsidR="00891253">
        <w:t xml:space="preserve"> </w:t>
      </w:r>
      <w:r w:rsidR="00250A6E">
        <w:t xml:space="preserve">may </w:t>
      </w:r>
      <w:r w:rsidR="00541D90">
        <w:t>experience</w:t>
      </w:r>
      <w:r w:rsidRPr="00933796">
        <w:t xml:space="preserve"> </w:t>
      </w:r>
      <w:r w:rsidR="00891253">
        <w:t>this base</w:t>
      </w:r>
      <w:r w:rsidR="00041644">
        <w:t>d</w:t>
      </w:r>
      <w:r w:rsidR="00891253">
        <w:t xml:space="preserve"> on </w:t>
      </w:r>
      <w:r w:rsidRPr="00933796">
        <w:t xml:space="preserve">Aboriginality, age, disability, ethnicity, gender identity, race, religion, sexual </w:t>
      </w:r>
      <w:r w:rsidR="002B3910" w:rsidRPr="00933796">
        <w:t>orientation,</w:t>
      </w:r>
      <w:r w:rsidRPr="00933796">
        <w:t xml:space="preserve"> and other attributes</w:t>
      </w:r>
    </w:p>
    <w:p w14:paraId="02AE95DD" w14:textId="57E078CF" w:rsidR="00933796" w:rsidRPr="00933796" w:rsidRDefault="00EF7073" w:rsidP="000A451E">
      <w:pPr>
        <w:pStyle w:val="Bullet1"/>
      </w:pPr>
      <w:r w:rsidRPr="00EF7073">
        <w:t xml:space="preserve">reduce disadvantage, stigma, stereotyping, </w:t>
      </w:r>
      <w:r w:rsidR="002B3910" w:rsidRPr="00EF7073">
        <w:t>prejudice,</w:t>
      </w:r>
      <w:r w:rsidRPr="00EF7073">
        <w:t xml:space="preserve"> and violence, and make structural changes to include people of all genders</w:t>
      </w:r>
    </w:p>
    <w:p w14:paraId="7EB802CB" w14:textId="7A4122DD" w:rsidR="00933796" w:rsidRPr="00933796" w:rsidRDefault="001978BA" w:rsidP="000A451E">
      <w:pPr>
        <w:pStyle w:val="Bullet1"/>
      </w:pPr>
      <w:r>
        <w:t>improve</w:t>
      </w:r>
      <w:r w:rsidR="00933796" w:rsidRPr="00933796">
        <w:t xml:space="preserve"> economic and social participation by pe</w:t>
      </w:r>
      <w:r>
        <w:t>ople</w:t>
      </w:r>
      <w:r w:rsidR="00933796" w:rsidRPr="00933796">
        <w:t xml:space="preserve"> of </w:t>
      </w:r>
      <w:r>
        <w:t>all</w:t>
      </w:r>
      <w:r w:rsidR="00933796" w:rsidRPr="00933796">
        <w:t xml:space="preserve"> genders</w:t>
      </w:r>
    </w:p>
    <w:p w14:paraId="3FD5BAA9" w14:textId="117A173F" w:rsidR="00933796" w:rsidRPr="00933796" w:rsidRDefault="00933796" w:rsidP="000A451E">
      <w:pPr>
        <w:pStyle w:val="Bullet1"/>
      </w:pPr>
      <w:r w:rsidRPr="00933796">
        <w:t>promote the right to equality set out in the Charter of Human Rights and Responsibilities and the Convention on the Elimination of All Forms of Discrimination against Women.</w:t>
      </w:r>
    </w:p>
    <w:p w14:paraId="0566B50C" w14:textId="14E39EC0" w:rsidR="00933796" w:rsidRPr="00933796" w:rsidRDefault="00933796" w:rsidP="00924642">
      <w:pPr>
        <w:pStyle w:val="Body"/>
        <w:rPr>
          <w:szCs w:val="21"/>
        </w:rPr>
      </w:pPr>
      <w:bookmarkStart w:id="12" w:name="_Toc152174200"/>
      <w:r w:rsidRPr="00933796">
        <w:rPr>
          <w:szCs w:val="21"/>
        </w:rPr>
        <w:t>The Act</w:t>
      </w:r>
      <w:r w:rsidR="001978BA">
        <w:rPr>
          <w:szCs w:val="21"/>
        </w:rPr>
        <w:t xml:space="preserve"> </w:t>
      </w:r>
      <w:r w:rsidRPr="00933796">
        <w:rPr>
          <w:szCs w:val="21"/>
        </w:rPr>
        <w:t>focus</w:t>
      </w:r>
      <w:r w:rsidR="001978BA">
        <w:rPr>
          <w:szCs w:val="21"/>
        </w:rPr>
        <w:t>es</w:t>
      </w:r>
      <w:r w:rsidRPr="00933796">
        <w:rPr>
          <w:szCs w:val="21"/>
        </w:rPr>
        <w:t xml:space="preserve"> </w:t>
      </w:r>
      <w:r w:rsidR="001978BA">
        <w:rPr>
          <w:szCs w:val="21"/>
        </w:rPr>
        <w:t xml:space="preserve">on </w:t>
      </w:r>
      <w:r w:rsidRPr="00933796">
        <w:rPr>
          <w:szCs w:val="21"/>
        </w:rPr>
        <w:t xml:space="preserve">systemic inequalities, intersecting forms of disadvantage, and the promotion of human rights. </w:t>
      </w:r>
      <w:r w:rsidR="001978BA">
        <w:rPr>
          <w:szCs w:val="21"/>
        </w:rPr>
        <w:t>It applies to the</w:t>
      </w:r>
      <w:r w:rsidRPr="00933796">
        <w:rPr>
          <w:szCs w:val="21"/>
        </w:rPr>
        <w:t xml:space="preserve"> public sector</w:t>
      </w:r>
      <w:r w:rsidR="006A7DCB">
        <w:rPr>
          <w:szCs w:val="21"/>
        </w:rPr>
        <w:t xml:space="preserve"> </w:t>
      </w:r>
      <w:r w:rsidR="000921D7">
        <w:rPr>
          <w:szCs w:val="21"/>
        </w:rPr>
        <w:t>as well as</w:t>
      </w:r>
      <w:r w:rsidRPr="00933796">
        <w:rPr>
          <w:szCs w:val="21"/>
        </w:rPr>
        <w:t xml:space="preserve"> policymaking and service</w:t>
      </w:r>
      <w:r w:rsidR="009A4AA6">
        <w:rPr>
          <w:szCs w:val="21"/>
        </w:rPr>
        <w:t xml:space="preserve"> </w:t>
      </w:r>
      <w:r w:rsidRPr="00933796">
        <w:rPr>
          <w:szCs w:val="21"/>
        </w:rPr>
        <w:t>delivery</w:t>
      </w:r>
      <w:r w:rsidR="006A7DCB">
        <w:rPr>
          <w:szCs w:val="21"/>
        </w:rPr>
        <w:t xml:space="preserve"> across </w:t>
      </w:r>
      <w:r w:rsidR="00541D90">
        <w:rPr>
          <w:szCs w:val="21"/>
        </w:rPr>
        <w:t>Victoria</w:t>
      </w:r>
      <w:r w:rsidRPr="00933796">
        <w:rPr>
          <w:szCs w:val="21"/>
        </w:rPr>
        <w:t xml:space="preserve">. </w:t>
      </w:r>
    </w:p>
    <w:p w14:paraId="503C440E" w14:textId="77777777" w:rsidR="00933796" w:rsidRPr="00933796" w:rsidRDefault="00933796" w:rsidP="003403EF">
      <w:pPr>
        <w:pStyle w:val="Heading2"/>
      </w:pPr>
      <w:bookmarkStart w:id="13" w:name="_Toc207178370"/>
      <w:bookmarkStart w:id="14" w:name="_Toc207180537"/>
      <w:r w:rsidRPr="00933796">
        <w:t>The Commissioner’s research function</w:t>
      </w:r>
      <w:bookmarkEnd w:id="12"/>
      <w:bookmarkEnd w:id="13"/>
      <w:bookmarkEnd w:id="14"/>
    </w:p>
    <w:p w14:paraId="5741A563" w14:textId="0D26ED54" w:rsidR="00EE6BEA" w:rsidRDefault="00933796" w:rsidP="00933796">
      <w:pPr>
        <w:pStyle w:val="Body"/>
        <w:rPr>
          <w:szCs w:val="21"/>
        </w:rPr>
      </w:pPr>
      <w:r w:rsidRPr="00933796">
        <w:rPr>
          <w:szCs w:val="21"/>
        </w:rPr>
        <w:t xml:space="preserve">The Act </w:t>
      </w:r>
      <w:r w:rsidR="006A7DCB">
        <w:rPr>
          <w:szCs w:val="21"/>
        </w:rPr>
        <w:t xml:space="preserve">gives </w:t>
      </w:r>
      <w:r w:rsidRPr="00933796">
        <w:rPr>
          <w:szCs w:val="21"/>
        </w:rPr>
        <w:t xml:space="preserve">the Commissioner </w:t>
      </w:r>
      <w:r w:rsidR="006A7DCB">
        <w:rPr>
          <w:szCs w:val="21"/>
        </w:rPr>
        <w:t xml:space="preserve">power to </w:t>
      </w:r>
      <w:r w:rsidR="00D8189A">
        <w:rPr>
          <w:szCs w:val="21"/>
        </w:rPr>
        <w:t>research</w:t>
      </w:r>
      <w:r w:rsidR="00941365">
        <w:rPr>
          <w:szCs w:val="21"/>
        </w:rPr>
        <w:t xml:space="preserve"> </w:t>
      </w:r>
      <w:r w:rsidR="006A7DCB">
        <w:rPr>
          <w:szCs w:val="21"/>
        </w:rPr>
        <w:t>anything</w:t>
      </w:r>
      <w:r w:rsidRPr="00933796">
        <w:rPr>
          <w:szCs w:val="21"/>
        </w:rPr>
        <w:t xml:space="preserve"> related to </w:t>
      </w:r>
      <w:r w:rsidR="006A7DCB">
        <w:rPr>
          <w:szCs w:val="21"/>
        </w:rPr>
        <w:t>its</w:t>
      </w:r>
      <w:r w:rsidRPr="00933796">
        <w:rPr>
          <w:szCs w:val="21"/>
        </w:rPr>
        <w:t xml:space="preserve"> operation and objectives. </w:t>
      </w:r>
      <w:r w:rsidR="00F2518C">
        <w:rPr>
          <w:szCs w:val="21"/>
        </w:rPr>
        <w:t>This makes r</w:t>
      </w:r>
      <w:r w:rsidRPr="00933796">
        <w:rPr>
          <w:szCs w:val="21"/>
        </w:rPr>
        <w:t xml:space="preserve">esearch </w:t>
      </w:r>
      <w:r w:rsidR="00F2518C">
        <w:rPr>
          <w:szCs w:val="21"/>
        </w:rPr>
        <w:t>a</w:t>
      </w:r>
      <w:r w:rsidRPr="00933796">
        <w:rPr>
          <w:szCs w:val="21"/>
        </w:rPr>
        <w:t xml:space="preserve"> core </w:t>
      </w:r>
      <w:r w:rsidR="00D8189A">
        <w:rPr>
          <w:szCs w:val="21"/>
        </w:rPr>
        <w:t>function</w:t>
      </w:r>
      <w:r w:rsidRPr="00933796">
        <w:rPr>
          <w:szCs w:val="21"/>
        </w:rPr>
        <w:t xml:space="preserve"> of the Commissioner</w:t>
      </w:r>
      <w:r w:rsidR="00EE6BEA">
        <w:rPr>
          <w:szCs w:val="21"/>
        </w:rPr>
        <w:t>.</w:t>
      </w:r>
    </w:p>
    <w:p w14:paraId="0366AD1A" w14:textId="77777777" w:rsidR="00EE6BEA" w:rsidRPr="00EE6BEA" w:rsidRDefault="00EE6BEA" w:rsidP="00EE6BEA">
      <w:pPr>
        <w:pStyle w:val="Body"/>
        <w:rPr>
          <w:szCs w:val="21"/>
        </w:rPr>
      </w:pPr>
      <w:r w:rsidRPr="00EE6BEA">
        <w:rPr>
          <w:szCs w:val="21"/>
        </w:rPr>
        <w:t>To make the Act work in practice, we need:</w:t>
      </w:r>
    </w:p>
    <w:p w14:paraId="150B75F8" w14:textId="15EFD0E6" w:rsidR="00EE6BEA" w:rsidRPr="00EE6BEA" w:rsidRDefault="00EE6BEA" w:rsidP="000A451E">
      <w:pPr>
        <w:pStyle w:val="Bullet1"/>
      </w:pPr>
      <w:r w:rsidRPr="00EE6BEA">
        <w:t>rigorous and relevant research, and</w:t>
      </w:r>
    </w:p>
    <w:p w14:paraId="73B9756B" w14:textId="77777777" w:rsidR="00EE6BEA" w:rsidRPr="00EE6BEA" w:rsidRDefault="00EE6BEA" w:rsidP="000A451E">
      <w:pPr>
        <w:pStyle w:val="Bullet1"/>
      </w:pPr>
      <w:r w:rsidRPr="00EE6BEA">
        <w:t>clear translation of research into policy and practice.</w:t>
      </w:r>
    </w:p>
    <w:p w14:paraId="376C4027" w14:textId="0866CB63" w:rsidR="00104ED8" w:rsidRDefault="000D31C1" w:rsidP="000A451E">
      <w:pPr>
        <w:pStyle w:val="Bodyafterbullets"/>
      </w:pPr>
      <w:r>
        <w:t>There is a growing body of research on o</w:t>
      </w:r>
      <w:r w:rsidR="00933796" w:rsidRPr="00933796">
        <w:t>rganisational gender equality</w:t>
      </w:r>
      <w:r w:rsidR="00343D26">
        <w:t xml:space="preserve"> and its relationship to gender equality in the wider community</w:t>
      </w:r>
      <w:r>
        <w:t>.</w:t>
      </w:r>
      <w:r w:rsidR="00343D26">
        <w:t xml:space="preserve"> However, </w:t>
      </w:r>
      <w:r w:rsidR="00F42431">
        <w:t>the</w:t>
      </w:r>
      <w:r w:rsidR="006005E7">
        <w:t>r</w:t>
      </w:r>
      <w:r w:rsidR="00F42431">
        <w:t>e is little</w:t>
      </w:r>
      <w:r w:rsidR="00933796" w:rsidRPr="00933796">
        <w:t xml:space="preserve"> </w:t>
      </w:r>
      <w:r w:rsidR="003E36AD">
        <w:t xml:space="preserve">on </w:t>
      </w:r>
      <w:r w:rsidR="00933796" w:rsidRPr="00933796">
        <w:t xml:space="preserve">what works in </w:t>
      </w:r>
      <w:r w:rsidR="006F3E43">
        <w:t xml:space="preserve">the </w:t>
      </w:r>
      <w:r w:rsidR="00933796" w:rsidRPr="00933796">
        <w:t>Victoria</w:t>
      </w:r>
      <w:r w:rsidR="006F3E43">
        <w:t>n context</w:t>
      </w:r>
      <w:r w:rsidR="00A070E1">
        <w:t xml:space="preserve">. We </w:t>
      </w:r>
      <w:r w:rsidR="00307AE6" w:rsidRPr="00307AE6">
        <w:t>need more</w:t>
      </w:r>
      <w:r w:rsidR="001B46DA">
        <w:t xml:space="preserve"> </w:t>
      </w:r>
      <w:r w:rsidR="00307AE6" w:rsidRPr="00307AE6">
        <w:t xml:space="preserve">research that supports the Act’s </w:t>
      </w:r>
      <w:r w:rsidR="00684AAF">
        <w:t xml:space="preserve">effective </w:t>
      </w:r>
      <w:r w:rsidR="00307AE6" w:rsidRPr="00307AE6">
        <w:t>implementation</w:t>
      </w:r>
      <w:r w:rsidR="00AC2719">
        <w:t xml:space="preserve"> and strengthens Victoria’s role as a leading </w:t>
      </w:r>
      <w:r w:rsidR="00AC2719">
        <w:lastRenderedPageBreak/>
        <w:t xml:space="preserve">jurisdiction. </w:t>
      </w:r>
      <w:r w:rsidR="0042342C">
        <w:t xml:space="preserve">We also need more research translation to </w:t>
      </w:r>
      <w:r w:rsidR="003233A7">
        <w:t xml:space="preserve">share this knowledge with relevant stakeholders and across the Victorian community. </w:t>
      </w:r>
    </w:p>
    <w:p w14:paraId="00352881" w14:textId="6A9559E6" w:rsidR="00933796" w:rsidRPr="00933796" w:rsidRDefault="00933796" w:rsidP="00933796">
      <w:pPr>
        <w:pStyle w:val="Body"/>
        <w:rPr>
          <w:szCs w:val="21"/>
        </w:rPr>
      </w:pPr>
      <w:r w:rsidRPr="00933796">
        <w:rPr>
          <w:szCs w:val="21"/>
        </w:rPr>
        <w:t>Research is vital to ensure that:</w:t>
      </w:r>
    </w:p>
    <w:p w14:paraId="125F8447" w14:textId="12A7788B" w:rsidR="00933796" w:rsidRPr="00933796" w:rsidRDefault="00933796" w:rsidP="000A451E">
      <w:pPr>
        <w:pStyle w:val="Bullet1"/>
      </w:pPr>
      <w:r w:rsidRPr="00933796">
        <w:t>the goals of the Act are fulfilled</w:t>
      </w:r>
    </w:p>
    <w:p w14:paraId="75626019" w14:textId="3DC82D29" w:rsidR="00933796" w:rsidRPr="00933796" w:rsidRDefault="00933796" w:rsidP="000A451E">
      <w:pPr>
        <w:pStyle w:val="Bullet1"/>
      </w:pPr>
      <w:r w:rsidRPr="00933796">
        <w:t>the Commissioner is supported to perform their role effectively</w:t>
      </w:r>
    </w:p>
    <w:p w14:paraId="5A0D9227" w14:textId="43794E5E" w:rsidR="00933796" w:rsidRPr="00933796" w:rsidRDefault="00933796" w:rsidP="000A451E">
      <w:pPr>
        <w:pStyle w:val="Bullet1"/>
      </w:pPr>
      <w:r w:rsidRPr="00933796">
        <w:t>d</w:t>
      </w:r>
      <w:r w:rsidR="00374AE8">
        <w:t xml:space="preserve">uty </w:t>
      </w:r>
      <w:r w:rsidR="00D8189A">
        <w:t>holders'</w:t>
      </w:r>
      <w:r w:rsidRPr="00933796">
        <w:t xml:space="preserve"> </w:t>
      </w:r>
      <w:r w:rsidR="00917DC8">
        <w:t>actions</w:t>
      </w:r>
      <w:r w:rsidR="00B5547D">
        <w:t xml:space="preserve"> </w:t>
      </w:r>
      <w:r w:rsidRPr="00933796">
        <w:t>to promote intersectional gender equality are</w:t>
      </w:r>
      <w:r w:rsidR="00B5547D">
        <w:t xml:space="preserve"> backed</w:t>
      </w:r>
      <w:r w:rsidRPr="00933796">
        <w:t xml:space="preserve"> by </w:t>
      </w:r>
      <w:r w:rsidR="00B5547D">
        <w:t>the latest</w:t>
      </w:r>
      <w:r w:rsidRPr="00933796">
        <w:t xml:space="preserve"> knowledge</w:t>
      </w:r>
    </w:p>
    <w:p w14:paraId="55ACC3F3" w14:textId="1FC04923" w:rsidR="00933796" w:rsidRPr="00933796" w:rsidRDefault="00C571DE" w:rsidP="000A451E">
      <w:pPr>
        <w:pStyle w:val="Bullet1"/>
      </w:pPr>
      <w:r>
        <w:t xml:space="preserve">the </w:t>
      </w:r>
      <w:r w:rsidR="00933796" w:rsidRPr="00933796">
        <w:t xml:space="preserve">Commission </w:t>
      </w:r>
      <w:r>
        <w:t>can</w:t>
      </w:r>
      <w:r w:rsidR="00933796" w:rsidRPr="00933796">
        <w:t xml:space="preserve"> </w:t>
      </w:r>
      <w:r>
        <w:t>share this</w:t>
      </w:r>
      <w:r w:rsidR="00933796" w:rsidRPr="00933796">
        <w:t xml:space="preserve"> knowledge </w:t>
      </w:r>
      <w:r w:rsidR="008F55E2">
        <w:t xml:space="preserve">with </w:t>
      </w:r>
      <w:r w:rsidR="00933796" w:rsidRPr="00933796">
        <w:t>d</w:t>
      </w:r>
      <w:r w:rsidR="008F55E2">
        <w:t>uty holders</w:t>
      </w:r>
      <w:r w:rsidR="00933796" w:rsidRPr="00933796">
        <w:t xml:space="preserve"> and the wider Victorian community;</w:t>
      </w:r>
    </w:p>
    <w:p w14:paraId="5FE61CB0" w14:textId="77C7A8EC" w:rsidR="00933796" w:rsidRPr="00933796" w:rsidRDefault="00933796" w:rsidP="000A451E">
      <w:pPr>
        <w:pStyle w:val="Bullet1"/>
      </w:pPr>
      <w:r w:rsidRPr="00933796">
        <w:t xml:space="preserve">gender equality </w:t>
      </w:r>
      <w:r w:rsidR="008F1C8F">
        <w:t>continues to</w:t>
      </w:r>
      <w:r w:rsidRPr="00933796">
        <w:t xml:space="preserve"> progress throughout Victoria</w:t>
      </w:r>
      <w:r w:rsidR="007970E2">
        <w:t>,</w:t>
      </w:r>
      <w:r w:rsidRPr="00933796">
        <w:t xml:space="preserve"> and</w:t>
      </w:r>
    </w:p>
    <w:p w14:paraId="60ADAD21" w14:textId="0FD766EF" w:rsidR="00933796" w:rsidRPr="00933796" w:rsidRDefault="00933796" w:rsidP="000A451E">
      <w:pPr>
        <w:pStyle w:val="Bullet1"/>
      </w:pPr>
      <w:r w:rsidRPr="00933796">
        <w:t xml:space="preserve">Victoria’s </w:t>
      </w:r>
      <w:r w:rsidR="008F55E2">
        <w:t>leadership</w:t>
      </w:r>
      <w:r w:rsidRPr="00933796">
        <w:t xml:space="preserve"> </w:t>
      </w:r>
      <w:r w:rsidR="004A295E">
        <w:t>can guide</w:t>
      </w:r>
      <w:r w:rsidRPr="00933796">
        <w:t xml:space="preserve"> other jurisdictions.</w:t>
      </w:r>
    </w:p>
    <w:p w14:paraId="535CE80A" w14:textId="12B0C96F" w:rsidR="008F152E" w:rsidRPr="008F152E" w:rsidRDefault="008F152E" w:rsidP="00924642">
      <w:pPr>
        <w:pStyle w:val="Heading1"/>
      </w:pPr>
      <w:bookmarkStart w:id="15" w:name="_Toc207178371"/>
      <w:bookmarkStart w:id="16" w:name="_Toc207180538"/>
      <w:r w:rsidRPr="00924642">
        <w:t xml:space="preserve">The </w:t>
      </w:r>
      <w:r w:rsidR="003403EF">
        <w:t>Commission’s</w:t>
      </w:r>
      <w:r w:rsidRPr="00924642">
        <w:t xml:space="preserve"> PhD </w:t>
      </w:r>
      <w:r w:rsidR="00C1781E">
        <w:t>p</w:t>
      </w:r>
      <w:r w:rsidRPr="00924642">
        <w:t>rogram</w:t>
      </w:r>
      <w:bookmarkEnd w:id="15"/>
      <w:bookmarkEnd w:id="16"/>
    </w:p>
    <w:p w14:paraId="2E3E9C74" w14:textId="71F3CD5D" w:rsidR="008F152E" w:rsidRPr="008F152E" w:rsidRDefault="008F152E" w:rsidP="008F152E">
      <w:pPr>
        <w:pStyle w:val="Body"/>
      </w:pPr>
      <w:r w:rsidRPr="008F152E">
        <w:t>The Commission launched its PhD Program in 202</w:t>
      </w:r>
      <w:r w:rsidR="003C0DC4">
        <w:t>5</w:t>
      </w:r>
      <w:r w:rsidRPr="008F152E">
        <w:t xml:space="preserve"> to build strong, practical knowledge that supports the goals of the Gender Equality Act 2020. Students start the program at the same time they begin their PhD candidature, in either Semester 1 or Semester 2. Each year, one or two students are expected to join.</w:t>
      </w:r>
    </w:p>
    <w:p w14:paraId="3304D94B" w14:textId="3C4AD392" w:rsidR="008F152E" w:rsidRPr="008F152E" w:rsidRDefault="008F152E" w:rsidP="008F152E">
      <w:pPr>
        <w:pStyle w:val="Body"/>
      </w:pPr>
      <w:r w:rsidRPr="008F152E">
        <w:t>The program helps grow a community of researchers focused on the Act and its aims. It provides a clear way to produce high-quality, evidence-based research that can be used to advance intersectional gender equality.</w:t>
      </w:r>
    </w:p>
    <w:p w14:paraId="5C10F334" w14:textId="1DA35B10" w:rsidR="008F152E" w:rsidRPr="008F152E" w:rsidRDefault="008F152E" w:rsidP="008F152E">
      <w:pPr>
        <w:pStyle w:val="Body"/>
      </w:pPr>
      <w:r w:rsidRPr="008F152E">
        <w:t>Successful applicants will:</w:t>
      </w:r>
    </w:p>
    <w:p w14:paraId="114EED62" w14:textId="1EE9322E" w:rsidR="008F152E" w:rsidRPr="008F152E" w:rsidRDefault="008F152E" w:rsidP="00673482">
      <w:pPr>
        <w:pStyle w:val="Bullet1"/>
      </w:pPr>
      <w:r w:rsidRPr="008F152E">
        <w:t>work closely with the Commission,</w:t>
      </w:r>
    </w:p>
    <w:p w14:paraId="1BF573C3" w14:textId="01C57C11" w:rsidR="008F152E" w:rsidRPr="008F152E" w:rsidRDefault="008F152E" w:rsidP="00924642">
      <w:pPr>
        <w:pStyle w:val="Bullet1"/>
      </w:pPr>
      <w:r w:rsidRPr="008F152E">
        <w:t>connect with state, national, and international organisations already engaged in gender equality and violence against women research, and</w:t>
      </w:r>
    </w:p>
    <w:p w14:paraId="3266CB4B" w14:textId="77777777" w:rsidR="008F152E" w:rsidRPr="008F152E" w:rsidRDefault="008F152E" w:rsidP="00673482">
      <w:pPr>
        <w:pStyle w:val="Bullet1"/>
      </w:pPr>
      <w:r w:rsidRPr="008F152E">
        <w:t>contribute to a stronger base of evidence that guides action in Victoria and beyond.</w:t>
      </w:r>
    </w:p>
    <w:p w14:paraId="714D817B" w14:textId="796D4794" w:rsidR="008F152E" w:rsidRPr="00EB12C0" w:rsidRDefault="008F152E" w:rsidP="00924642">
      <w:pPr>
        <w:pStyle w:val="Heading2"/>
      </w:pPr>
      <w:bookmarkStart w:id="17" w:name="_Toc207178372"/>
      <w:bookmarkStart w:id="18" w:name="_Toc207180539"/>
      <w:r w:rsidRPr="00EB12C0">
        <w:t xml:space="preserve">Benefits of the </w:t>
      </w:r>
      <w:r w:rsidR="00C1781E">
        <w:t>p</w:t>
      </w:r>
      <w:r w:rsidRPr="008F152E">
        <w:t>rogram</w:t>
      </w:r>
      <w:bookmarkEnd w:id="17"/>
      <w:bookmarkEnd w:id="18"/>
    </w:p>
    <w:p w14:paraId="456D4511" w14:textId="7D878C2A" w:rsidR="008F152E" w:rsidRPr="008F152E" w:rsidRDefault="008F152E" w:rsidP="008F152E">
      <w:pPr>
        <w:pStyle w:val="Body"/>
      </w:pPr>
      <w:r w:rsidRPr="008F152E">
        <w:t>As a participant, you will play an important role in developing evidence-based and innovative approaches to progressing gender equality across workplaces, the Victorian community, and further afield. Your research will help the Commission:</w:t>
      </w:r>
    </w:p>
    <w:p w14:paraId="0BFF80E9" w14:textId="54192882" w:rsidR="008F152E" w:rsidRPr="008F152E" w:rsidRDefault="008F152E" w:rsidP="00673482">
      <w:pPr>
        <w:pStyle w:val="Bullet1"/>
      </w:pPr>
      <w:r w:rsidRPr="008F152E">
        <w:t xml:space="preserve">identify what works and </w:t>
      </w:r>
      <w:r w:rsidR="007E7D75">
        <w:t>in what context</w:t>
      </w:r>
      <w:r w:rsidRPr="008F152E">
        <w:t>,</w:t>
      </w:r>
    </w:p>
    <w:p w14:paraId="6401150D" w14:textId="6433E9CD" w:rsidR="008F152E" w:rsidRPr="008F152E" w:rsidRDefault="008F152E" w:rsidP="00673482">
      <w:pPr>
        <w:pStyle w:val="Bullet1"/>
      </w:pPr>
      <w:r w:rsidRPr="008F152E">
        <w:t>highlight areas that need adjustment, and</w:t>
      </w:r>
    </w:p>
    <w:p w14:paraId="18918C96" w14:textId="369D50DD" w:rsidR="008F152E" w:rsidRPr="008F152E" w:rsidRDefault="008F152E">
      <w:pPr>
        <w:pStyle w:val="Bullet1"/>
      </w:pPr>
      <w:r w:rsidRPr="008F152E">
        <w:t>show where evidence gaps remain.</w:t>
      </w:r>
    </w:p>
    <w:p w14:paraId="623621AB" w14:textId="232470E9" w:rsidR="008F152E" w:rsidRPr="00924642" w:rsidRDefault="008F152E" w:rsidP="007970E2">
      <w:pPr>
        <w:pStyle w:val="Bodyafterbullets"/>
      </w:pPr>
      <w:r>
        <w:t>This</w:t>
      </w:r>
      <w:r w:rsidRPr="00924642">
        <w:t xml:space="preserve"> program also </w:t>
      </w:r>
      <w:r>
        <w:t>prepares you</w:t>
      </w:r>
      <w:r w:rsidRPr="00924642">
        <w:t xml:space="preserve"> for a career in research, the public sector, </w:t>
      </w:r>
      <w:r>
        <w:t>policymaking,</w:t>
      </w:r>
      <w:r w:rsidRPr="00924642">
        <w:t xml:space="preserve"> or industry.</w:t>
      </w:r>
      <w:r w:rsidR="00252E85" w:rsidRPr="00924642">
        <w:t xml:space="preserve"> </w:t>
      </w:r>
      <w:r w:rsidRPr="00924642">
        <w:t xml:space="preserve">Specifically, successful </w:t>
      </w:r>
      <w:r>
        <w:t>applicants</w:t>
      </w:r>
      <w:r w:rsidRPr="00924642">
        <w:t xml:space="preserve"> will </w:t>
      </w:r>
      <w:r w:rsidR="00EF08F4" w:rsidRPr="60EA735C">
        <w:rPr>
          <w:color w:val="242424"/>
        </w:rPr>
        <w:t>be provided with</w:t>
      </w:r>
      <w:r w:rsidRPr="00924642">
        <w:t>:</w:t>
      </w:r>
    </w:p>
    <w:p w14:paraId="51B6935B" w14:textId="5D764A8B" w:rsidR="008F152E" w:rsidRPr="008F152E" w:rsidRDefault="008F152E" w:rsidP="00924642">
      <w:pPr>
        <w:pStyle w:val="Bullet1"/>
      </w:pPr>
      <w:r w:rsidRPr="008F152E">
        <w:t>the chance to develop research that translates into real-world outcomes for a gender-equal Victoria,</w:t>
      </w:r>
    </w:p>
    <w:p w14:paraId="643FFC06" w14:textId="785A6456" w:rsidR="008F152E" w:rsidRPr="008F152E" w:rsidRDefault="008F152E" w:rsidP="00924642">
      <w:pPr>
        <w:pStyle w:val="Bullet1"/>
      </w:pPr>
      <w:r w:rsidRPr="008F152E">
        <w:t>regular meetings with the Public Sector Gender Equality Commissioner</w:t>
      </w:r>
    </w:p>
    <w:p w14:paraId="05B45696" w14:textId="3EC82A2F" w:rsidR="008F152E" w:rsidRPr="008F152E" w:rsidRDefault="008F152E" w:rsidP="00924642">
      <w:pPr>
        <w:pStyle w:val="Bullet1"/>
      </w:pPr>
      <w:r w:rsidRPr="008F152E">
        <w:t>PhD supervision from a CGEPS staff member (the Commission will provide up to 20% external supervision on your panel)</w:t>
      </w:r>
    </w:p>
    <w:p w14:paraId="726A7B40" w14:textId="20071921" w:rsidR="008F152E" w:rsidRPr="008F152E" w:rsidRDefault="008F152E" w:rsidP="00924642">
      <w:pPr>
        <w:pStyle w:val="Bullet1"/>
      </w:pPr>
      <w:r w:rsidRPr="008F152E">
        <w:t>a desk at the Commission’s Melbourne CBD office</w:t>
      </w:r>
    </w:p>
    <w:p w14:paraId="7A074061" w14:textId="4B5BC87A" w:rsidR="008F152E" w:rsidRPr="008F152E" w:rsidRDefault="008F152E" w:rsidP="00924642">
      <w:pPr>
        <w:pStyle w:val="Bullet1"/>
      </w:pPr>
      <w:r w:rsidRPr="008F152E">
        <w:t>opportunities to build skills and knowledge about public sector regulation and policymaking</w:t>
      </w:r>
    </w:p>
    <w:p w14:paraId="033DCC71" w14:textId="1B26C0B9" w:rsidR="008F152E" w:rsidRPr="008F152E" w:rsidRDefault="008F152E" w:rsidP="00924642">
      <w:pPr>
        <w:pStyle w:val="Bullet1"/>
      </w:pPr>
      <w:r w:rsidRPr="008F152E">
        <w:t>access to Commission data and support in connecting with key stakeholders</w:t>
      </w:r>
    </w:p>
    <w:p w14:paraId="74D8C09F" w14:textId="7160702B" w:rsidR="008F152E" w:rsidRPr="008F152E" w:rsidRDefault="008F152E" w:rsidP="00924642">
      <w:pPr>
        <w:pStyle w:val="Bullet1"/>
      </w:pPr>
      <w:r w:rsidRPr="008F152E">
        <w:t>direct exposure to Victorian public sector and government policymaking</w:t>
      </w:r>
      <w:r w:rsidR="007876BA">
        <w:t>.</w:t>
      </w:r>
    </w:p>
    <w:p w14:paraId="25786DD8" w14:textId="77777777" w:rsidR="000A451E" w:rsidRPr="00C1781E" w:rsidRDefault="000A451E" w:rsidP="00C1781E">
      <w:pPr>
        <w:pStyle w:val="Body"/>
      </w:pPr>
      <w:bookmarkStart w:id="19" w:name="_Toc207178373"/>
      <w:r w:rsidRPr="00C1781E">
        <w:br w:type="page"/>
      </w:r>
    </w:p>
    <w:p w14:paraId="4DDA8F7A" w14:textId="38BC28DD" w:rsidR="00933796" w:rsidRPr="00933796" w:rsidRDefault="00933796" w:rsidP="00924642">
      <w:pPr>
        <w:pStyle w:val="Heading2"/>
      </w:pPr>
      <w:bookmarkStart w:id="20" w:name="_Toc207180540"/>
      <w:r w:rsidRPr="00924642">
        <w:rPr>
          <w:rFonts w:eastAsia="Times"/>
          <w:lang w:val="en-US"/>
        </w:rPr>
        <w:lastRenderedPageBreak/>
        <w:t>Eligibility</w:t>
      </w:r>
      <w:bookmarkEnd w:id="19"/>
      <w:bookmarkEnd w:id="20"/>
    </w:p>
    <w:p w14:paraId="54BF1B14" w14:textId="1BBC1457" w:rsidR="00933796" w:rsidRPr="00933796" w:rsidRDefault="00933796" w:rsidP="00933796">
      <w:pPr>
        <w:pStyle w:val="Body"/>
        <w:rPr>
          <w:szCs w:val="21"/>
        </w:rPr>
      </w:pPr>
      <w:r w:rsidRPr="00933796">
        <w:rPr>
          <w:szCs w:val="21"/>
          <w:lang w:val="en-US"/>
        </w:rPr>
        <w:t>To participate in the CGEPS PhD Program</w:t>
      </w:r>
      <w:r w:rsidR="00D8189A">
        <w:rPr>
          <w:szCs w:val="21"/>
          <w:lang w:val="en-US"/>
        </w:rPr>
        <w:t>,</w:t>
      </w:r>
      <w:r w:rsidRPr="00933796">
        <w:rPr>
          <w:szCs w:val="21"/>
          <w:lang w:val="en-US"/>
        </w:rPr>
        <w:t xml:space="preserve"> applicants must:</w:t>
      </w:r>
    </w:p>
    <w:p w14:paraId="427EAD5A" w14:textId="181ABCDB" w:rsidR="00933796" w:rsidRPr="00933796" w:rsidRDefault="003F3650" w:rsidP="00924642">
      <w:pPr>
        <w:pStyle w:val="Bullet1"/>
      </w:pPr>
      <w:r>
        <w:rPr>
          <w:lang w:val="en-US"/>
        </w:rPr>
        <w:t>be e</w:t>
      </w:r>
      <w:r w:rsidR="00933796" w:rsidRPr="00933796">
        <w:rPr>
          <w:lang w:val="en-US"/>
        </w:rPr>
        <w:t>nrolled</w:t>
      </w:r>
      <w:r w:rsidR="001C03D6">
        <w:rPr>
          <w:lang w:val="en-US"/>
        </w:rPr>
        <w:t xml:space="preserve"> (</w:t>
      </w:r>
      <w:r w:rsidR="00933796" w:rsidRPr="00933796">
        <w:rPr>
          <w:lang w:val="en-US"/>
        </w:rPr>
        <w:t>or enrolling</w:t>
      </w:r>
      <w:r w:rsidR="00D8189A">
        <w:rPr>
          <w:lang w:val="en-US"/>
        </w:rPr>
        <w:t>)</w:t>
      </w:r>
      <w:r w:rsidR="00933796" w:rsidRPr="00933796">
        <w:rPr>
          <w:lang w:val="en-US"/>
        </w:rPr>
        <w:t xml:space="preserve"> in a PhD program at an Australia-based university. It is preferred that you apply to the CGEPS PhD Program </w:t>
      </w:r>
      <w:r w:rsidR="00D8189A">
        <w:rPr>
          <w:lang w:val="en-US"/>
        </w:rPr>
        <w:t>before</w:t>
      </w:r>
      <w:r w:rsidR="00933796" w:rsidRPr="00933796">
        <w:rPr>
          <w:lang w:val="en-US"/>
        </w:rPr>
        <w:t xml:space="preserve"> commencing your candidature</w:t>
      </w:r>
    </w:p>
    <w:p w14:paraId="456F31F0" w14:textId="451263F6" w:rsidR="00630ACD" w:rsidRPr="003842EE" w:rsidRDefault="00446290" w:rsidP="00933796">
      <w:pPr>
        <w:pStyle w:val="Bullet1"/>
      </w:pPr>
      <w:r>
        <w:rPr>
          <w:lang w:val="en-US"/>
        </w:rPr>
        <w:t>be a</w:t>
      </w:r>
      <w:r w:rsidR="00933796" w:rsidRPr="00933796">
        <w:rPr>
          <w:lang w:val="en-US"/>
        </w:rPr>
        <w:t xml:space="preserve">ble to self-fund </w:t>
      </w:r>
      <w:r w:rsidR="00702258">
        <w:rPr>
          <w:lang w:val="en-US"/>
        </w:rPr>
        <w:t>you</w:t>
      </w:r>
      <w:r w:rsidR="00770E16">
        <w:rPr>
          <w:lang w:val="en-US"/>
        </w:rPr>
        <w:t>r</w:t>
      </w:r>
      <w:r w:rsidR="00933796" w:rsidRPr="00933796">
        <w:rPr>
          <w:lang w:val="en-US"/>
        </w:rPr>
        <w:t xml:space="preserve"> research. Recipients of an </w:t>
      </w:r>
      <w:hyperlink r:id="rId19" w:history="1">
        <w:r w:rsidR="00933796" w:rsidRPr="00933796">
          <w:rPr>
            <w:rStyle w:val="Hyperlink"/>
            <w:szCs w:val="21"/>
            <w:lang w:val="en-US"/>
          </w:rPr>
          <w:t>Australian Government Research Training Program scholarship</w:t>
        </w:r>
      </w:hyperlink>
      <w:r w:rsidR="00933796" w:rsidRPr="00924642">
        <w:t xml:space="preserve"> will be </w:t>
      </w:r>
      <w:r w:rsidR="00041141">
        <w:rPr>
          <w:u w:val="dotted"/>
          <w:lang w:val="en-US"/>
        </w:rPr>
        <w:t>viewed</w:t>
      </w:r>
      <w:r w:rsidR="00933796" w:rsidRPr="00924642">
        <w:t xml:space="preserve"> favourably</w:t>
      </w:r>
      <w:r w:rsidR="00933796" w:rsidRPr="00933796">
        <w:rPr>
          <w:lang w:val="en-US"/>
        </w:rPr>
        <w:t xml:space="preserve">. </w:t>
      </w:r>
    </w:p>
    <w:p w14:paraId="4343515E" w14:textId="78C7FCE3" w:rsidR="007608FA" w:rsidRDefault="00194F37" w:rsidP="007970E2">
      <w:pPr>
        <w:pStyle w:val="Bodyafterbullets"/>
      </w:pPr>
      <w:r>
        <w:rPr>
          <w:lang w:val="en-US"/>
        </w:rPr>
        <w:t>You may</w:t>
      </w:r>
      <w:r w:rsidR="00933796" w:rsidRPr="00933796">
        <w:rPr>
          <w:lang w:val="en-US"/>
        </w:rPr>
        <w:t xml:space="preserve"> be able to </w:t>
      </w:r>
      <w:r w:rsidR="00933796" w:rsidRPr="00933796">
        <w:rPr>
          <w:i/>
          <w:iCs/>
          <w:lang w:val="en-US"/>
        </w:rPr>
        <w:t>apply</w:t>
      </w:r>
      <w:r w:rsidR="00933796" w:rsidRPr="00933796">
        <w:rPr>
          <w:lang w:val="en-US"/>
        </w:rPr>
        <w:t xml:space="preserve"> for the program while applying </w:t>
      </w:r>
      <w:r w:rsidR="00827D3E">
        <w:rPr>
          <w:lang w:val="en-US"/>
        </w:rPr>
        <w:t xml:space="preserve">for </w:t>
      </w:r>
      <w:r w:rsidR="005C77C2">
        <w:rPr>
          <w:lang w:val="en-US"/>
        </w:rPr>
        <w:t xml:space="preserve">a </w:t>
      </w:r>
      <w:r w:rsidR="00933796" w:rsidRPr="00933796">
        <w:rPr>
          <w:lang w:val="en-US"/>
        </w:rPr>
        <w:t xml:space="preserve">PhD place. However, </w:t>
      </w:r>
      <w:r w:rsidR="00595FC2">
        <w:rPr>
          <w:lang w:val="en-US"/>
        </w:rPr>
        <w:t>you</w:t>
      </w:r>
      <w:r w:rsidR="004626B0">
        <w:rPr>
          <w:lang w:val="en-US"/>
        </w:rPr>
        <w:t xml:space="preserve"> cannot</w:t>
      </w:r>
      <w:r w:rsidR="00933796" w:rsidRPr="00933796">
        <w:rPr>
          <w:lang w:val="en-US"/>
        </w:rPr>
        <w:t xml:space="preserve"> </w:t>
      </w:r>
      <w:r w:rsidR="00933796" w:rsidRPr="00933796">
        <w:rPr>
          <w:i/>
          <w:iCs/>
          <w:lang w:val="en-US"/>
        </w:rPr>
        <w:t>commence</w:t>
      </w:r>
      <w:r w:rsidR="00933796" w:rsidRPr="00933796">
        <w:rPr>
          <w:lang w:val="en-US"/>
        </w:rPr>
        <w:t xml:space="preserve"> engagem</w:t>
      </w:r>
      <w:r w:rsidR="005E57C2">
        <w:rPr>
          <w:lang w:val="en-US"/>
        </w:rPr>
        <w:t>ent</w:t>
      </w:r>
      <w:r w:rsidR="00933796" w:rsidRPr="00933796">
        <w:rPr>
          <w:lang w:val="en-US"/>
        </w:rPr>
        <w:t xml:space="preserve"> with the Commission </w:t>
      </w:r>
      <w:r w:rsidR="00827D3E">
        <w:rPr>
          <w:lang w:val="en-US"/>
        </w:rPr>
        <w:t xml:space="preserve">until </w:t>
      </w:r>
      <w:r w:rsidR="00E53F94">
        <w:rPr>
          <w:lang w:val="en-US"/>
        </w:rPr>
        <w:t xml:space="preserve">your </w:t>
      </w:r>
      <w:r w:rsidR="00933796" w:rsidRPr="00933796">
        <w:rPr>
          <w:lang w:val="en-US"/>
        </w:rPr>
        <w:t xml:space="preserve">candidature </w:t>
      </w:r>
      <w:r w:rsidR="00E53F94">
        <w:rPr>
          <w:lang w:val="en-US"/>
        </w:rPr>
        <w:t>has started</w:t>
      </w:r>
      <w:r w:rsidR="00933796" w:rsidRPr="00933796">
        <w:rPr>
          <w:lang w:val="en-US"/>
        </w:rPr>
        <w:t xml:space="preserve">. </w:t>
      </w:r>
    </w:p>
    <w:p w14:paraId="05339CBE" w14:textId="6CCD3516" w:rsidR="007608FA" w:rsidRDefault="00933796" w:rsidP="00933796">
      <w:pPr>
        <w:pStyle w:val="Body"/>
        <w:rPr>
          <w:szCs w:val="21"/>
        </w:rPr>
      </w:pPr>
      <w:r w:rsidRPr="00933796">
        <w:rPr>
          <w:szCs w:val="21"/>
        </w:rPr>
        <w:t>Applicants are expected to</w:t>
      </w:r>
      <w:r w:rsidR="007608FA">
        <w:rPr>
          <w:szCs w:val="21"/>
        </w:rPr>
        <w:t>:</w:t>
      </w:r>
    </w:p>
    <w:p w14:paraId="0463DF80" w14:textId="2B444AC0" w:rsidR="007608FA" w:rsidRDefault="00933796" w:rsidP="00673482">
      <w:pPr>
        <w:pStyle w:val="Bullet1"/>
      </w:pPr>
      <w:r w:rsidRPr="00933796">
        <w:t xml:space="preserve">complete their PhD </w:t>
      </w:r>
      <w:r w:rsidR="00827D3E">
        <w:t>full-time</w:t>
      </w:r>
      <w:r w:rsidRPr="00933796">
        <w:t>, within a maximum of 3.5 years (excluding any leave of absence)</w:t>
      </w:r>
    </w:p>
    <w:p w14:paraId="063214F2" w14:textId="540227C8" w:rsidR="00630ACD" w:rsidRDefault="00673482" w:rsidP="00924642">
      <w:pPr>
        <w:pStyle w:val="Bullet1"/>
      </w:pPr>
      <w:r>
        <w:t xml:space="preserve">use </w:t>
      </w:r>
      <w:r w:rsidR="00933796" w:rsidRPr="00933796">
        <w:t xml:space="preserve">a desk space </w:t>
      </w:r>
      <w:r w:rsidR="001D03F3">
        <w:t>at</w:t>
      </w:r>
      <w:r w:rsidR="00933796" w:rsidRPr="00933796">
        <w:t xml:space="preserve"> the Commission</w:t>
      </w:r>
      <w:r w:rsidR="001D03F3">
        <w:t>’s</w:t>
      </w:r>
      <w:r w:rsidR="00933796" w:rsidRPr="00933796">
        <w:t xml:space="preserve"> Melbourne CBD </w:t>
      </w:r>
      <w:r w:rsidR="00CF6CC6">
        <w:t xml:space="preserve">office </w:t>
      </w:r>
      <w:r w:rsidR="00CF6CC6" w:rsidRPr="00CF6CC6">
        <w:t>regularly throughout their candidature</w:t>
      </w:r>
    </w:p>
    <w:p w14:paraId="4F766B48" w14:textId="7D274258" w:rsidR="002653A2" w:rsidRDefault="002653A2" w:rsidP="007970E2">
      <w:pPr>
        <w:pStyle w:val="Bodyafterbullets"/>
      </w:pPr>
      <w:r w:rsidRPr="002653A2">
        <w:t>The Commission welcomes applications from a wide range of disciplines, including:</w:t>
      </w:r>
    </w:p>
    <w:p w14:paraId="0D28D68F" w14:textId="66292B38" w:rsidR="002653A2" w:rsidRDefault="00933796" w:rsidP="002653A2">
      <w:pPr>
        <w:pStyle w:val="Bullet1"/>
      </w:pPr>
      <w:r w:rsidRPr="00630ACD">
        <w:t>social sciences</w:t>
      </w:r>
    </w:p>
    <w:p w14:paraId="21548181" w14:textId="546BE9EB" w:rsidR="002653A2" w:rsidRDefault="00933796" w:rsidP="002653A2">
      <w:pPr>
        <w:pStyle w:val="Bullet1"/>
      </w:pPr>
      <w:r w:rsidRPr="00630ACD">
        <w:t>psychology</w:t>
      </w:r>
    </w:p>
    <w:p w14:paraId="28E43148" w14:textId="4AF9CFC3" w:rsidR="002653A2" w:rsidRDefault="00933796" w:rsidP="002653A2">
      <w:pPr>
        <w:pStyle w:val="Bullet1"/>
      </w:pPr>
      <w:r w:rsidRPr="00630ACD">
        <w:t>law</w:t>
      </w:r>
    </w:p>
    <w:p w14:paraId="220AFE72" w14:textId="6CA43B30" w:rsidR="002653A2" w:rsidRDefault="00933796" w:rsidP="002653A2">
      <w:pPr>
        <w:pStyle w:val="Bullet1"/>
      </w:pPr>
      <w:r w:rsidRPr="00630ACD">
        <w:t>business</w:t>
      </w:r>
    </w:p>
    <w:p w14:paraId="3B6AF96B" w14:textId="737F87FC" w:rsidR="002653A2" w:rsidRDefault="00933796" w:rsidP="002653A2">
      <w:pPr>
        <w:pStyle w:val="Bullet1"/>
      </w:pPr>
      <w:r w:rsidRPr="00630ACD">
        <w:t>human resources</w:t>
      </w:r>
    </w:p>
    <w:p w14:paraId="593A0833" w14:textId="75F482C9" w:rsidR="002653A2" w:rsidRDefault="00933796" w:rsidP="002653A2">
      <w:pPr>
        <w:pStyle w:val="Bullet1"/>
      </w:pPr>
      <w:r w:rsidRPr="00630ACD">
        <w:t>industrial relations</w:t>
      </w:r>
      <w:bookmarkStart w:id="21" w:name="_Toc152173692"/>
      <w:bookmarkStart w:id="22" w:name="_Toc152174224"/>
      <w:r w:rsidR="000A451E">
        <w:t>.</w:t>
      </w:r>
    </w:p>
    <w:p w14:paraId="5DF2707A" w14:textId="77777777" w:rsidR="005A5C78" w:rsidRDefault="005A5C78" w:rsidP="007970E2">
      <w:pPr>
        <w:pStyle w:val="Bodyafterbullets"/>
        <w:rPr>
          <w:lang w:val="en-US"/>
        </w:rPr>
      </w:pPr>
      <w:r w:rsidRPr="005A5C78">
        <w:t>We strongly encourage applications from:</w:t>
      </w:r>
      <w:r w:rsidR="00933796" w:rsidRPr="002653A2">
        <w:rPr>
          <w:lang w:val="en-US"/>
        </w:rPr>
        <w:t xml:space="preserve"> </w:t>
      </w:r>
    </w:p>
    <w:p w14:paraId="3ED6D070" w14:textId="03D41FD3" w:rsidR="00E1216F" w:rsidRPr="00E1216F" w:rsidRDefault="00933796" w:rsidP="005A5C78">
      <w:pPr>
        <w:pStyle w:val="Bullet1"/>
      </w:pPr>
      <w:r w:rsidRPr="002653A2">
        <w:rPr>
          <w:lang w:val="en-US"/>
        </w:rPr>
        <w:t>Aboriginal and/or Torres Strait Islander people</w:t>
      </w:r>
    </w:p>
    <w:p w14:paraId="03428068" w14:textId="7BD5925A" w:rsidR="00E1216F" w:rsidRPr="00E1216F" w:rsidRDefault="00933796" w:rsidP="005A5C78">
      <w:pPr>
        <w:pStyle w:val="Bullet1"/>
      </w:pPr>
      <w:r w:rsidRPr="002653A2">
        <w:rPr>
          <w:lang w:val="en-US"/>
        </w:rPr>
        <w:t>people from culturally and linguistically diverse (CALD) backgrounds</w:t>
      </w:r>
    </w:p>
    <w:p w14:paraId="2A7466DA" w14:textId="4B5C8972" w:rsidR="00E1216F" w:rsidRPr="00E1216F" w:rsidRDefault="00933796" w:rsidP="005A5C78">
      <w:pPr>
        <w:pStyle w:val="Bullet1"/>
      </w:pPr>
      <w:r w:rsidRPr="002653A2">
        <w:rPr>
          <w:lang w:val="en-US"/>
        </w:rPr>
        <w:t>people with disability</w:t>
      </w:r>
    </w:p>
    <w:p w14:paraId="5110BE41" w14:textId="39D8EAAC" w:rsidR="00E1216F" w:rsidRPr="00630ACD" w:rsidRDefault="00933796" w:rsidP="000A451E">
      <w:pPr>
        <w:pStyle w:val="Bullet1"/>
      </w:pPr>
      <w:r w:rsidRPr="002653A2">
        <w:rPr>
          <w:lang w:val="en-US"/>
        </w:rPr>
        <w:t>people from LGBTIQA+ communities</w:t>
      </w:r>
      <w:r w:rsidRPr="00E1216F">
        <w:rPr>
          <w:lang w:val="en-US"/>
        </w:rPr>
        <w:t>.</w:t>
      </w:r>
    </w:p>
    <w:p w14:paraId="2AF0C747" w14:textId="01967FAF" w:rsidR="003D1099" w:rsidRPr="00924642" w:rsidRDefault="00933796" w:rsidP="000A451E">
      <w:pPr>
        <w:pStyle w:val="Bodyafterbullets"/>
        <w:rPr>
          <w:lang w:val="en-US"/>
        </w:rPr>
      </w:pPr>
      <w:r w:rsidRPr="00933796">
        <w:t xml:space="preserve">Applicants are invited to propose their own PhD project that aligns with the goals of the Gender Equality Act 2020 and/or </w:t>
      </w:r>
      <w:r w:rsidRPr="00933796">
        <w:rPr>
          <w:lang w:val="en-US"/>
        </w:rPr>
        <w:t xml:space="preserve">the Commission for Gender Equality in the Public Sector. </w:t>
      </w:r>
      <w:r w:rsidR="00FE2256" w:rsidRPr="00FE2256">
        <w:t>Projects</w:t>
      </w:r>
      <w:r w:rsidR="00FE2256" w:rsidRPr="00924642">
        <w:t xml:space="preserve"> should </w:t>
      </w:r>
      <w:r w:rsidR="00FE2256" w:rsidRPr="00FE2256">
        <w:t>show a</w:t>
      </w:r>
      <w:r w:rsidR="00FE2256" w:rsidRPr="00924642">
        <w:t xml:space="preserve"> clear </w:t>
      </w:r>
      <w:r w:rsidR="00FE2256" w:rsidRPr="00FE2256">
        <w:t>link</w:t>
      </w:r>
      <w:r w:rsidR="00FE2256" w:rsidRPr="00924642">
        <w:t xml:space="preserve"> to the Victorian context. </w:t>
      </w:r>
      <w:r w:rsidRPr="00FE2256">
        <w:rPr>
          <w:lang w:val="en-US"/>
        </w:rPr>
        <w:t>Students whose projects analyse the workplace gender audit data collected</w:t>
      </w:r>
      <w:r w:rsidRPr="00933796">
        <w:rPr>
          <w:lang w:val="en-US"/>
        </w:rPr>
        <w:t xml:space="preserve"> under the Act will be viewed favourably. </w:t>
      </w:r>
    </w:p>
    <w:p w14:paraId="48394D92" w14:textId="05AD15AC" w:rsidR="00933796" w:rsidRPr="00933796" w:rsidRDefault="00933796" w:rsidP="00933796">
      <w:pPr>
        <w:pStyle w:val="Body"/>
        <w:rPr>
          <w:szCs w:val="21"/>
        </w:rPr>
      </w:pPr>
      <w:r w:rsidRPr="00933796">
        <w:rPr>
          <w:szCs w:val="21"/>
          <w:lang w:val="en-US"/>
        </w:rPr>
        <w:t>Specific</w:t>
      </w:r>
      <w:r w:rsidRPr="00933796">
        <w:rPr>
          <w:szCs w:val="21"/>
        </w:rPr>
        <w:t xml:space="preserve"> priorities for the Commission include</w:t>
      </w:r>
      <w:r w:rsidR="0010687F">
        <w:rPr>
          <w:szCs w:val="21"/>
        </w:rPr>
        <w:t xml:space="preserve"> research that</w:t>
      </w:r>
      <w:r w:rsidRPr="00933796">
        <w:rPr>
          <w:szCs w:val="21"/>
        </w:rPr>
        <w:t>:</w:t>
      </w:r>
    </w:p>
    <w:p w14:paraId="5961B573" w14:textId="619D6BCB" w:rsidR="00933796" w:rsidRPr="00933796" w:rsidRDefault="00933796" w:rsidP="000A451E">
      <w:pPr>
        <w:pStyle w:val="Bullet1"/>
      </w:pPr>
      <w:r w:rsidRPr="00933796">
        <w:t>draws on or investigates the workplace gender audit data, progress reports, gender impact assessments and/or Gender Equality Action Plans reported under the Act</w:t>
      </w:r>
      <w:bookmarkEnd w:id="21"/>
      <w:bookmarkEnd w:id="22"/>
    </w:p>
    <w:p w14:paraId="147AEDB2" w14:textId="6F3D3D16" w:rsidR="00933796" w:rsidRPr="00933796" w:rsidRDefault="00933796" w:rsidP="000A451E">
      <w:pPr>
        <w:pStyle w:val="Bullet1"/>
      </w:pPr>
      <w:bookmarkStart w:id="23" w:name="_Toc152173693"/>
      <w:bookmarkStart w:id="24" w:name="_Toc152174225"/>
      <w:r w:rsidRPr="00933796">
        <w:t>supports the monitoring and evaluation of the Act</w:t>
      </w:r>
      <w:bookmarkEnd w:id="23"/>
      <w:bookmarkEnd w:id="24"/>
    </w:p>
    <w:p w14:paraId="7D531B40" w14:textId="1D3DA987" w:rsidR="00933796" w:rsidRPr="000A451E" w:rsidRDefault="00933796" w:rsidP="00924642">
      <w:pPr>
        <w:pStyle w:val="Bullet1"/>
      </w:pPr>
      <w:bookmarkStart w:id="25" w:name="_Toc152173694"/>
      <w:bookmarkStart w:id="26" w:name="_Toc152174226"/>
      <w:r w:rsidRPr="00933796">
        <w:t>builds the evidence base for effective interventions to promote intersectional gender equality.</w:t>
      </w:r>
      <w:bookmarkEnd w:id="25"/>
      <w:bookmarkEnd w:id="26"/>
    </w:p>
    <w:p w14:paraId="78495B23" w14:textId="77777777" w:rsidR="00933796" w:rsidRPr="00933796" w:rsidRDefault="00933796" w:rsidP="00924642">
      <w:pPr>
        <w:pStyle w:val="Heading2"/>
        <w:rPr>
          <w:lang w:val="en-US"/>
        </w:rPr>
      </w:pPr>
      <w:bookmarkStart w:id="27" w:name="_Toc207178374"/>
      <w:bookmarkStart w:id="28" w:name="_Toc207180541"/>
      <w:r w:rsidRPr="00933796">
        <w:rPr>
          <w:lang w:val="en-US"/>
        </w:rPr>
        <w:t>Assessment criteria and process</w:t>
      </w:r>
      <w:bookmarkEnd w:id="27"/>
      <w:bookmarkEnd w:id="28"/>
    </w:p>
    <w:p w14:paraId="211D2C8A" w14:textId="21867B9E" w:rsidR="00933796" w:rsidRPr="00933796" w:rsidRDefault="00933796" w:rsidP="00933796">
      <w:pPr>
        <w:pStyle w:val="Body"/>
        <w:rPr>
          <w:szCs w:val="21"/>
        </w:rPr>
      </w:pPr>
      <w:r w:rsidRPr="00933796">
        <w:rPr>
          <w:szCs w:val="21"/>
        </w:rPr>
        <w:t xml:space="preserve">Assessment will be based solely on the information supplied in your application. </w:t>
      </w:r>
    </w:p>
    <w:p w14:paraId="4A610093" w14:textId="2DF43D6D" w:rsidR="00933796" w:rsidRPr="00933796" w:rsidRDefault="00827D3E" w:rsidP="00933796">
      <w:pPr>
        <w:pStyle w:val="Body"/>
        <w:rPr>
          <w:szCs w:val="21"/>
        </w:rPr>
      </w:pPr>
      <w:r>
        <w:rPr>
          <w:szCs w:val="21"/>
        </w:rPr>
        <w:t>A panel of gender equality experts</w:t>
      </w:r>
      <w:r w:rsidR="00D94DBF">
        <w:rPr>
          <w:szCs w:val="21"/>
        </w:rPr>
        <w:t>, including the Public Sector Gender Equality Commissioner,</w:t>
      </w:r>
      <w:r>
        <w:rPr>
          <w:szCs w:val="21"/>
        </w:rPr>
        <w:t xml:space="preserve"> will assess applications</w:t>
      </w:r>
      <w:r w:rsidR="00933796" w:rsidRPr="00933796">
        <w:rPr>
          <w:szCs w:val="21"/>
        </w:rPr>
        <w:t>. Shortlisted applicants may be invited to interview.</w:t>
      </w:r>
    </w:p>
    <w:p w14:paraId="065FD7CE" w14:textId="77777777" w:rsidR="00933796" w:rsidRPr="00933796" w:rsidRDefault="00933796" w:rsidP="00924642">
      <w:pPr>
        <w:pStyle w:val="Body"/>
        <w:rPr>
          <w:szCs w:val="21"/>
        </w:rPr>
      </w:pPr>
      <w:r w:rsidRPr="00933796">
        <w:rPr>
          <w:szCs w:val="21"/>
        </w:rPr>
        <w:t>Assessment criteria</w:t>
      </w:r>
    </w:p>
    <w:p w14:paraId="25E6A97E" w14:textId="77777777" w:rsidR="00933796" w:rsidRPr="00933796" w:rsidRDefault="00933796" w:rsidP="000A451E">
      <w:pPr>
        <w:pStyle w:val="Numberdigit"/>
      </w:pPr>
      <w:r w:rsidRPr="00933796">
        <w:t>Project quality, viability and alignment with the goals and values of the Act and the Commission:</w:t>
      </w:r>
    </w:p>
    <w:p w14:paraId="1D010E55" w14:textId="0DE54BED" w:rsidR="00933796" w:rsidRPr="00933796" w:rsidRDefault="00933796" w:rsidP="00C24830">
      <w:pPr>
        <w:pStyle w:val="Numberlowerromanindent"/>
      </w:pPr>
      <w:r w:rsidRPr="00933796">
        <w:t xml:space="preserve">Your application must demonstrate your ability in academic writing and provide a cohesive project design </w:t>
      </w:r>
      <w:r w:rsidR="00827D3E">
        <w:t>that</w:t>
      </w:r>
      <w:r w:rsidRPr="00933796">
        <w:t xml:space="preserve"> </w:t>
      </w:r>
      <w:bookmarkStart w:id="29" w:name="_Hlk69907846"/>
      <w:r w:rsidRPr="00933796">
        <w:t xml:space="preserve">demonstrates your understanding of the research question to be explored. </w:t>
      </w:r>
    </w:p>
    <w:bookmarkEnd w:id="29"/>
    <w:p w14:paraId="4C8F9843" w14:textId="77777777" w:rsidR="00933796" w:rsidRPr="00C24830" w:rsidRDefault="00933796" w:rsidP="00C24830">
      <w:pPr>
        <w:pStyle w:val="Numberlowerromanindent"/>
      </w:pPr>
      <w:r w:rsidRPr="00C24830">
        <w:lastRenderedPageBreak/>
        <w:t>Your application must demonstrate the alignment between your project, the core principles of the Gender Equality Act 2020, and the role of the Commission and Commissioner. Your project must clearly align with the publicly stated goals and values of the above and demonstrate clear links to the Victorian context.</w:t>
      </w:r>
    </w:p>
    <w:p w14:paraId="3BD123D2" w14:textId="77777777" w:rsidR="00933796" w:rsidRPr="00933796" w:rsidRDefault="00933796" w:rsidP="00C24830">
      <w:pPr>
        <w:pStyle w:val="Numberlowerromanindent"/>
        <w:rPr>
          <w:szCs w:val="21"/>
        </w:rPr>
      </w:pPr>
      <w:r w:rsidRPr="00C24830">
        <w:t>Your</w:t>
      </w:r>
      <w:r w:rsidRPr="00933796">
        <w:rPr>
          <w:szCs w:val="21"/>
        </w:rPr>
        <w:t xml:space="preserve"> proposed project must apply a structural gender lens in its approach and address relevant questions of intersectionality.</w:t>
      </w:r>
    </w:p>
    <w:p w14:paraId="61581531" w14:textId="77777777" w:rsidR="00933796" w:rsidRPr="00933796" w:rsidRDefault="00933796" w:rsidP="00C24830">
      <w:pPr>
        <w:pStyle w:val="Numberdigit"/>
      </w:pPr>
      <w:r w:rsidRPr="00933796">
        <w:t>Track record and capability:</w:t>
      </w:r>
    </w:p>
    <w:p w14:paraId="0B31D3D8" w14:textId="309E87F5" w:rsidR="00933796" w:rsidRPr="00C24830" w:rsidRDefault="00933796" w:rsidP="00C24830">
      <w:pPr>
        <w:pStyle w:val="Numberlowerromanindent"/>
      </w:pPr>
      <w:r w:rsidRPr="00C24830">
        <w:t xml:space="preserve">You must demonstrate the relevant expertise </w:t>
      </w:r>
      <w:r w:rsidR="007E1E7F" w:rsidRPr="00C24830">
        <w:t>to execute your proposed project successfully</w:t>
      </w:r>
      <w:r w:rsidRPr="00C24830">
        <w:t>. You will be assessed based upon your prior academic performance, and, if relevant, your professional qualifications and experience.</w:t>
      </w:r>
    </w:p>
    <w:p w14:paraId="1198AD2F" w14:textId="4CD29912" w:rsidR="00933796" w:rsidRPr="00933796" w:rsidRDefault="00933796" w:rsidP="00C24830">
      <w:pPr>
        <w:pStyle w:val="Numberlowerromanindent"/>
        <w:rPr>
          <w:szCs w:val="21"/>
        </w:rPr>
      </w:pPr>
      <w:r w:rsidRPr="00C24830">
        <w:t>You must demonstrate gender equality expertise and ideally a sound understanding of workplace gender equality. Evidence of your understanding of intersectional gender equality will</w:t>
      </w:r>
      <w:r w:rsidRPr="00933796">
        <w:rPr>
          <w:szCs w:val="21"/>
        </w:rPr>
        <w:t xml:space="preserve"> be </w:t>
      </w:r>
      <w:r w:rsidR="00032DC4">
        <w:rPr>
          <w:szCs w:val="21"/>
        </w:rPr>
        <w:t>viewed</w:t>
      </w:r>
      <w:r w:rsidRPr="00933796">
        <w:rPr>
          <w:szCs w:val="21"/>
        </w:rPr>
        <w:t xml:space="preserve"> favourably. </w:t>
      </w:r>
    </w:p>
    <w:p w14:paraId="2938A1E4" w14:textId="77777777" w:rsidR="00933796" w:rsidRPr="00933796" w:rsidRDefault="00933796" w:rsidP="00C24830">
      <w:pPr>
        <w:pStyle w:val="Numberdigit"/>
        <w:rPr>
          <w:u w:val="single"/>
        </w:rPr>
      </w:pPr>
      <w:r w:rsidRPr="00933796">
        <w:t>Motivation and capacity to complete candidature in a timely manner.</w:t>
      </w:r>
    </w:p>
    <w:p w14:paraId="7CA77C0B" w14:textId="464723ED" w:rsidR="00933796" w:rsidRPr="00C24830" w:rsidRDefault="00933796" w:rsidP="00C24830">
      <w:pPr>
        <w:pStyle w:val="Numberlowerromanindent"/>
      </w:pPr>
      <w:r w:rsidRPr="00933796">
        <w:rPr>
          <w:szCs w:val="21"/>
        </w:rPr>
        <w:t xml:space="preserve">If not already secured, your application must demonstrate your competitiveness for enrolment </w:t>
      </w:r>
      <w:r w:rsidRPr="00C24830">
        <w:t xml:space="preserve">in a PhD course at an </w:t>
      </w:r>
      <w:r w:rsidR="00D94DBF" w:rsidRPr="00C24830">
        <w:t>Australian-based</w:t>
      </w:r>
      <w:r w:rsidRPr="00C24830">
        <w:t xml:space="preserve"> university.</w:t>
      </w:r>
    </w:p>
    <w:p w14:paraId="404EB87E" w14:textId="77777777" w:rsidR="00933796" w:rsidRPr="00933796" w:rsidRDefault="00933796" w:rsidP="00C24830">
      <w:pPr>
        <w:pStyle w:val="Numberlowerromanindent"/>
        <w:rPr>
          <w:szCs w:val="21"/>
          <w:u w:val="single"/>
        </w:rPr>
      </w:pPr>
      <w:r w:rsidRPr="00C24830">
        <w:t>Your</w:t>
      </w:r>
      <w:r w:rsidRPr="00933796">
        <w:rPr>
          <w:szCs w:val="21"/>
        </w:rPr>
        <w:t xml:space="preserve"> application must demonstrate your ability to self-fund your research and/or your competitiveness for an </w:t>
      </w:r>
      <w:hyperlink r:id="rId20" w:history="1">
        <w:r w:rsidRPr="00933796">
          <w:rPr>
            <w:rStyle w:val="Hyperlink"/>
            <w:szCs w:val="21"/>
          </w:rPr>
          <w:t>Australian Government Research Training Program scholarship</w:t>
        </w:r>
      </w:hyperlink>
      <w:r w:rsidRPr="00933796">
        <w:rPr>
          <w:szCs w:val="21"/>
        </w:rPr>
        <w:t>.</w:t>
      </w: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6516"/>
        <w:gridCol w:w="3544"/>
      </w:tblGrid>
      <w:tr w:rsidR="00933796" w:rsidRPr="00933796" w14:paraId="22394A89" w14:textId="77777777" w:rsidTr="00C24830">
        <w:tc>
          <w:tcPr>
            <w:tcW w:w="6516" w:type="dxa"/>
          </w:tcPr>
          <w:p w14:paraId="0F58BC9B" w14:textId="77777777" w:rsidR="00933796" w:rsidRPr="00EB12C0" w:rsidRDefault="00933796" w:rsidP="00C24830">
            <w:pPr>
              <w:pStyle w:val="Tablecolhead"/>
            </w:pPr>
            <w:r w:rsidRPr="00EB12C0">
              <w:t>Criterion</w:t>
            </w:r>
          </w:p>
        </w:tc>
        <w:tc>
          <w:tcPr>
            <w:tcW w:w="3544" w:type="dxa"/>
          </w:tcPr>
          <w:p w14:paraId="5A484985" w14:textId="77777777" w:rsidR="00933796" w:rsidRPr="00EB12C0" w:rsidRDefault="00933796" w:rsidP="00C24830">
            <w:pPr>
              <w:pStyle w:val="Tablecolhead"/>
            </w:pPr>
            <w:r w:rsidRPr="00EB12C0">
              <w:t>Weighting</w:t>
            </w:r>
          </w:p>
        </w:tc>
      </w:tr>
      <w:tr w:rsidR="00933796" w:rsidRPr="00933796" w14:paraId="4A1C0649" w14:textId="77777777" w:rsidTr="00C24830">
        <w:tc>
          <w:tcPr>
            <w:tcW w:w="6516" w:type="dxa"/>
          </w:tcPr>
          <w:p w14:paraId="0AED2DBC" w14:textId="6C83B6B4" w:rsidR="00933796" w:rsidRPr="00EB12C0" w:rsidRDefault="00933796" w:rsidP="00C24830">
            <w:pPr>
              <w:pStyle w:val="Tabletext"/>
            </w:pPr>
            <w:r w:rsidRPr="00EB12C0">
              <w:t>P</w:t>
            </w:r>
            <w:r w:rsidR="00EA2036" w:rsidRPr="00EB12C0">
              <w:t>roject</w:t>
            </w:r>
            <w:r w:rsidRPr="00EB12C0">
              <w:t xml:space="preserve"> quality, viability and alignment with the goals and values of the Act and the Commission</w:t>
            </w:r>
          </w:p>
        </w:tc>
        <w:tc>
          <w:tcPr>
            <w:tcW w:w="3544" w:type="dxa"/>
            <w:vAlign w:val="center"/>
          </w:tcPr>
          <w:p w14:paraId="48002F1B" w14:textId="77777777" w:rsidR="00933796" w:rsidRPr="00EB12C0" w:rsidRDefault="00933796" w:rsidP="00C24830">
            <w:pPr>
              <w:pStyle w:val="Tabletext"/>
            </w:pPr>
            <w:r w:rsidRPr="00EB12C0">
              <w:t>50%</w:t>
            </w:r>
          </w:p>
        </w:tc>
      </w:tr>
      <w:tr w:rsidR="00933796" w:rsidRPr="00933796" w14:paraId="340DCBBF" w14:textId="77777777" w:rsidTr="00C24830">
        <w:tc>
          <w:tcPr>
            <w:tcW w:w="6516" w:type="dxa"/>
          </w:tcPr>
          <w:p w14:paraId="3029F271" w14:textId="77777777" w:rsidR="00933796" w:rsidRPr="00EB12C0" w:rsidRDefault="00933796" w:rsidP="00C24830">
            <w:pPr>
              <w:pStyle w:val="Tabletext"/>
            </w:pPr>
            <w:r w:rsidRPr="00EB12C0">
              <w:t>Track record and capability</w:t>
            </w:r>
          </w:p>
        </w:tc>
        <w:tc>
          <w:tcPr>
            <w:tcW w:w="3544" w:type="dxa"/>
            <w:vAlign w:val="center"/>
          </w:tcPr>
          <w:p w14:paraId="54469D4F" w14:textId="77777777" w:rsidR="00933796" w:rsidRPr="00EB12C0" w:rsidRDefault="00933796" w:rsidP="00C24830">
            <w:pPr>
              <w:pStyle w:val="Tabletext"/>
            </w:pPr>
            <w:r w:rsidRPr="00EB12C0">
              <w:t>30%</w:t>
            </w:r>
          </w:p>
        </w:tc>
      </w:tr>
      <w:tr w:rsidR="00933796" w:rsidRPr="00933796" w14:paraId="1993CC92" w14:textId="77777777" w:rsidTr="00C24830">
        <w:tc>
          <w:tcPr>
            <w:tcW w:w="6516" w:type="dxa"/>
          </w:tcPr>
          <w:p w14:paraId="104E3562" w14:textId="77777777" w:rsidR="00933796" w:rsidRPr="00EB12C0" w:rsidRDefault="00933796" w:rsidP="00C24830">
            <w:pPr>
              <w:pStyle w:val="Tabletext"/>
            </w:pPr>
            <w:r w:rsidRPr="00EB12C0">
              <w:t>Motivation and capacity to complete candidature in a timely manner</w:t>
            </w:r>
          </w:p>
        </w:tc>
        <w:tc>
          <w:tcPr>
            <w:tcW w:w="3544" w:type="dxa"/>
            <w:vAlign w:val="center"/>
          </w:tcPr>
          <w:p w14:paraId="23629FA9" w14:textId="77777777" w:rsidR="00933796" w:rsidRPr="00EB12C0" w:rsidRDefault="00933796" w:rsidP="00C24830">
            <w:pPr>
              <w:pStyle w:val="Tabletext"/>
            </w:pPr>
            <w:r w:rsidRPr="00EB12C0">
              <w:t>20%</w:t>
            </w:r>
          </w:p>
        </w:tc>
      </w:tr>
    </w:tbl>
    <w:p w14:paraId="012F9408" w14:textId="77777777" w:rsidR="00933796" w:rsidRPr="00933796" w:rsidRDefault="00933796" w:rsidP="00ED52E9">
      <w:pPr>
        <w:pStyle w:val="Heading2"/>
      </w:pPr>
      <w:bookmarkStart w:id="30" w:name="_Toc207178375"/>
      <w:bookmarkStart w:id="31" w:name="_Toc207180542"/>
      <w:r w:rsidRPr="00933796">
        <w:t>Onboarding</w:t>
      </w:r>
      <w:bookmarkEnd w:id="30"/>
      <w:bookmarkEnd w:id="31"/>
    </w:p>
    <w:p w14:paraId="5026298D" w14:textId="790B6F50" w:rsidR="00FB1B38" w:rsidRDefault="00FB1B38" w:rsidP="00933796">
      <w:pPr>
        <w:pStyle w:val="Body"/>
        <w:rPr>
          <w:szCs w:val="21"/>
        </w:rPr>
      </w:pPr>
      <w:r>
        <w:rPr>
          <w:szCs w:val="21"/>
        </w:rPr>
        <w:t>Before</w:t>
      </w:r>
      <w:r w:rsidR="00933796" w:rsidRPr="00933796">
        <w:rPr>
          <w:szCs w:val="21"/>
        </w:rPr>
        <w:t xml:space="preserve"> commencing their engagement with the Commission, the successful applicant </w:t>
      </w:r>
      <w:r>
        <w:rPr>
          <w:szCs w:val="21"/>
        </w:rPr>
        <w:t>must:</w:t>
      </w:r>
    </w:p>
    <w:p w14:paraId="297FD740" w14:textId="46BA5163" w:rsidR="00987A0E" w:rsidRDefault="00933796" w:rsidP="00C24830">
      <w:pPr>
        <w:pStyle w:val="Bullet1"/>
      </w:pPr>
      <w:r w:rsidRPr="00933796">
        <w:t>complete DFFH induction paperwork</w:t>
      </w:r>
    </w:p>
    <w:p w14:paraId="28443C20" w14:textId="01CED493" w:rsidR="00BC75FA" w:rsidRPr="00BC75FA" w:rsidRDefault="00933796" w:rsidP="00C24830">
      <w:pPr>
        <w:pStyle w:val="Bullet1"/>
      </w:pPr>
      <w:r w:rsidRPr="00933796">
        <w:t>provide documentation</w:t>
      </w:r>
      <w:r w:rsidR="00987A0E">
        <w:t>,</w:t>
      </w:r>
      <w:r w:rsidRPr="00933796">
        <w:t xml:space="preserve"> including a valid police check certificate. </w:t>
      </w:r>
    </w:p>
    <w:p w14:paraId="16611097" w14:textId="494630E5" w:rsidR="00933796" w:rsidRPr="00924642" w:rsidRDefault="00BC75FA" w:rsidP="00C24830">
      <w:pPr>
        <w:pStyle w:val="Bodyafterbullets"/>
        <w:rPr>
          <w:lang w:val="en-US"/>
        </w:rPr>
      </w:pPr>
      <w:r w:rsidRPr="00BC75FA">
        <w:t>The student’s university will also need to sign a Student Placement Agreement with DFFH. This process will begin once the student is notified of acceptance.</w:t>
      </w:r>
    </w:p>
    <w:p w14:paraId="65203424" w14:textId="24CEA213" w:rsidR="00BC75FA" w:rsidRPr="00BC75FA" w:rsidRDefault="00EA2036" w:rsidP="00924642">
      <w:pPr>
        <w:pStyle w:val="Heading2"/>
        <w:rPr>
          <w:lang w:val="en-US"/>
        </w:rPr>
      </w:pPr>
      <w:bookmarkStart w:id="32" w:name="_Toc207178376"/>
      <w:bookmarkStart w:id="33" w:name="_Toc207180543"/>
      <w:r>
        <w:rPr>
          <w:lang w:val="en-US"/>
        </w:rPr>
        <w:t xml:space="preserve">Key </w:t>
      </w:r>
      <w:r w:rsidR="0066064F">
        <w:rPr>
          <w:lang w:val="en-US"/>
        </w:rPr>
        <w:t>D</w:t>
      </w:r>
      <w:r w:rsidR="00BC75FA">
        <w:rPr>
          <w:lang w:val="en-US"/>
        </w:rPr>
        <w:t>ates</w:t>
      </w:r>
      <w:bookmarkEnd w:id="32"/>
      <w:bookmarkEnd w:id="33"/>
    </w:p>
    <w:p w14:paraId="24C630C5" w14:textId="262C876C" w:rsidR="00933796" w:rsidRPr="00933796" w:rsidRDefault="00933796" w:rsidP="00924642">
      <w:pPr>
        <w:pStyle w:val="Body"/>
        <w:rPr>
          <w:szCs w:val="21"/>
          <w:lang w:val="en-US"/>
        </w:rPr>
      </w:pPr>
      <w:r w:rsidRPr="00933796">
        <w:rPr>
          <w:szCs w:val="21"/>
          <w:lang w:val="en-US"/>
        </w:rPr>
        <w:t>Applications are welcome at any time</w:t>
      </w:r>
      <w:r w:rsidR="009D01A9">
        <w:rPr>
          <w:szCs w:val="21"/>
          <w:lang w:val="en-US"/>
        </w:rPr>
        <w:t>,</w:t>
      </w:r>
      <w:r w:rsidRPr="00933796">
        <w:rPr>
          <w:szCs w:val="21"/>
          <w:lang w:val="en-US"/>
        </w:rPr>
        <w:t xml:space="preserve"> and applicant assessment will occur on a rolling basis. </w:t>
      </w:r>
    </w:p>
    <w:p w14:paraId="6249CD15" w14:textId="77777777" w:rsidR="00933796" w:rsidRDefault="00933796" w:rsidP="00924642">
      <w:pPr>
        <w:pStyle w:val="Body"/>
        <w:rPr>
          <w:szCs w:val="21"/>
          <w:lang w:val="en-US"/>
        </w:rPr>
      </w:pPr>
      <w:r w:rsidRPr="00933796">
        <w:rPr>
          <w:szCs w:val="21"/>
          <w:lang w:val="en-US"/>
        </w:rPr>
        <w:t xml:space="preserve">However, it is preferred that candidates align their application to the CGEPS PhD Program with their candidature commencement date. </w:t>
      </w:r>
    </w:p>
    <w:p w14:paraId="4E230C5F" w14:textId="15540FE1" w:rsidR="00670526" w:rsidRPr="00670526" w:rsidRDefault="00670526" w:rsidP="00670526">
      <w:pPr>
        <w:pStyle w:val="Body"/>
        <w:rPr>
          <w:szCs w:val="21"/>
        </w:rPr>
      </w:pPr>
      <w:r w:rsidRPr="00670526">
        <w:rPr>
          <w:szCs w:val="21"/>
        </w:rPr>
        <w:t>Preferred timelines:</w:t>
      </w:r>
    </w:p>
    <w:p w14:paraId="319E665D" w14:textId="7C7BDBD5" w:rsidR="00670526" w:rsidRPr="00670526" w:rsidRDefault="00670526" w:rsidP="00C24830">
      <w:pPr>
        <w:pStyle w:val="Bullet1"/>
        <w:rPr>
          <w:szCs w:val="21"/>
        </w:rPr>
      </w:pPr>
      <w:r w:rsidRPr="00670526">
        <w:rPr>
          <w:szCs w:val="21"/>
        </w:rPr>
        <w:t>Candidates starting</w:t>
      </w:r>
      <w:r w:rsidRPr="00924642">
        <w:t xml:space="preserve"> in </w:t>
      </w:r>
      <w:r w:rsidRPr="00670526">
        <w:rPr>
          <w:szCs w:val="21"/>
        </w:rPr>
        <w:t>Semester</w:t>
      </w:r>
      <w:r w:rsidRPr="00924642">
        <w:t xml:space="preserve"> 1 should </w:t>
      </w:r>
      <w:r w:rsidRPr="00670526">
        <w:rPr>
          <w:szCs w:val="21"/>
        </w:rPr>
        <w:t>apply</w:t>
      </w:r>
      <w:r w:rsidRPr="00924642">
        <w:t xml:space="preserve"> by 31 October </w:t>
      </w:r>
      <w:r w:rsidRPr="00670526">
        <w:rPr>
          <w:szCs w:val="21"/>
        </w:rPr>
        <w:t xml:space="preserve">of </w:t>
      </w:r>
      <w:r w:rsidRPr="00924642">
        <w:t>the year before</w:t>
      </w:r>
      <w:r w:rsidRPr="00670526">
        <w:rPr>
          <w:szCs w:val="21"/>
        </w:rPr>
        <w:t>.</w:t>
      </w:r>
    </w:p>
    <w:p w14:paraId="24C9CD10" w14:textId="405A1939" w:rsidR="00670526" w:rsidRPr="00924642" w:rsidRDefault="00670526" w:rsidP="00C24830">
      <w:pPr>
        <w:pStyle w:val="Bullet1"/>
      </w:pPr>
      <w:r w:rsidRPr="00670526">
        <w:rPr>
          <w:szCs w:val="21"/>
        </w:rPr>
        <w:t>Candidates starting</w:t>
      </w:r>
      <w:r w:rsidRPr="00924642">
        <w:t xml:space="preserve"> in </w:t>
      </w:r>
      <w:r w:rsidRPr="00670526">
        <w:rPr>
          <w:szCs w:val="21"/>
        </w:rPr>
        <w:t>Semester</w:t>
      </w:r>
      <w:r w:rsidRPr="00924642">
        <w:t xml:space="preserve"> 2 should </w:t>
      </w:r>
      <w:r w:rsidRPr="00670526">
        <w:rPr>
          <w:szCs w:val="21"/>
        </w:rPr>
        <w:t>apply</w:t>
      </w:r>
      <w:r w:rsidRPr="00924642">
        <w:t xml:space="preserve"> by 30 April </w:t>
      </w:r>
      <w:r w:rsidRPr="00670526">
        <w:rPr>
          <w:szCs w:val="21"/>
        </w:rPr>
        <w:t>of</w:t>
      </w:r>
      <w:r w:rsidRPr="00924642">
        <w:t xml:space="preserve"> the same year.</w:t>
      </w:r>
    </w:p>
    <w:p w14:paraId="6CCC9908" w14:textId="5B86677D" w:rsidR="00670526" w:rsidRPr="00670526" w:rsidRDefault="00670526" w:rsidP="00C24830">
      <w:pPr>
        <w:pStyle w:val="Bodyafterbullets"/>
      </w:pPr>
      <w:r w:rsidRPr="00670526">
        <w:t>Acceptance outside these times is at the discretion of the Commissioner.</w:t>
      </w:r>
    </w:p>
    <w:p w14:paraId="5821D258" w14:textId="77777777" w:rsidR="00933796" w:rsidRPr="00924642" w:rsidRDefault="00933796" w:rsidP="00924642">
      <w:pPr>
        <w:pStyle w:val="Heading2"/>
        <w:rPr>
          <w:rFonts w:eastAsia="MS Gothic"/>
          <w:sz w:val="28"/>
          <w:szCs w:val="26"/>
          <w:lang w:val="en-US"/>
        </w:rPr>
      </w:pPr>
      <w:bookmarkStart w:id="34" w:name="_Toc207178377"/>
      <w:bookmarkStart w:id="35" w:name="_Toc207180544"/>
      <w:r w:rsidRPr="00933796">
        <w:rPr>
          <w:lang w:val="en-US"/>
        </w:rPr>
        <w:lastRenderedPageBreak/>
        <w:t>How to apply</w:t>
      </w:r>
      <w:bookmarkEnd w:id="34"/>
      <w:bookmarkEnd w:id="35"/>
    </w:p>
    <w:p w14:paraId="1E4D6528" w14:textId="32F4DBE5" w:rsidR="00BA79DF" w:rsidRPr="00924642" w:rsidRDefault="00C24830" w:rsidP="00BA79DF">
      <w:pPr>
        <w:pStyle w:val="Body"/>
        <w:rPr>
          <w:szCs w:val="21"/>
        </w:rPr>
      </w:pPr>
      <w:r>
        <w:rPr>
          <w:szCs w:val="21"/>
        </w:rPr>
        <w:t>We prefer</w:t>
      </w:r>
      <w:r w:rsidR="00D655D1">
        <w:rPr>
          <w:szCs w:val="21"/>
        </w:rPr>
        <w:t xml:space="preserve"> that applicants discuss</w:t>
      </w:r>
      <w:r w:rsidR="00BA79DF" w:rsidRPr="00933796">
        <w:rPr>
          <w:szCs w:val="21"/>
        </w:rPr>
        <w:t xml:space="preserve"> their application</w:t>
      </w:r>
      <w:r w:rsidR="00BA79DF">
        <w:rPr>
          <w:szCs w:val="21"/>
        </w:rPr>
        <w:t xml:space="preserve"> </w:t>
      </w:r>
      <w:r w:rsidR="00BA79DF" w:rsidRPr="00933796">
        <w:rPr>
          <w:szCs w:val="21"/>
        </w:rPr>
        <w:t>with the Commission team</w:t>
      </w:r>
      <w:r w:rsidR="00D655D1">
        <w:rPr>
          <w:szCs w:val="21"/>
        </w:rPr>
        <w:t xml:space="preserve"> before applying. Please contact </w:t>
      </w:r>
      <w:r w:rsidR="00A71620">
        <w:rPr>
          <w:szCs w:val="21"/>
        </w:rPr>
        <w:t xml:space="preserve">Dr </w:t>
      </w:r>
      <w:r w:rsidR="00BA79DF" w:rsidRPr="00933796">
        <w:rPr>
          <w:szCs w:val="21"/>
        </w:rPr>
        <w:t xml:space="preserve">Kate Farhall and Dr Jessica Megarry via </w:t>
      </w:r>
      <w:r w:rsidR="00F147F3">
        <w:rPr>
          <w:szCs w:val="21"/>
        </w:rPr>
        <w:t xml:space="preserve">this email: </w:t>
      </w:r>
      <w:hyperlink r:id="rId21" w:history="1">
        <w:r w:rsidR="002234C5" w:rsidRPr="00FA69F2">
          <w:rPr>
            <w:rStyle w:val="Hyperlink"/>
            <w:szCs w:val="21"/>
          </w:rPr>
          <w:t>enquiries@genderequalitycommission.vic.gov.au</w:t>
        </w:r>
      </w:hyperlink>
    </w:p>
    <w:p w14:paraId="2C521E0F" w14:textId="32E2C194" w:rsidR="00933796" w:rsidRPr="00933796" w:rsidRDefault="00205FB4" w:rsidP="00933796">
      <w:pPr>
        <w:pStyle w:val="Body"/>
        <w:rPr>
          <w:szCs w:val="21"/>
        </w:rPr>
      </w:pPr>
      <w:r>
        <w:rPr>
          <w:szCs w:val="21"/>
        </w:rPr>
        <w:t>S</w:t>
      </w:r>
      <w:r w:rsidR="00933796" w:rsidRPr="00933796">
        <w:rPr>
          <w:szCs w:val="21"/>
        </w:rPr>
        <w:t>ubmit</w:t>
      </w:r>
      <w:r w:rsidR="006246D7">
        <w:rPr>
          <w:szCs w:val="21"/>
        </w:rPr>
        <w:t xml:space="preserve"> </w:t>
      </w:r>
      <w:r w:rsidR="00933796" w:rsidRPr="00933796">
        <w:rPr>
          <w:szCs w:val="21"/>
        </w:rPr>
        <w:t xml:space="preserve">as a </w:t>
      </w:r>
      <w:r w:rsidR="00933796" w:rsidRPr="00924642">
        <w:rPr>
          <w:b/>
        </w:rPr>
        <w:t>single PDF:</w:t>
      </w:r>
    </w:p>
    <w:p w14:paraId="6557EE81" w14:textId="289FD763" w:rsidR="00933796" w:rsidRPr="00933796" w:rsidRDefault="00933796" w:rsidP="00924642">
      <w:pPr>
        <w:pStyle w:val="Bullet1"/>
      </w:pPr>
      <w:r w:rsidRPr="00933796">
        <w:t xml:space="preserve">the CGEPS PhD Program Application Form, </w:t>
      </w:r>
      <w:hyperlink r:id="rId22" w:history="1">
        <w:r w:rsidRPr="00933796">
          <w:rPr>
            <w:rStyle w:val="Hyperlink"/>
            <w:szCs w:val="21"/>
          </w:rPr>
          <w:t>available here</w:t>
        </w:r>
      </w:hyperlink>
    </w:p>
    <w:p w14:paraId="7965A885" w14:textId="0140719B" w:rsidR="00933796" w:rsidRPr="00933796" w:rsidRDefault="00933796" w:rsidP="00924642">
      <w:pPr>
        <w:pStyle w:val="Bullet1"/>
      </w:pPr>
      <w:r w:rsidRPr="00933796">
        <w:t>a full academic transcript</w:t>
      </w:r>
    </w:p>
    <w:p w14:paraId="4BFEF877" w14:textId="2052EECC" w:rsidR="00933796" w:rsidRPr="00933796" w:rsidRDefault="00933796" w:rsidP="00924642">
      <w:pPr>
        <w:pStyle w:val="Bullet1"/>
      </w:pPr>
      <w:r w:rsidRPr="00933796">
        <w:t>a CV (maximum 2 pages)</w:t>
      </w:r>
    </w:p>
    <w:p w14:paraId="68F3D105" w14:textId="55721EBF" w:rsidR="007A243B" w:rsidRDefault="00933796" w:rsidP="00924642">
      <w:pPr>
        <w:pStyle w:val="Bullet1"/>
      </w:pPr>
      <w:r w:rsidRPr="00933796">
        <w:t>a short writing sample (maximum 5000 words)</w:t>
      </w:r>
      <w:r w:rsidR="007A243B">
        <w:t xml:space="preserve"> </w:t>
      </w:r>
      <w:r w:rsidR="007A243B" w:rsidRPr="00B975A5">
        <w:t xml:space="preserve">with a </w:t>
      </w:r>
      <w:r w:rsidR="00B975A5" w:rsidRPr="00B975A5">
        <w:t xml:space="preserve">short </w:t>
      </w:r>
      <w:r w:rsidR="007A243B" w:rsidRPr="00B975A5">
        <w:t xml:space="preserve">note on context (e.g. from Honours or </w:t>
      </w:r>
      <w:r w:rsidR="00EA2036">
        <w:t>Masters</w:t>
      </w:r>
      <w:r w:rsidR="007A243B" w:rsidRPr="00B975A5">
        <w:t xml:space="preserve"> thesis, or recent paper/essay).</w:t>
      </w:r>
    </w:p>
    <w:p w14:paraId="7668ED53" w14:textId="77777777" w:rsidR="00933796" w:rsidRPr="00933796" w:rsidRDefault="00933796" w:rsidP="00C24830">
      <w:pPr>
        <w:pStyle w:val="Bodyafterbullets"/>
      </w:pPr>
      <w:r w:rsidRPr="00933796">
        <w:t xml:space="preserve">Applicants should complete all parts of the CGEPS PhD Program Application Form, adhering to word limits where given, as well as all other directions stated on the form. All information on the application form must be correct at the time of submission. </w:t>
      </w:r>
    </w:p>
    <w:p w14:paraId="7853A015" w14:textId="0AB54664" w:rsidR="0083231A" w:rsidRPr="00924642" w:rsidRDefault="00933796" w:rsidP="00933796">
      <w:pPr>
        <w:pStyle w:val="Body"/>
        <w:rPr>
          <w:b/>
        </w:rPr>
      </w:pPr>
      <w:r w:rsidRPr="00933796">
        <w:rPr>
          <w:szCs w:val="21"/>
        </w:rPr>
        <w:t xml:space="preserve">Applications will be </w:t>
      </w:r>
      <w:r w:rsidRPr="004D6D17">
        <w:rPr>
          <w:szCs w:val="21"/>
        </w:rPr>
        <w:t xml:space="preserve">assessed solely on the information in the application. </w:t>
      </w:r>
      <w:r w:rsidR="0083231A" w:rsidRPr="004D6D17">
        <w:rPr>
          <w:szCs w:val="21"/>
        </w:rPr>
        <w:t xml:space="preserve">Links to external documents (URLs) will not be </w:t>
      </w:r>
      <w:r w:rsidR="00666549" w:rsidRPr="004D6D17">
        <w:rPr>
          <w:szCs w:val="21"/>
        </w:rPr>
        <w:t>assessed</w:t>
      </w:r>
      <w:r w:rsidR="0083231A" w:rsidRPr="004D6D17">
        <w:rPr>
          <w:szCs w:val="21"/>
        </w:rPr>
        <w:t>.</w:t>
      </w:r>
    </w:p>
    <w:p w14:paraId="7B6D4426" w14:textId="77777777" w:rsidR="00933796" w:rsidRPr="00933796" w:rsidRDefault="00933796" w:rsidP="00933796">
      <w:pPr>
        <w:pStyle w:val="Body"/>
        <w:rPr>
          <w:szCs w:val="21"/>
        </w:rPr>
      </w:pPr>
      <w:r w:rsidRPr="00933796">
        <w:rPr>
          <w:szCs w:val="21"/>
          <w:lang w:val="en-US"/>
        </w:rPr>
        <w:t xml:space="preserve">Please combine your application form, your academic transcript, your CV and your writing sample as a single PDF. </w:t>
      </w:r>
    </w:p>
    <w:p w14:paraId="29DC5CF1" w14:textId="675A12F0" w:rsidR="00933796" w:rsidRPr="00933796" w:rsidRDefault="00E0525F" w:rsidP="00924642">
      <w:pPr>
        <w:pStyle w:val="Body"/>
        <w:rPr>
          <w:szCs w:val="21"/>
        </w:rPr>
      </w:pPr>
      <w:r>
        <w:rPr>
          <w:szCs w:val="21"/>
          <w:lang w:val="en-US"/>
        </w:rPr>
        <w:t>E</w:t>
      </w:r>
      <w:r w:rsidR="00933796" w:rsidRPr="00933796">
        <w:rPr>
          <w:szCs w:val="21"/>
          <w:lang w:val="en-US"/>
        </w:rPr>
        <w:t xml:space="preserve">mail your completed application to: </w:t>
      </w:r>
      <w:hyperlink r:id="rId23" w:history="1">
        <w:r w:rsidR="00933796" w:rsidRPr="00933796">
          <w:rPr>
            <w:rStyle w:val="Hyperlink"/>
            <w:szCs w:val="21"/>
            <w:lang w:val="en-US"/>
          </w:rPr>
          <w:t>enquiries@genderequalitycommission.vic.gov.au</w:t>
        </w:r>
      </w:hyperlink>
    </w:p>
    <w:p w14:paraId="6135B8F5" w14:textId="77777777" w:rsidR="007B36B4" w:rsidRDefault="007B36B4" w:rsidP="00440FAD">
      <w:pPr>
        <w:pStyle w:val="Heading1"/>
      </w:pPr>
      <w:bookmarkStart w:id="36" w:name="_Toc207178378"/>
      <w:bookmarkStart w:id="37" w:name="_Toc207180545"/>
      <w:bookmarkEnd w:id="6"/>
      <w:r>
        <w:t>Collection Notice</w:t>
      </w:r>
      <w:bookmarkEnd w:id="36"/>
      <w:bookmarkEnd w:id="37"/>
    </w:p>
    <w:p w14:paraId="3F33FA48" w14:textId="77777777" w:rsidR="0061487F" w:rsidRPr="00924642" w:rsidRDefault="0061487F" w:rsidP="007B36B4">
      <w:pPr>
        <w:pStyle w:val="Heading2"/>
      </w:pPr>
      <w:bookmarkStart w:id="38" w:name="_Toc207178379"/>
      <w:bookmarkStart w:id="39" w:name="_Toc207180546"/>
      <w:r w:rsidRPr="00924642">
        <w:t>Use of your information:</w:t>
      </w:r>
      <w:bookmarkEnd w:id="38"/>
      <w:bookmarkEnd w:id="39"/>
      <w:r w:rsidRPr="00924642">
        <w:t xml:space="preserve"> </w:t>
      </w:r>
    </w:p>
    <w:p w14:paraId="48156BF4" w14:textId="6723942F" w:rsidR="0061487F" w:rsidRPr="00924642" w:rsidRDefault="0061487F" w:rsidP="00924642">
      <w:pPr>
        <w:pStyle w:val="Body"/>
      </w:pPr>
      <w:r w:rsidRPr="00924642">
        <w:t>Any personal information provided will be handled in accordance with the Privacy and Data Protection Act 2014 (Vic) and any other applicable laws. Enquiries about access to, or correction of, personal information held by the Department of Families, Fairness and Housing (DFFH) should be directed to the Privacy team at DFFH by emailing privacy@dffh.vic.gov.au. Information provided to DFFH on this application form will be used to determine your eligibility, to assess your application and to contact you about your application. The information provided by you will be stored in a secure folder managed by the Commission and will be accessible only by Departmental staff. If you do not provide DFFH with the information on this application form, your PhD program application may be affected, and it may impact the likelihood of a successful outcome. If your PhD program application is successful, your name, project, and university will be published on the Commission’s website</w:t>
      </w:r>
      <w:r>
        <w:rPr>
          <w:szCs w:val="21"/>
        </w:rPr>
        <w:t>,</w:t>
      </w:r>
      <w:r w:rsidRPr="00924642">
        <w:t xml:space="preserve"> other Victorian Government </w:t>
      </w:r>
      <w:r>
        <w:rPr>
          <w:szCs w:val="21"/>
        </w:rPr>
        <w:t>websites</w:t>
      </w:r>
      <w:r w:rsidRPr="00924642">
        <w:t xml:space="preserve"> or </w:t>
      </w:r>
      <w:r>
        <w:rPr>
          <w:szCs w:val="21"/>
        </w:rPr>
        <w:t>publications</w:t>
      </w:r>
      <w:r w:rsidRPr="00924642">
        <w:t xml:space="preserve">. </w:t>
      </w:r>
    </w:p>
    <w:p w14:paraId="78DB5AA3" w14:textId="77777777" w:rsidR="0061487F" w:rsidRPr="00924642" w:rsidRDefault="0061487F" w:rsidP="00924642">
      <w:pPr>
        <w:pStyle w:val="Heading2"/>
      </w:pPr>
      <w:bookmarkStart w:id="40" w:name="_Toc207178380"/>
      <w:bookmarkStart w:id="41" w:name="_Toc207180547"/>
      <w:r w:rsidRPr="00924642">
        <w:t>Sharing of your information:</w:t>
      </w:r>
      <w:bookmarkEnd w:id="40"/>
      <w:bookmarkEnd w:id="41"/>
    </w:p>
    <w:p w14:paraId="123107BE" w14:textId="70A2A69F" w:rsidR="0061487F" w:rsidRPr="00924642" w:rsidRDefault="0061487F" w:rsidP="00924642">
      <w:pPr>
        <w:pStyle w:val="Body"/>
      </w:pPr>
      <w:r w:rsidRPr="00924642">
        <w:t xml:space="preserve">Information provided to DFFH may be shared with other government departments, ministerial offices, and members of Parliament (including key organisation contacts) for the purpose of sending notices or updates on topics of interest such as other funding opportunities, information on community consultations, policy, programs, legislative </w:t>
      </w:r>
      <w:r w:rsidR="002917B2" w:rsidRPr="00924642">
        <w:t>announcements,</w:t>
      </w:r>
      <w:r w:rsidRPr="00924642">
        <w:t xml:space="preserve"> and multicultural information. If you do not wish for your details to be shared with other Victorian government departments, ministerial offices and members of Parliament please email </w:t>
      </w:r>
      <w:r w:rsidRPr="002F30B9">
        <w:rPr>
          <w:szCs w:val="21"/>
        </w:rPr>
        <w:t>enquiries@genderequalitycommission.vic.gov.au</w:t>
      </w:r>
      <w:r w:rsidRPr="00924642">
        <w:t xml:space="preserve"> </w:t>
      </w:r>
    </w:p>
    <w:p w14:paraId="7E02C67B" w14:textId="77777777" w:rsidR="0061487F" w:rsidRPr="002F30B9" w:rsidRDefault="0061487F" w:rsidP="0061487F">
      <w:pPr>
        <w:pStyle w:val="Heading2"/>
      </w:pPr>
      <w:bookmarkStart w:id="42" w:name="_Toc207178381"/>
      <w:bookmarkStart w:id="43" w:name="_Toc207180548"/>
      <w:r w:rsidRPr="002F30B9">
        <w:t>Privacy</w:t>
      </w:r>
      <w:bookmarkEnd w:id="42"/>
      <w:bookmarkEnd w:id="43"/>
    </w:p>
    <w:p w14:paraId="4B85614E" w14:textId="77777777" w:rsidR="0061487F" w:rsidRPr="00924642" w:rsidRDefault="0061487F" w:rsidP="0061487F">
      <w:pPr>
        <w:pStyle w:val="Body"/>
      </w:pPr>
      <w:r w:rsidRPr="00924642">
        <w:t xml:space="preserve">The Department of Families, Fairness and Housing (the department) is committed to protecting your privacy. We collect and handle any personal, sensitive or health information that you have provided in your application, in accordance with the </w:t>
      </w:r>
      <w:r w:rsidRPr="00747B77">
        <w:rPr>
          <w:i/>
          <w:iCs/>
        </w:rPr>
        <w:t>Privacy and Data Protection Act 2014</w:t>
      </w:r>
      <w:r w:rsidRPr="00924642">
        <w:t xml:space="preserve"> (Vic), the </w:t>
      </w:r>
      <w:r w:rsidRPr="00747B77">
        <w:rPr>
          <w:i/>
          <w:iCs/>
        </w:rPr>
        <w:t>Health Records Act 2001</w:t>
      </w:r>
      <w:r w:rsidRPr="00924642">
        <w:t xml:space="preserve"> (Vic), the </w:t>
      </w:r>
      <w:r w:rsidRPr="00747B77">
        <w:rPr>
          <w:i/>
          <w:iCs/>
        </w:rPr>
        <w:t>Public Records Act 1973</w:t>
      </w:r>
      <w:r w:rsidRPr="00924642">
        <w:t xml:space="preserve"> (Vic) and any other applicable laws. </w:t>
      </w:r>
    </w:p>
    <w:p w14:paraId="56F2DAA8" w14:textId="77777777" w:rsidR="0061487F" w:rsidRPr="00924642" w:rsidRDefault="0061487F" w:rsidP="0061487F">
      <w:pPr>
        <w:pStyle w:val="Body"/>
      </w:pPr>
      <w:r w:rsidRPr="00924642">
        <w:lastRenderedPageBreak/>
        <w:t>The information we ask of you is needed for the purpose of administering your application and informing the public of successful applications. If you do not provide us with all the information asked of you, we may be unable to progress with your PhD program application.</w:t>
      </w:r>
    </w:p>
    <w:p w14:paraId="663E1294" w14:textId="4B7D659E" w:rsidR="0061487F" w:rsidRPr="00924642" w:rsidRDefault="0061487F" w:rsidP="0061487F">
      <w:pPr>
        <w:pStyle w:val="Body"/>
      </w:pPr>
      <w:r w:rsidRPr="00924642">
        <w:t>For us to administer your PhD program application effectively and efficiently, we may need to disclose some of the personal information you have disclosed with others for the purpose of assessment, consultation, and reporting. Information we may need to disclose includes you name and contact information</w:t>
      </w:r>
      <w:r w:rsidR="002917B2" w:rsidRPr="00924642">
        <w:t xml:space="preserve">. </w:t>
      </w:r>
      <w:r w:rsidRPr="00924642">
        <w:t xml:space="preserve">The people we may need to disclose the information to includes departmental staff, Members of Parliament and their staff, external experts, such as members of assessment panels, or other government departments. </w:t>
      </w:r>
    </w:p>
    <w:p w14:paraId="5295B3C7" w14:textId="77777777" w:rsidR="0061487F" w:rsidRPr="00924642" w:rsidRDefault="0061487F" w:rsidP="0061487F">
      <w:pPr>
        <w:pStyle w:val="Body"/>
      </w:pPr>
      <w:r w:rsidRPr="00924642">
        <w:t>If you intend to include personal, sensitive or health information about third parties in your application, please ensure that they are aware of the contents of this privacy statement, and consent to you doing so.</w:t>
      </w:r>
    </w:p>
    <w:p w14:paraId="541EBC33" w14:textId="22C4CD29" w:rsidR="0061487F" w:rsidRPr="00924642" w:rsidRDefault="0061487F" w:rsidP="0061487F">
      <w:pPr>
        <w:pStyle w:val="Body"/>
      </w:pPr>
      <w:r w:rsidRPr="00924642">
        <w:t xml:space="preserve">You have a right to request access to, and correction of, your information held by the department, at any time. If you would like a copy of your information, or to have it corrected, please contact </w:t>
      </w:r>
      <w:hyperlink r:id="rId24" w:history="1">
        <w:r w:rsidR="00747B77" w:rsidRPr="00F82D8A">
          <w:rPr>
            <w:rStyle w:val="Hyperlink"/>
            <w:szCs w:val="21"/>
          </w:rPr>
          <w:t>enquiries@genderequalitycommission.vic.gov.au</w:t>
        </w:r>
      </w:hyperlink>
      <w:r w:rsidRPr="002F30B9">
        <w:rPr>
          <w:szCs w:val="21"/>
        </w:rPr>
        <w:t>.</w:t>
      </w:r>
      <w:r w:rsidRPr="00924642">
        <w:t xml:space="preserve"> You can also make a Freedom of Information Request via the department’s website here: </w:t>
      </w:r>
      <w:hyperlink r:id="rId25" w:history="1">
        <w:r w:rsidR="00747B77" w:rsidRPr="00F82D8A">
          <w:rPr>
            <w:rStyle w:val="Hyperlink"/>
            <w:szCs w:val="21"/>
          </w:rPr>
          <w:t>https://www.dffh.vic.gov.au/making-freedom-information-request</w:t>
        </w:r>
      </w:hyperlink>
      <w:r w:rsidRPr="002F30B9">
        <w:rPr>
          <w:szCs w:val="21"/>
        </w:rPr>
        <w:t>.</w:t>
      </w:r>
    </w:p>
    <w:p w14:paraId="3A26C160" w14:textId="7115BAA1" w:rsidR="0061487F" w:rsidRPr="00924642" w:rsidRDefault="0061487F" w:rsidP="0061487F">
      <w:pPr>
        <w:pStyle w:val="Body"/>
      </w:pPr>
      <w:r w:rsidRPr="00924642">
        <w:t xml:space="preserve">Should you have any privacy queries or a complaint about the way your privacy has been handled, please contact the Commission for Gender Equality in the Public Sector (CGEPS) here: </w:t>
      </w:r>
      <w:hyperlink r:id="rId26" w:history="1">
        <w:r w:rsidR="00DF378B" w:rsidRPr="00F82D8A">
          <w:rPr>
            <w:rStyle w:val="Hyperlink"/>
            <w:szCs w:val="21"/>
          </w:rPr>
          <w:t>enquiries@genderequalitycommission.vic.gov.au</w:t>
        </w:r>
      </w:hyperlink>
      <w:r w:rsidR="00DF378B">
        <w:rPr>
          <w:szCs w:val="21"/>
        </w:rPr>
        <w:t xml:space="preserve"> </w:t>
      </w:r>
      <w:r w:rsidRPr="002F30B9">
        <w:rPr>
          <w:szCs w:val="21"/>
        </w:rPr>
        <w:t xml:space="preserve">or email </w:t>
      </w:r>
      <w:hyperlink r:id="rId27" w:history="1">
        <w:r w:rsidR="00DF378B" w:rsidRPr="00F82D8A">
          <w:rPr>
            <w:rStyle w:val="Hyperlink"/>
            <w:szCs w:val="21"/>
          </w:rPr>
          <w:t>privacy@dffh.vic.gov.au</w:t>
        </w:r>
      </w:hyperlink>
      <w:r w:rsidRPr="002F30B9">
        <w:rPr>
          <w:szCs w:val="21"/>
        </w:rPr>
        <w:t>.</w:t>
      </w:r>
      <w:r w:rsidRPr="00924642">
        <w:t xml:space="preserve"> </w:t>
      </w:r>
    </w:p>
    <w:p w14:paraId="7BD55956" w14:textId="556774AA" w:rsidR="0061487F" w:rsidRPr="00924642" w:rsidRDefault="0061487F" w:rsidP="0061487F">
      <w:pPr>
        <w:pStyle w:val="Body"/>
      </w:pPr>
      <w:r w:rsidRPr="00924642">
        <w:t xml:space="preserve">This privacy statement is to be read in conjunction with the department’s privacy policy which can be accessed here: </w:t>
      </w:r>
      <w:hyperlink r:id="rId28" w:history="1">
        <w:r w:rsidR="00DF378B" w:rsidRPr="00F82D8A">
          <w:rPr>
            <w:rStyle w:val="Hyperlink"/>
            <w:szCs w:val="21"/>
          </w:rPr>
          <w:t>https://www.dffh.vic.gov.au/publications/privacy-policy</w:t>
        </w:r>
      </w:hyperlink>
      <w:r w:rsidR="00DF378B">
        <w:rPr>
          <w:szCs w:val="21"/>
        </w:rPr>
        <w:t xml:space="preserve"> </w:t>
      </w:r>
      <w:r w:rsidRPr="00924642">
        <w:t>and the collection notice which you will see when you submit your PhD program application.</w:t>
      </w:r>
    </w:p>
    <w:p w14:paraId="42D133CD" w14:textId="77777777" w:rsidR="0061487F" w:rsidRPr="00DF378B" w:rsidRDefault="0061487F" w:rsidP="00924642">
      <w:pPr>
        <w:pStyle w:val="Body"/>
        <w:rPr>
          <w:b/>
          <w:bCs/>
          <w:szCs w:val="21"/>
        </w:rPr>
      </w:pPr>
      <w:bookmarkStart w:id="44" w:name="_Toc69380381"/>
      <w:bookmarkStart w:id="45" w:name="_Toc69394363"/>
      <w:bookmarkStart w:id="46" w:name="_Toc69828613"/>
      <w:bookmarkStart w:id="47" w:name="_Toc69914706"/>
      <w:bookmarkStart w:id="48" w:name="_Toc70419163"/>
      <w:bookmarkStart w:id="49" w:name="_Toc93669342"/>
      <w:r w:rsidRPr="00DF378B">
        <w:rPr>
          <w:b/>
          <w:bCs/>
          <w:szCs w:val="21"/>
        </w:rPr>
        <w:t>Disclaimer</w:t>
      </w:r>
      <w:bookmarkEnd w:id="44"/>
      <w:bookmarkEnd w:id="45"/>
      <w:bookmarkEnd w:id="46"/>
      <w:bookmarkEnd w:id="47"/>
      <w:bookmarkEnd w:id="48"/>
      <w:bookmarkEnd w:id="49"/>
    </w:p>
    <w:p w14:paraId="6EBD072D" w14:textId="77777777" w:rsidR="0061487F" w:rsidRPr="00924642" w:rsidRDefault="0061487F" w:rsidP="0061487F">
      <w:pPr>
        <w:pStyle w:val="Body"/>
      </w:pPr>
      <w:r w:rsidRPr="00924642">
        <w:t>This publication is provided for information purposes only. No claim is made as to the accuracy or authenticity of the information contained herein.</w:t>
      </w:r>
    </w:p>
    <w:p w14:paraId="64C94307" w14:textId="77777777" w:rsidR="0061487F" w:rsidRPr="00924642" w:rsidRDefault="0061487F" w:rsidP="0061487F">
      <w:pPr>
        <w:pStyle w:val="Body"/>
      </w:pPr>
      <w:r w:rsidRPr="00924642">
        <w:t>Information is provided on the basis that all persons accessing the information undertake responsibility for assessing its relevance and accuracy.</w:t>
      </w:r>
    </w:p>
    <w:p w14:paraId="3749BFBE" w14:textId="702F7929" w:rsidR="0061487F" w:rsidRDefault="0061487F" w:rsidP="0061487F">
      <w:pPr>
        <w:pStyle w:val="Body"/>
      </w:pPr>
      <w:r w:rsidRPr="00924642">
        <w:t>The Department of Families, Fairness and Housing (DFFH) makes no representations, either expressed or implied, as to the suitability of the aid information for a particular purpose and disclaims all liability for any error, loss or other consequences which may arise from you relying on any information in this publication.</w:t>
      </w:r>
    </w:p>
    <w:p w14:paraId="34CF691F" w14:textId="77777777" w:rsidR="00A94FE4" w:rsidRDefault="00A94FE4" w:rsidP="00FD1CBC">
      <w:pPr>
        <w:pStyle w:val="Imprint"/>
      </w:pPr>
    </w:p>
    <w:p w14:paraId="39FFBC1F" w14:textId="23B6BF23" w:rsidR="00FD1CBC" w:rsidRPr="00FE5FD8" w:rsidRDefault="00FD1CBC" w:rsidP="00FD1CBC">
      <w:pPr>
        <w:pStyle w:val="Imprint"/>
      </w:pPr>
      <w:r w:rsidRPr="00FE5FD8">
        <w:t>Authorised and published by the Victorian Government, 1 Treasury Place, Melbourne.</w:t>
      </w:r>
    </w:p>
    <w:p w14:paraId="22E0BED1" w14:textId="6CF5DCC2" w:rsidR="00FD1CBC" w:rsidRPr="00F23B96" w:rsidRDefault="00FD1CBC" w:rsidP="00FD1CBC">
      <w:pPr>
        <w:pStyle w:val="Imprint"/>
      </w:pPr>
      <w:r w:rsidRPr="00FE5FD8">
        <w:t>© State of Victoria,</w:t>
      </w:r>
      <w:r w:rsidRPr="0055119B">
        <w:t xml:space="preserve"> Australia, </w:t>
      </w:r>
      <w:r w:rsidRPr="00C461DD">
        <w:t>Commission for Gender Equality in the Public Sector</w:t>
      </w:r>
      <w:r w:rsidRPr="0055119B">
        <w:t xml:space="preserve">, </w:t>
      </w:r>
      <w:r w:rsidRPr="00F23B96">
        <w:t>August 2025.</w:t>
      </w:r>
    </w:p>
    <w:p w14:paraId="23050B54" w14:textId="77777777" w:rsidR="00FD1CBC" w:rsidRPr="00EA2FFB" w:rsidRDefault="00FD1CBC" w:rsidP="00FD1CBC">
      <w:pPr>
        <w:pStyle w:val="Imprint"/>
        <w:rPr>
          <w:color w:val="87189D"/>
        </w:rPr>
      </w:pPr>
      <w:r w:rsidRPr="00EA2FFB">
        <w:rPr>
          <w:noProof/>
          <w:color w:val="87189D"/>
        </w:rPr>
        <w:drawing>
          <wp:inline distT="0" distB="0" distL="0" distR="0" wp14:anchorId="3B652FA5" wp14:editId="33E1B026">
            <wp:extent cx="1219200" cy="419100"/>
            <wp:effectExtent l="0" t="0" r="0" b="0"/>
            <wp:docPr id="1011051470" name="Picture 3" descr="Description: CC (Creative commons)_b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p>
    <w:p w14:paraId="13906039" w14:textId="02547852" w:rsidR="00FD1CBC" w:rsidRPr="00EA2FFB" w:rsidRDefault="00FD1CBC" w:rsidP="00FD1CBC">
      <w:pPr>
        <w:pStyle w:val="Imprint"/>
      </w:pPr>
      <w:r w:rsidRPr="00EA2FFB">
        <w:t xml:space="preserve">With the exception of any images, photographs or branding (including, but not limited to the Victorian Coat of Arms, the Victorian Government logo or the </w:t>
      </w:r>
      <w:r>
        <w:t>Commission for Gender Equality in the Public Sector</w:t>
      </w:r>
      <w:r w:rsidRPr="00EA2FFB">
        <w:t xml:space="preserve"> logo), this work, </w:t>
      </w:r>
      <w:r w:rsidR="0054478B" w:rsidRPr="00DF378B">
        <w:rPr>
          <w:i/>
          <w:iCs/>
        </w:rPr>
        <w:t>PhD Program Guidelines</w:t>
      </w:r>
      <w:r w:rsidRPr="00EA2FFB">
        <w:t>, is licensed under a Creative Commons Attribution 4.0 licence.</w:t>
      </w:r>
    </w:p>
    <w:p w14:paraId="24C821DB" w14:textId="77777777" w:rsidR="00FD1CBC" w:rsidRPr="00EA2FFB" w:rsidRDefault="00FD1CBC" w:rsidP="00FD1CBC">
      <w:pPr>
        <w:pStyle w:val="Imprint"/>
      </w:pPr>
      <w:r w:rsidRPr="00EA2FFB">
        <w:t xml:space="preserve">The terms and conditions of this licence, including disclaimer of warranties and limitation of liability are available at </w:t>
      </w:r>
      <w:hyperlink r:id="rId31" w:history="1">
        <w:r w:rsidRPr="00EA2FFB">
          <w:rPr>
            <w:rStyle w:val="Hyperlink"/>
          </w:rPr>
          <w:t xml:space="preserve">Creative Commons Attribution 4.0 International Public License </w:t>
        </w:r>
      </w:hyperlink>
      <w:r w:rsidRPr="00EA2FFB">
        <w:t>https://creativecommons.org/licenses/by/4.0/.</w:t>
      </w:r>
    </w:p>
    <w:p w14:paraId="2CC79C69" w14:textId="77777777" w:rsidR="00FD1CBC" w:rsidRPr="00EA2FFB" w:rsidRDefault="00FD1CBC" w:rsidP="00FD1CBC">
      <w:pPr>
        <w:pStyle w:val="Imprint"/>
      </w:pPr>
      <w:r w:rsidRPr="00EA2FFB">
        <w:t>You are free to re-use the work under that licence, on the condition that you credit the State of Victoria, Australia (</w:t>
      </w:r>
      <w:r w:rsidRPr="00C461DD">
        <w:t>Commission for Gender Equality in the Public Sector</w:t>
      </w:r>
      <w:r w:rsidRPr="00EA2FFB">
        <w:t>) as the author, indicate if any changes have been made to the work and comply with the other licence terms.</w:t>
      </w:r>
    </w:p>
    <w:p w14:paraId="312DEA78" w14:textId="52200920" w:rsidR="00162CA9" w:rsidRDefault="00FD1CBC" w:rsidP="00CF340D">
      <w:pPr>
        <w:pStyle w:val="Imprint"/>
      </w:pPr>
      <w:r w:rsidRPr="0055119B">
        <w:t>Available at</w:t>
      </w:r>
      <w:r w:rsidR="004660F7">
        <w:t xml:space="preserve"> </w:t>
      </w:r>
      <w:hyperlink r:id="rId32" w:history="1">
        <w:r w:rsidR="004660F7" w:rsidRPr="00F23B96">
          <w:rPr>
            <w:rStyle w:val="Hyperlink"/>
          </w:rPr>
          <w:t>Research opportunities: Our PhD program</w:t>
        </w:r>
      </w:hyperlink>
      <w:r w:rsidRPr="00E33237">
        <w:t xml:space="preserve"> </w:t>
      </w:r>
      <w:r w:rsidR="00F23B96" w:rsidRPr="00F23B96">
        <w:t>&lt;</w:t>
      </w:r>
      <w:r w:rsidR="004660F7" w:rsidRPr="00F23B96">
        <w:t>https://www.genderequalitycommission.vic.gov.au/our-phd-program</w:t>
      </w:r>
      <w:r w:rsidR="00F23B96" w:rsidRPr="00F23B96">
        <w:t>&gt;</w:t>
      </w:r>
    </w:p>
    <w:sectPr w:rsidR="00162CA9" w:rsidSect="00924642">
      <w:headerReference w:type="even" r:id="rId33"/>
      <w:headerReference w:type="default" r:id="rId34"/>
      <w:footerReference w:type="even" r:id="rId35"/>
      <w:footerReference w:type="default" r:id="rId36"/>
      <w:headerReference w:type="first" r:id="rId37"/>
      <w:footerReference w:type="first" r:id="rId38"/>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CA998" w14:textId="77777777" w:rsidR="00635418" w:rsidRDefault="00635418">
      <w:r>
        <w:separator/>
      </w:r>
    </w:p>
    <w:p w14:paraId="38631A10" w14:textId="77777777" w:rsidR="00635418" w:rsidRDefault="00635418" w:rsidP="00EB12C0"/>
  </w:endnote>
  <w:endnote w:type="continuationSeparator" w:id="0">
    <w:p w14:paraId="0AB49234" w14:textId="77777777" w:rsidR="00635418" w:rsidRDefault="00635418">
      <w:r>
        <w:continuationSeparator/>
      </w:r>
    </w:p>
    <w:p w14:paraId="4C598BD0" w14:textId="77777777" w:rsidR="00635418" w:rsidRDefault="00635418" w:rsidP="00EB12C0"/>
  </w:endnote>
  <w:endnote w:type="continuationNotice" w:id="1">
    <w:p w14:paraId="46970BA6" w14:textId="77777777" w:rsidR="00635418" w:rsidRDefault="00635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22572" w14:textId="77777777" w:rsidR="003D56F1" w:rsidRDefault="003D56F1">
    <w:pPr>
      <w:pStyle w:val="Footer"/>
    </w:pPr>
    <w:r w:rsidRPr="00A964EC">
      <w:rPr>
        <w:rFonts w:ascii="VIC Medium" w:hAnsi="VIC Medium"/>
        <w:noProof/>
      </w:rPr>
      <w:drawing>
        <wp:anchor distT="0" distB="0" distL="114300" distR="114300" simplePos="0" relativeHeight="251661314" behindDoc="0" locked="0" layoutInCell="1" allowOverlap="1" wp14:anchorId="5E0FC60C" wp14:editId="1E2D903B">
          <wp:simplePos x="0" y="0"/>
          <wp:positionH relativeFrom="column">
            <wp:posOffset>83127</wp:posOffset>
          </wp:positionH>
          <wp:positionV relativeFrom="paragraph">
            <wp:posOffset>-240995</wp:posOffset>
          </wp:positionV>
          <wp:extent cx="2073275" cy="359410"/>
          <wp:effectExtent l="0" t="0" r="3175" b="2540"/>
          <wp:wrapNone/>
          <wp:docPr id="1260602137" name="Picture 11" descr="Commission for Gender Equality in the Public Sector">
            <a:extLst xmlns:a="http://schemas.openxmlformats.org/drawingml/2006/main">
              <a:ext uri="{FF2B5EF4-FFF2-40B4-BE49-F238E27FC236}">
                <a16:creationId xmlns:a16="http://schemas.microsoft.com/office/drawing/2014/main" id="{2A3339B6-50FA-4BC5-9E25-2FDAAF813A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Commission for Gender Equality in the Public Sector">
                    <a:extLst>
                      <a:ext uri="{FF2B5EF4-FFF2-40B4-BE49-F238E27FC236}">
                        <a16:creationId xmlns:a16="http://schemas.microsoft.com/office/drawing/2014/main" id="{2A3339B6-50FA-4BC5-9E25-2FDAAF813AB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73275" cy="359410"/>
                  </a:xfrm>
                  <a:prstGeom prst="rect">
                    <a:avLst/>
                  </a:prstGeom>
                </pic:spPr>
              </pic:pic>
            </a:graphicData>
          </a:graphic>
        </wp:anchor>
      </w:drawing>
    </w:r>
    <w:r w:rsidRPr="00A964EC">
      <w:rPr>
        <w:rFonts w:ascii="VIC Medium" w:hAnsi="VIC Medium"/>
        <w:noProof/>
      </w:rPr>
      <w:drawing>
        <wp:anchor distT="0" distB="0" distL="114300" distR="114300" simplePos="0" relativeHeight="251662338" behindDoc="0" locked="0" layoutInCell="1" allowOverlap="1" wp14:anchorId="5502E10D" wp14:editId="6A80A3B6">
          <wp:simplePos x="0" y="0"/>
          <wp:positionH relativeFrom="column">
            <wp:posOffset>5648903</wp:posOffset>
          </wp:positionH>
          <wp:positionV relativeFrom="paragraph">
            <wp:posOffset>-285968</wp:posOffset>
          </wp:positionV>
          <wp:extent cx="792480" cy="453390"/>
          <wp:effectExtent l="0" t="0" r="7620" b="3810"/>
          <wp:wrapNone/>
          <wp:docPr id="1234818917" name="Picture 9" descr="Victoria State Government">
            <a:extLst xmlns:a="http://schemas.openxmlformats.org/drawingml/2006/main">
              <a:ext uri="{FF2B5EF4-FFF2-40B4-BE49-F238E27FC236}">
                <a16:creationId xmlns:a16="http://schemas.microsoft.com/office/drawing/2014/main" id="{062AE031-A7B9-44AA-9D02-D85723C900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037124" name="Picture 9" descr="Victoria State Government">
                    <a:extLst>
                      <a:ext uri="{FF2B5EF4-FFF2-40B4-BE49-F238E27FC236}">
                        <a16:creationId xmlns:a16="http://schemas.microsoft.com/office/drawing/2014/main" id="{062AE031-A7B9-44AA-9D02-D85723C9007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92480" cy="4533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0AC2" w14:textId="77777777" w:rsidR="003D56F1" w:rsidRDefault="003D56F1">
    <w:pPr>
      <w:pStyle w:val="Footer"/>
    </w:pPr>
    <w:r>
      <w:rPr>
        <w:noProof/>
      </w:rPr>
      <mc:AlternateContent>
        <mc:Choice Requires="wps">
          <w:drawing>
            <wp:anchor distT="0" distB="0" distL="114300" distR="114300" simplePos="0" relativeHeight="251660290" behindDoc="0" locked="0" layoutInCell="0" allowOverlap="1" wp14:anchorId="64155DD9" wp14:editId="22BE3AC8">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F8B0C4" w14:textId="77777777" w:rsidR="003D56F1" w:rsidRPr="00B21F90" w:rsidRDefault="003D56F1"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155DD9" id="_x0000_t202" coordsize="21600,21600" o:spt="202" path="m,l,21600r21600,l21600,xe">
              <v:stroke joinstyle="miter"/>
              <v:path gradientshapeok="t" o:connecttype="rect"/>
            </v:shapetype>
            <v:shape id="MSIPCM418f4cbe97f099549309dca7" o:spid="_x0000_s1026" type="#_x0000_t202" alt="{&quot;HashCode&quot;:904758361,&quot;Height&quot;:841.0,&quot;Width&quot;:595.0,&quot;Placement&quot;:&quot;Footer&quot;,&quot;Index&quot;:&quot;FirstPage&quot;,&quot;Section&quot;:1,&quot;Top&quot;:0.0,&quot;Left&quot;:0.0}" style="position:absolute;margin-left:0;margin-top:802.35pt;width:595.3pt;height:24.55pt;z-index:25166029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0F8B0C4" w14:textId="77777777" w:rsidR="003D56F1" w:rsidRPr="00B21F90" w:rsidRDefault="003D56F1"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4F2E8" w14:textId="77777777" w:rsidR="003D56F1" w:rsidRPr="00F65AA9" w:rsidRDefault="003D56F1" w:rsidP="00EF2C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A5280" w14:textId="77777777" w:rsidR="00933796" w:rsidRDefault="009337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DB252" w14:textId="273A9C35" w:rsidR="00933796" w:rsidRPr="00924642" w:rsidRDefault="00933796" w:rsidP="009246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0F693" w14:textId="77777777" w:rsidR="00933796" w:rsidRDefault="00933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9DE1B" w14:textId="77777777" w:rsidR="00635418" w:rsidRDefault="00635418" w:rsidP="00924642">
      <w:pPr>
        <w:spacing w:before="120"/>
      </w:pPr>
      <w:r>
        <w:separator/>
      </w:r>
    </w:p>
  </w:footnote>
  <w:footnote w:type="continuationSeparator" w:id="0">
    <w:p w14:paraId="1922C238" w14:textId="77777777" w:rsidR="00635418" w:rsidRDefault="00635418">
      <w:r>
        <w:continuationSeparator/>
      </w:r>
    </w:p>
    <w:p w14:paraId="6581A79F" w14:textId="77777777" w:rsidR="00635418" w:rsidRDefault="00635418" w:rsidP="00EB12C0"/>
  </w:footnote>
  <w:footnote w:type="continuationNotice" w:id="1">
    <w:p w14:paraId="70F072F0" w14:textId="77777777" w:rsidR="00635418" w:rsidRDefault="006354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2DBF7" w14:textId="77777777" w:rsidR="003D56F1" w:rsidRPr="0051568D" w:rsidRDefault="003D56F1" w:rsidP="00E05026">
    <w:pPr>
      <w:pStyle w:val="Header"/>
    </w:pPr>
    <w:r w:rsidRPr="00E05026">
      <w:t>Document title (use Header style)</w:t>
    </w:r>
    <w:r>
      <w:ptab w:relativeTo="margin" w:alignment="right" w:leader="none"/>
    </w:r>
    <w:r w:rsidRPr="00DE6C85">
      <w:rPr>
        <w:bCs/>
      </w:rPr>
      <w:fldChar w:fldCharType="begin"/>
    </w:r>
    <w:r w:rsidRPr="00DE6C85">
      <w:rPr>
        <w:bCs/>
      </w:rPr>
      <w:instrText xml:space="preserve"> PAGE </w:instrText>
    </w:r>
    <w:r w:rsidRPr="00DE6C85">
      <w:rPr>
        <w:bCs/>
      </w:rPr>
      <w:fldChar w:fldCharType="separate"/>
    </w:r>
    <w:r w:rsidRPr="00DE6C85">
      <w:rPr>
        <w:bCs/>
      </w:rPr>
      <w:t>2</w:t>
    </w:r>
    <w:r w:rsidRPr="00DE6C85">
      <w:rPr>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FBCA1" w14:textId="77777777" w:rsidR="00933796" w:rsidRDefault="00933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807850"/>
      <w:docPartObj>
        <w:docPartGallery w:val="Page Numbers (Margins)"/>
        <w:docPartUnique/>
      </w:docPartObj>
    </w:sdtPr>
    <w:sdtEndPr/>
    <w:sdtContent>
      <w:p w14:paraId="0FA84730" w14:textId="089F65E1" w:rsidR="00933796" w:rsidRDefault="00DF378B">
        <w:pPr>
          <w:pStyle w:val="Header"/>
        </w:pPr>
        <w:r>
          <w:t>PhD program guidelines</w:t>
        </w:r>
        <w:r w:rsidR="0018646E">
          <w:ptab w:relativeTo="margin" w:alignment="right" w:leader="none"/>
        </w:r>
        <w:r w:rsidR="0018646E" w:rsidRPr="00DE6C85">
          <w:rPr>
            <w:bCs/>
          </w:rPr>
          <w:fldChar w:fldCharType="begin"/>
        </w:r>
        <w:r w:rsidR="0018646E" w:rsidRPr="00DE6C85">
          <w:rPr>
            <w:bCs/>
          </w:rPr>
          <w:instrText xml:space="preserve"> PAGE </w:instrText>
        </w:r>
        <w:r w:rsidR="0018646E" w:rsidRPr="00DE6C85">
          <w:rPr>
            <w:bCs/>
          </w:rPr>
          <w:fldChar w:fldCharType="separate"/>
        </w:r>
        <w:r w:rsidR="0018646E">
          <w:rPr>
            <w:bCs/>
          </w:rPr>
          <w:t>2</w:t>
        </w:r>
        <w:r w:rsidR="0018646E" w:rsidRPr="00DE6C85">
          <w:rPr>
            <w:bCs/>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BF44" w14:textId="77777777" w:rsidR="00933796" w:rsidRDefault="00933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A10A987A"/>
    <w:numStyleLink w:val="ZZNumbersloweralpha"/>
  </w:abstractNum>
  <w:abstractNum w:abstractNumId="1" w15:restartNumberingAfterBreak="0">
    <w:nsid w:val="0B8D43DB"/>
    <w:multiLevelType w:val="multilevel"/>
    <w:tmpl w:val="B4525A8A"/>
    <w:numStyleLink w:val="ZZNumbersdigit"/>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55A02EC"/>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bullet"/>
      <w:pStyle w:val="Numberlowerromanindent"/>
      <w:lvlText w:val=""/>
      <w:lvlJc w:val="left"/>
      <w:pPr>
        <w:ind w:left="757"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89266887">
    <w:abstractNumId w:val="3"/>
  </w:num>
  <w:num w:numId="2" w16cid:durableId="1736510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2994873">
    <w:abstractNumId w:val="6"/>
  </w:num>
  <w:num w:numId="4" w16cid:durableId="2113083680">
    <w:abstractNumId w:val="5"/>
  </w:num>
  <w:num w:numId="5" w16cid:durableId="1212838369">
    <w:abstractNumId w:val="7"/>
  </w:num>
  <w:num w:numId="6" w16cid:durableId="1752003522">
    <w:abstractNumId w:val="4"/>
  </w:num>
  <w:num w:numId="7" w16cid:durableId="1586567688">
    <w:abstractNumId w:val="2"/>
  </w:num>
  <w:num w:numId="8" w16cid:durableId="1128744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111"/>
    <w:rsid w:val="00000719"/>
    <w:rsid w:val="00002D68"/>
    <w:rsid w:val="00003403"/>
    <w:rsid w:val="000043F4"/>
    <w:rsid w:val="00004475"/>
    <w:rsid w:val="00004F81"/>
    <w:rsid w:val="00005347"/>
    <w:rsid w:val="000072B6"/>
    <w:rsid w:val="0001021B"/>
    <w:rsid w:val="00011D89"/>
    <w:rsid w:val="000154FD"/>
    <w:rsid w:val="00016B03"/>
    <w:rsid w:val="00017F99"/>
    <w:rsid w:val="000209A1"/>
    <w:rsid w:val="00022271"/>
    <w:rsid w:val="00022709"/>
    <w:rsid w:val="0002285C"/>
    <w:rsid w:val="000235E8"/>
    <w:rsid w:val="00024D89"/>
    <w:rsid w:val="000250B6"/>
    <w:rsid w:val="00030582"/>
    <w:rsid w:val="00032DC4"/>
    <w:rsid w:val="00033D81"/>
    <w:rsid w:val="00037366"/>
    <w:rsid w:val="00041141"/>
    <w:rsid w:val="00041644"/>
    <w:rsid w:val="00041BF0"/>
    <w:rsid w:val="00042C8A"/>
    <w:rsid w:val="0004536B"/>
    <w:rsid w:val="0004553E"/>
    <w:rsid w:val="00046B68"/>
    <w:rsid w:val="000527DD"/>
    <w:rsid w:val="00053567"/>
    <w:rsid w:val="00053DC3"/>
    <w:rsid w:val="0005743F"/>
    <w:rsid w:val="000578B2"/>
    <w:rsid w:val="00060959"/>
    <w:rsid w:val="00060C8F"/>
    <w:rsid w:val="0006298A"/>
    <w:rsid w:val="000643BD"/>
    <w:rsid w:val="000663CD"/>
    <w:rsid w:val="000733FE"/>
    <w:rsid w:val="00074219"/>
    <w:rsid w:val="00074455"/>
    <w:rsid w:val="00074CC5"/>
    <w:rsid w:val="00074ED5"/>
    <w:rsid w:val="000764B5"/>
    <w:rsid w:val="00081D88"/>
    <w:rsid w:val="00083BFA"/>
    <w:rsid w:val="0008508E"/>
    <w:rsid w:val="0008627A"/>
    <w:rsid w:val="00086557"/>
    <w:rsid w:val="00087951"/>
    <w:rsid w:val="0009050A"/>
    <w:rsid w:val="000907C1"/>
    <w:rsid w:val="0009113B"/>
    <w:rsid w:val="00091CFD"/>
    <w:rsid w:val="000921D7"/>
    <w:rsid w:val="00093402"/>
    <w:rsid w:val="00093534"/>
    <w:rsid w:val="00094DA3"/>
    <w:rsid w:val="00096CD1"/>
    <w:rsid w:val="000A012C"/>
    <w:rsid w:val="000A0EB9"/>
    <w:rsid w:val="000A186C"/>
    <w:rsid w:val="000A1EA4"/>
    <w:rsid w:val="000A2476"/>
    <w:rsid w:val="000A451E"/>
    <w:rsid w:val="000A58E8"/>
    <w:rsid w:val="000A641A"/>
    <w:rsid w:val="000B2117"/>
    <w:rsid w:val="000B3EDB"/>
    <w:rsid w:val="000B543D"/>
    <w:rsid w:val="000B55F9"/>
    <w:rsid w:val="000B5B7B"/>
    <w:rsid w:val="000B5BF7"/>
    <w:rsid w:val="000B62B8"/>
    <w:rsid w:val="000B6BC8"/>
    <w:rsid w:val="000C0303"/>
    <w:rsid w:val="000C2CB9"/>
    <w:rsid w:val="000C4110"/>
    <w:rsid w:val="000C42EA"/>
    <w:rsid w:val="000C4546"/>
    <w:rsid w:val="000C570A"/>
    <w:rsid w:val="000C6FB8"/>
    <w:rsid w:val="000D1242"/>
    <w:rsid w:val="000D17F9"/>
    <w:rsid w:val="000D26F4"/>
    <w:rsid w:val="000D31C1"/>
    <w:rsid w:val="000D77DB"/>
    <w:rsid w:val="000E0970"/>
    <w:rsid w:val="000E0E23"/>
    <w:rsid w:val="000E3CC7"/>
    <w:rsid w:val="000E6BD4"/>
    <w:rsid w:val="000E6D6D"/>
    <w:rsid w:val="000F1F1E"/>
    <w:rsid w:val="000F2259"/>
    <w:rsid w:val="000F2DDA"/>
    <w:rsid w:val="000F2EA0"/>
    <w:rsid w:val="000F5213"/>
    <w:rsid w:val="00101001"/>
    <w:rsid w:val="00103276"/>
    <w:rsid w:val="0010392D"/>
    <w:rsid w:val="0010447F"/>
    <w:rsid w:val="00104B03"/>
    <w:rsid w:val="00104ED8"/>
    <w:rsid w:val="00104FE3"/>
    <w:rsid w:val="00105291"/>
    <w:rsid w:val="0010687F"/>
    <w:rsid w:val="0010714F"/>
    <w:rsid w:val="001120C5"/>
    <w:rsid w:val="00114628"/>
    <w:rsid w:val="001159FE"/>
    <w:rsid w:val="00120BD3"/>
    <w:rsid w:val="00122FEA"/>
    <w:rsid w:val="001232BD"/>
    <w:rsid w:val="00124ED5"/>
    <w:rsid w:val="001276FA"/>
    <w:rsid w:val="00134F81"/>
    <w:rsid w:val="00136539"/>
    <w:rsid w:val="00137F6C"/>
    <w:rsid w:val="0014067D"/>
    <w:rsid w:val="0014347A"/>
    <w:rsid w:val="00143C05"/>
    <w:rsid w:val="001447B3"/>
    <w:rsid w:val="00150737"/>
    <w:rsid w:val="00151085"/>
    <w:rsid w:val="00152073"/>
    <w:rsid w:val="00156598"/>
    <w:rsid w:val="0016037B"/>
    <w:rsid w:val="00161939"/>
    <w:rsid w:val="00161AA0"/>
    <w:rsid w:val="00161D2E"/>
    <w:rsid w:val="00161F3E"/>
    <w:rsid w:val="00162093"/>
    <w:rsid w:val="00162CA9"/>
    <w:rsid w:val="00165459"/>
    <w:rsid w:val="00165A57"/>
    <w:rsid w:val="001712C2"/>
    <w:rsid w:val="00172BAF"/>
    <w:rsid w:val="001756BE"/>
    <w:rsid w:val="00175A7F"/>
    <w:rsid w:val="0017674D"/>
    <w:rsid w:val="001769B1"/>
    <w:rsid w:val="001771DD"/>
    <w:rsid w:val="00177995"/>
    <w:rsid w:val="00177A8C"/>
    <w:rsid w:val="00182D60"/>
    <w:rsid w:val="0018646E"/>
    <w:rsid w:val="00186B33"/>
    <w:rsid w:val="00192F9D"/>
    <w:rsid w:val="00194F37"/>
    <w:rsid w:val="00196A81"/>
    <w:rsid w:val="00196EB8"/>
    <w:rsid w:val="00196EFB"/>
    <w:rsid w:val="001978BA"/>
    <w:rsid w:val="001978C3"/>
    <w:rsid w:val="001979FF"/>
    <w:rsid w:val="00197B17"/>
    <w:rsid w:val="001A1950"/>
    <w:rsid w:val="001A1C54"/>
    <w:rsid w:val="001A1EEF"/>
    <w:rsid w:val="001A202A"/>
    <w:rsid w:val="001A3ACE"/>
    <w:rsid w:val="001A480E"/>
    <w:rsid w:val="001A66ED"/>
    <w:rsid w:val="001B058F"/>
    <w:rsid w:val="001B46DA"/>
    <w:rsid w:val="001B6B96"/>
    <w:rsid w:val="001B7228"/>
    <w:rsid w:val="001B738B"/>
    <w:rsid w:val="001C03D6"/>
    <w:rsid w:val="001C09DB"/>
    <w:rsid w:val="001C277E"/>
    <w:rsid w:val="001C2A72"/>
    <w:rsid w:val="001C31B7"/>
    <w:rsid w:val="001D03F3"/>
    <w:rsid w:val="001D0B75"/>
    <w:rsid w:val="001D20C8"/>
    <w:rsid w:val="001D39A5"/>
    <w:rsid w:val="001D3C09"/>
    <w:rsid w:val="001D44E8"/>
    <w:rsid w:val="001D60EC"/>
    <w:rsid w:val="001D6F59"/>
    <w:rsid w:val="001E0DAB"/>
    <w:rsid w:val="001E44DF"/>
    <w:rsid w:val="001E68A5"/>
    <w:rsid w:val="001E6BB0"/>
    <w:rsid w:val="001E7282"/>
    <w:rsid w:val="001F3826"/>
    <w:rsid w:val="001F4A38"/>
    <w:rsid w:val="001F4EC3"/>
    <w:rsid w:val="001F6E46"/>
    <w:rsid w:val="001F7C91"/>
    <w:rsid w:val="0020040D"/>
    <w:rsid w:val="002033B7"/>
    <w:rsid w:val="00205FB4"/>
    <w:rsid w:val="002063F3"/>
    <w:rsid w:val="00206463"/>
    <w:rsid w:val="00206F2F"/>
    <w:rsid w:val="00207717"/>
    <w:rsid w:val="00207AF4"/>
    <w:rsid w:val="0021053D"/>
    <w:rsid w:val="00210A92"/>
    <w:rsid w:val="00210C2B"/>
    <w:rsid w:val="00216C03"/>
    <w:rsid w:val="00220C04"/>
    <w:rsid w:val="00221CE2"/>
    <w:rsid w:val="0022278D"/>
    <w:rsid w:val="002234C5"/>
    <w:rsid w:val="0022701F"/>
    <w:rsid w:val="00227C68"/>
    <w:rsid w:val="00233311"/>
    <w:rsid w:val="002333F5"/>
    <w:rsid w:val="00233724"/>
    <w:rsid w:val="002365B4"/>
    <w:rsid w:val="002402B5"/>
    <w:rsid w:val="00242378"/>
    <w:rsid w:val="002432E1"/>
    <w:rsid w:val="00246207"/>
    <w:rsid w:val="00246C5E"/>
    <w:rsid w:val="00250960"/>
    <w:rsid w:val="00250A6E"/>
    <w:rsid w:val="00250DC4"/>
    <w:rsid w:val="00251343"/>
    <w:rsid w:val="00251F0C"/>
    <w:rsid w:val="00252E85"/>
    <w:rsid w:val="002536A4"/>
    <w:rsid w:val="00253D2A"/>
    <w:rsid w:val="00254F58"/>
    <w:rsid w:val="00255AB7"/>
    <w:rsid w:val="002566DC"/>
    <w:rsid w:val="00260442"/>
    <w:rsid w:val="002620BC"/>
    <w:rsid w:val="00262802"/>
    <w:rsid w:val="00263A90"/>
    <w:rsid w:val="0026408B"/>
    <w:rsid w:val="002645E9"/>
    <w:rsid w:val="002653A2"/>
    <w:rsid w:val="00265F37"/>
    <w:rsid w:val="00267C3E"/>
    <w:rsid w:val="002709BB"/>
    <w:rsid w:val="0027131C"/>
    <w:rsid w:val="00271CD7"/>
    <w:rsid w:val="00273BAC"/>
    <w:rsid w:val="002763B3"/>
    <w:rsid w:val="002802E3"/>
    <w:rsid w:val="00280C4B"/>
    <w:rsid w:val="0028213D"/>
    <w:rsid w:val="00283EC3"/>
    <w:rsid w:val="00285221"/>
    <w:rsid w:val="002862F1"/>
    <w:rsid w:val="00291373"/>
    <w:rsid w:val="002917B2"/>
    <w:rsid w:val="00292FFB"/>
    <w:rsid w:val="002932B9"/>
    <w:rsid w:val="0029597D"/>
    <w:rsid w:val="002962C3"/>
    <w:rsid w:val="00297017"/>
    <w:rsid w:val="0029752B"/>
    <w:rsid w:val="002A0552"/>
    <w:rsid w:val="002A0A9C"/>
    <w:rsid w:val="002A1A8C"/>
    <w:rsid w:val="002A483C"/>
    <w:rsid w:val="002A6993"/>
    <w:rsid w:val="002B0C7C"/>
    <w:rsid w:val="002B1729"/>
    <w:rsid w:val="002B36C7"/>
    <w:rsid w:val="002B3910"/>
    <w:rsid w:val="002B488E"/>
    <w:rsid w:val="002B4DD4"/>
    <w:rsid w:val="002B5277"/>
    <w:rsid w:val="002B5375"/>
    <w:rsid w:val="002B77C1"/>
    <w:rsid w:val="002C0ED7"/>
    <w:rsid w:val="002C2728"/>
    <w:rsid w:val="002C51B4"/>
    <w:rsid w:val="002C5846"/>
    <w:rsid w:val="002C5A49"/>
    <w:rsid w:val="002D1802"/>
    <w:rsid w:val="002D1E0D"/>
    <w:rsid w:val="002D5006"/>
    <w:rsid w:val="002D64F2"/>
    <w:rsid w:val="002D6CF2"/>
    <w:rsid w:val="002E01D0"/>
    <w:rsid w:val="002E161D"/>
    <w:rsid w:val="002E2523"/>
    <w:rsid w:val="002E3100"/>
    <w:rsid w:val="002E6701"/>
    <w:rsid w:val="002E6C95"/>
    <w:rsid w:val="002E7C36"/>
    <w:rsid w:val="002F07C9"/>
    <w:rsid w:val="002F30B9"/>
    <w:rsid w:val="002F3ADF"/>
    <w:rsid w:val="002F3D32"/>
    <w:rsid w:val="002F5F31"/>
    <w:rsid w:val="002F5F46"/>
    <w:rsid w:val="00302216"/>
    <w:rsid w:val="00303E53"/>
    <w:rsid w:val="00305CC1"/>
    <w:rsid w:val="0030613E"/>
    <w:rsid w:val="00306E5F"/>
    <w:rsid w:val="0030766E"/>
    <w:rsid w:val="00307AE6"/>
    <w:rsid w:val="00307E14"/>
    <w:rsid w:val="0031063C"/>
    <w:rsid w:val="00311556"/>
    <w:rsid w:val="00311F68"/>
    <w:rsid w:val="00313A09"/>
    <w:rsid w:val="00314054"/>
    <w:rsid w:val="00315750"/>
    <w:rsid w:val="00316F27"/>
    <w:rsid w:val="003214F1"/>
    <w:rsid w:val="00322E4B"/>
    <w:rsid w:val="003233A7"/>
    <w:rsid w:val="003252EE"/>
    <w:rsid w:val="003258A5"/>
    <w:rsid w:val="00325B1C"/>
    <w:rsid w:val="00327870"/>
    <w:rsid w:val="00331C32"/>
    <w:rsid w:val="0033259D"/>
    <w:rsid w:val="003333D2"/>
    <w:rsid w:val="00337339"/>
    <w:rsid w:val="003403EF"/>
    <w:rsid w:val="003406C6"/>
    <w:rsid w:val="003418CC"/>
    <w:rsid w:val="00342E91"/>
    <w:rsid w:val="00343D26"/>
    <w:rsid w:val="003459BD"/>
    <w:rsid w:val="00346664"/>
    <w:rsid w:val="00347235"/>
    <w:rsid w:val="00350D38"/>
    <w:rsid w:val="00351339"/>
    <w:rsid w:val="00351405"/>
    <w:rsid w:val="00351B36"/>
    <w:rsid w:val="00351BC7"/>
    <w:rsid w:val="00357B4E"/>
    <w:rsid w:val="0036508E"/>
    <w:rsid w:val="003657A5"/>
    <w:rsid w:val="003661D9"/>
    <w:rsid w:val="003716FD"/>
    <w:rsid w:val="0037204B"/>
    <w:rsid w:val="003744CF"/>
    <w:rsid w:val="00374717"/>
    <w:rsid w:val="00374AE8"/>
    <w:rsid w:val="0037676C"/>
    <w:rsid w:val="00377A1A"/>
    <w:rsid w:val="00381043"/>
    <w:rsid w:val="0038129A"/>
    <w:rsid w:val="003829E5"/>
    <w:rsid w:val="003842EE"/>
    <w:rsid w:val="00386109"/>
    <w:rsid w:val="00386944"/>
    <w:rsid w:val="003956CC"/>
    <w:rsid w:val="00395C9A"/>
    <w:rsid w:val="00396238"/>
    <w:rsid w:val="003A04E1"/>
    <w:rsid w:val="003A0853"/>
    <w:rsid w:val="003A621E"/>
    <w:rsid w:val="003A6B67"/>
    <w:rsid w:val="003B1329"/>
    <w:rsid w:val="003B13B6"/>
    <w:rsid w:val="003B14C3"/>
    <w:rsid w:val="003B15E6"/>
    <w:rsid w:val="003B1BDC"/>
    <w:rsid w:val="003B408A"/>
    <w:rsid w:val="003C08A2"/>
    <w:rsid w:val="003C0DC4"/>
    <w:rsid w:val="003C2045"/>
    <w:rsid w:val="003C34E6"/>
    <w:rsid w:val="003C43A1"/>
    <w:rsid w:val="003C4FC0"/>
    <w:rsid w:val="003C55F4"/>
    <w:rsid w:val="003C69A2"/>
    <w:rsid w:val="003C744A"/>
    <w:rsid w:val="003C7897"/>
    <w:rsid w:val="003C7A3F"/>
    <w:rsid w:val="003D1099"/>
    <w:rsid w:val="003D2766"/>
    <w:rsid w:val="003D2A74"/>
    <w:rsid w:val="003D3E8F"/>
    <w:rsid w:val="003D54CD"/>
    <w:rsid w:val="003D56F1"/>
    <w:rsid w:val="003D6475"/>
    <w:rsid w:val="003D6EE6"/>
    <w:rsid w:val="003D7000"/>
    <w:rsid w:val="003D7E30"/>
    <w:rsid w:val="003E1FB6"/>
    <w:rsid w:val="003E36AD"/>
    <w:rsid w:val="003E375C"/>
    <w:rsid w:val="003E4086"/>
    <w:rsid w:val="003E639E"/>
    <w:rsid w:val="003E71E5"/>
    <w:rsid w:val="003F0445"/>
    <w:rsid w:val="003F0CF0"/>
    <w:rsid w:val="003F0F22"/>
    <w:rsid w:val="003F14B1"/>
    <w:rsid w:val="003F2036"/>
    <w:rsid w:val="003F2B20"/>
    <w:rsid w:val="003F3289"/>
    <w:rsid w:val="003F3650"/>
    <w:rsid w:val="003F3C62"/>
    <w:rsid w:val="003F5CB9"/>
    <w:rsid w:val="004013C7"/>
    <w:rsid w:val="00401FCF"/>
    <w:rsid w:val="00403752"/>
    <w:rsid w:val="00406157"/>
    <w:rsid w:val="00406285"/>
    <w:rsid w:val="0040779D"/>
    <w:rsid w:val="004148F9"/>
    <w:rsid w:val="00415329"/>
    <w:rsid w:val="00417B77"/>
    <w:rsid w:val="0042084E"/>
    <w:rsid w:val="00421EEF"/>
    <w:rsid w:val="0042342C"/>
    <w:rsid w:val="00423B94"/>
    <w:rsid w:val="00424D65"/>
    <w:rsid w:val="00430393"/>
    <w:rsid w:val="00431806"/>
    <w:rsid w:val="00431E97"/>
    <w:rsid w:val="004347D1"/>
    <w:rsid w:val="004349E9"/>
    <w:rsid w:val="004350F9"/>
    <w:rsid w:val="0043777E"/>
    <w:rsid w:val="00437AC5"/>
    <w:rsid w:val="00440B2F"/>
    <w:rsid w:val="00440FAD"/>
    <w:rsid w:val="00442C6C"/>
    <w:rsid w:val="00443CBE"/>
    <w:rsid w:val="00443E8A"/>
    <w:rsid w:val="004441BC"/>
    <w:rsid w:val="00446160"/>
    <w:rsid w:val="00446290"/>
    <w:rsid w:val="004468B4"/>
    <w:rsid w:val="004515FF"/>
    <w:rsid w:val="0045230A"/>
    <w:rsid w:val="00454AD0"/>
    <w:rsid w:val="00457337"/>
    <w:rsid w:val="004626B0"/>
    <w:rsid w:val="00462E3D"/>
    <w:rsid w:val="0046440A"/>
    <w:rsid w:val="004660F7"/>
    <w:rsid w:val="004662B2"/>
    <w:rsid w:val="00466E79"/>
    <w:rsid w:val="00470D7D"/>
    <w:rsid w:val="0047372D"/>
    <w:rsid w:val="004738A2"/>
    <w:rsid w:val="00473BA3"/>
    <w:rsid w:val="004743DD"/>
    <w:rsid w:val="00474CEA"/>
    <w:rsid w:val="00480332"/>
    <w:rsid w:val="00483968"/>
    <w:rsid w:val="004841BE"/>
    <w:rsid w:val="00484F86"/>
    <w:rsid w:val="00490746"/>
    <w:rsid w:val="00490852"/>
    <w:rsid w:val="00491582"/>
    <w:rsid w:val="00491C9C"/>
    <w:rsid w:val="00492F30"/>
    <w:rsid w:val="00493B3B"/>
    <w:rsid w:val="004946F4"/>
    <w:rsid w:val="0049487E"/>
    <w:rsid w:val="004A160D"/>
    <w:rsid w:val="004A18EF"/>
    <w:rsid w:val="004A295E"/>
    <w:rsid w:val="004A3E81"/>
    <w:rsid w:val="004A4195"/>
    <w:rsid w:val="004A5C62"/>
    <w:rsid w:val="004A5CE5"/>
    <w:rsid w:val="004A707D"/>
    <w:rsid w:val="004B1AC6"/>
    <w:rsid w:val="004B4185"/>
    <w:rsid w:val="004C1DD5"/>
    <w:rsid w:val="004C5541"/>
    <w:rsid w:val="004C5A3E"/>
    <w:rsid w:val="004C6EEE"/>
    <w:rsid w:val="004C6F64"/>
    <w:rsid w:val="004C702B"/>
    <w:rsid w:val="004D0033"/>
    <w:rsid w:val="004D016B"/>
    <w:rsid w:val="004D1B22"/>
    <w:rsid w:val="004D1CCC"/>
    <w:rsid w:val="004D23CC"/>
    <w:rsid w:val="004D2C0F"/>
    <w:rsid w:val="004D36F2"/>
    <w:rsid w:val="004D6D17"/>
    <w:rsid w:val="004D7A5D"/>
    <w:rsid w:val="004D7F85"/>
    <w:rsid w:val="004E1106"/>
    <w:rsid w:val="004E138F"/>
    <w:rsid w:val="004E4649"/>
    <w:rsid w:val="004E5C2B"/>
    <w:rsid w:val="004E7047"/>
    <w:rsid w:val="004E75DA"/>
    <w:rsid w:val="004E78B8"/>
    <w:rsid w:val="004F00DD"/>
    <w:rsid w:val="004F2133"/>
    <w:rsid w:val="004F5398"/>
    <w:rsid w:val="004F55F1"/>
    <w:rsid w:val="004F6936"/>
    <w:rsid w:val="004F701D"/>
    <w:rsid w:val="004F7B35"/>
    <w:rsid w:val="00503DC6"/>
    <w:rsid w:val="00503F5A"/>
    <w:rsid w:val="00504C98"/>
    <w:rsid w:val="00506F5D"/>
    <w:rsid w:val="00510C37"/>
    <w:rsid w:val="0051176B"/>
    <w:rsid w:val="005126D0"/>
    <w:rsid w:val="00513109"/>
    <w:rsid w:val="00514667"/>
    <w:rsid w:val="0051568D"/>
    <w:rsid w:val="00515BC0"/>
    <w:rsid w:val="0051689A"/>
    <w:rsid w:val="0052359B"/>
    <w:rsid w:val="00526AC7"/>
    <w:rsid w:val="00526C15"/>
    <w:rsid w:val="00527156"/>
    <w:rsid w:val="005308D0"/>
    <w:rsid w:val="0053126C"/>
    <w:rsid w:val="00534943"/>
    <w:rsid w:val="00536499"/>
    <w:rsid w:val="00541D90"/>
    <w:rsid w:val="00542A03"/>
    <w:rsid w:val="00543903"/>
    <w:rsid w:val="00543F11"/>
    <w:rsid w:val="0054478B"/>
    <w:rsid w:val="00546305"/>
    <w:rsid w:val="00547A95"/>
    <w:rsid w:val="005507BF"/>
    <w:rsid w:val="0055119B"/>
    <w:rsid w:val="00552336"/>
    <w:rsid w:val="00555201"/>
    <w:rsid w:val="00557392"/>
    <w:rsid w:val="00561202"/>
    <w:rsid w:val="0056151A"/>
    <w:rsid w:val="0056271B"/>
    <w:rsid w:val="0056524A"/>
    <w:rsid w:val="00571446"/>
    <w:rsid w:val="00571E78"/>
    <w:rsid w:val="00572031"/>
    <w:rsid w:val="00572282"/>
    <w:rsid w:val="00573CE3"/>
    <w:rsid w:val="00576E84"/>
    <w:rsid w:val="00580394"/>
    <w:rsid w:val="00580511"/>
    <w:rsid w:val="005809CD"/>
    <w:rsid w:val="00582B8C"/>
    <w:rsid w:val="0058757E"/>
    <w:rsid w:val="005932C8"/>
    <w:rsid w:val="00593A99"/>
    <w:rsid w:val="00595FC2"/>
    <w:rsid w:val="00596A4B"/>
    <w:rsid w:val="00597507"/>
    <w:rsid w:val="005A1C7A"/>
    <w:rsid w:val="005A2AF8"/>
    <w:rsid w:val="005A479D"/>
    <w:rsid w:val="005A5C78"/>
    <w:rsid w:val="005B1C6D"/>
    <w:rsid w:val="005B21B6"/>
    <w:rsid w:val="005B3A08"/>
    <w:rsid w:val="005B4B78"/>
    <w:rsid w:val="005B7A63"/>
    <w:rsid w:val="005C05B1"/>
    <w:rsid w:val="005C0955"/>
    <w:rsid w:val="005C2792"/>
    <w:rsid w:val="005C49DA"/>
    <w:rsid w:val="005C50F3"/>
    <w:rsid w:val="005C54B5"/>
    <w:rsid w:val="005C5D80"/>
    <w:rsid w:val="005C5D91"/>
    <w:rsid w:val="005C77C2"/>
    <w:rsid w:val="005D07B8"/>
    <w:rsid w:val="005D1125"/>
    <w:rsid w:val="005D4C54"/>
    <w:rsid w:val="005D521E"/>
    <w:rsid w:val="005D55CF"/>
    <w:rsid w:val="005D6597"/>
    <w:rsid w:val="005E14E7"/>
    <w:rsid w:val="005E26A3"/>
    <w:rsid w:val="005E2ECB"/>
    <w:rsid w:val="005E447E"/>
    <w:rsid w:val="005E4FD1"/>
    <w:rsid w:val="005E57C2"/>
    <w:rsid w:val="005E67CC"/>
    <w:rsid w:val="005E7C3B"/>
    <w:rsid w:val="005F0775"/>
    <w:rsid w:val="005F0ABF"/>
    <w:rsid w:val="005F0CF5"/>
    <w:rsid w:val="005F1E57"/>
    <w:rsid w:val="005F21EB"/>
    <w:rsid w:val="005F5FF2"/>
    <w:rsid w:val="005F64CF"/>
    <w:rsid w:val="005F7319"/>
    <w:rsid w:val="005F7797"/>
    <w:rsid w:val="00600127"/>
    <w:rsid w:val="006005E7"/>
    <w:rsid w:val="006041AD"/>
    <w:rsid w:val="0060432A"/>
    <w:rsid w:val="00604541"/>
    <w:rsid w:val="00605908"/>
    <w:rsid w:val="006060A7"/>
    <w:rsid w:val="00607850"/>
    <w:rsid w:val="00610D7C"/>
    <w:rsid w:val="00613414"/>
    <w:rsid w:val="0061487F"/>
    <w:rsid w:val="00620154"/>
    <w:rsid w:val="00620A19"/>
    <w:rsid w:val="0062408D"/>
    <w:rsid w:val="006240CC"/>
    <w:rsid w:val="006246D7"/>
    <w:rsid w:val="00624940"/>
    <w:rsid w:val="006254F8"/>
    <w:rsid w:val="00627DA7"/>
    <w:rsid w:val="00630ACD"/>
    <w:rsid w:val="00630DA4"/>
    <w:rsid w:val="00631CD4"/>
    <w:rsid w:val="00632597"/>
    <w:rsid w:val="00633900"/>
    <w:rsid w:val="00634D13"/>
    <w:rsid w:val="00635418"/>
    <w:rsid w:val="006358B4"/>
    <w:rsid w:val="00641724"/>
    <w:rsid w:val="006419AA"/>
    <w:rsid w:val="00642390"/>
    <w:rsid w:val="00644B1F"/>
    <w:rsid w:val="00644B7E"/>
    <w:rsid w:val="006454E6"/>
    <w:rsid w:val="00646154"/>
    <w:rsid w:val="00646235"/>
    <w:rsid w:val="00646A68"/>
    <w:rsid w:val="006505BD"/>
    <w:rsid w:val="006508EA"/>
    <w:rsid w:val="0065092E"/>
    <w:rsid w:val="006527E4"/>
    <w:rsid w:val="00654B37"/>
    <w:rsid w:val="006557A7"/>
    <w:rsid w:val="00655C15"/>
    <w:rsid w:val="00656290"/>
    <w:rsid w:val="006601C9"/>
    <w:rsid w:val="0066064F"/>
    <w:rsid w:val="006608D8"/>
    <w:rsid w:val="006621D7"/>
    <w:rsid w:val="0066302A"/>
    <w:rsid w:val="0066360F"/>
    <w:rsid w:val="00666549"/>
    <w:rsid w:val="00667770"/>
    <w:rsid w:val="00670526"/>
    <w:rsid w:val="00670597"/>
    <w:rsid w:val="006706D0"/>
    <w:rsid w:val="00672BA3"/>
    <w:rsid w:val="00673482"/>
    <w:rsid w:val="00673E1B"/>
    <w:rsid w:val="00673E33"/>
    <w:rsid w:val="0067728C"/>
    <w:rsid w:val="00677574"/>
    <w:rsid w:val="00680C63"/>
    <w:rsid w:val="00681935"/>
    <w:rsid w:val="00681F03"/>
    <w:rsid w:val="00683878"/>
    <w:rsid w:val="0068454C"/>
    <w:rsid w:val="0068495C"/>
    <w:rsid w:val="00684AAF"/>
    <w:rsid w:val="00685831"/>
    <w:rsid w:val="0068618D"/>
    <w:rsid w:val="00686F20"/>
    <w:rsid w:val="00691B62"/>
    <w:rsid w:val="006933B5"/>
    <w:rsid w:val="00693D14"/>
    <w:rsid w:val="00695A93"/>
    <w:rsid w:val="00696F27"/>
    <w:rsid w:val="006A0DAF"/>
    <w:rsid w:val="006A18C2"/>
    <w:rsid w:val="006A2EE6"/>
    <w:rsid w:val="006A2F78"/>
    <w:rsid w:val="006A3383"/>
    <w:rsid w:val="006A5FE9"/>
    <w:rsid w:val="006A7DCB"/>
    <w:rsid w:val="006B077C"/>
    <w:rsid w:val="006B16AF"/>
    <w:rsid w:val="006B6803"/>
    <w:rsid w:val="006B6DAD"/>
    <w:rsid w:val="006C4187"/>
    <w:rsid w:val="006D0F16"/>
    <w:rsid w:val="006D1707"/>
    <w:rsid w:val="006D2A3F"/>
    <w:rsid w:val="006D2FBC"/>
    <w:rsid w:val="006D49EB"/>
    <w:rsid w:val="006E138B"/>
    <w:rsid w:val="006E1867"/>
    <w:rsid w:val="006E3AC4"/>
    <w:rsid w:val="006E6A3F"/>
    <w:rsid w:val="006F0330"/>
    <w:rsid w:val="006F1FDC"/>
    <w:rsid w:val="006F3E43"/>
    <w:rsid w:val="006F6B8C"/>
    <w:rsid w:val="006F6C9B"/>
    <w:rsid w:val="007013EF"/>
    <w:rsid w:val="00702258"/>
    <w:rsid w:val="007055BD"/>
    <w:rsid w:val="007125FE"/>
    <w:rsid w:val="0071266A"/>
    <w:rsid w:val="00714ED8"/>
    <w:rsid w:val="007163C4"/>
    <w:rsid w:val="0071657A"/>
    <w:rsid w:val="007173CA"/>
    <w:rsid w:val="007216AA"/>
    <w:rsid w:val="00721AB5"/>
    <w:rsid w:val="00721CFB"/>
    <w:rsid w:val="00721DEF"/>
    <w:rsid w:val="00723A5A"/>
    <w:rsid w:val="00724A43"/>
    <w:rsid w:val="007273AC"/>
    <w:rsid w:val="00731AD4"/>
    <w:rsid w:val="00733D2C"/>
    <w:rsid w:val="007346E4"/>
    <w:rsid w:val="007361BB"/>
    <w:rsid w:val="00740F22"/>
    <w:rsid w:val="00741977"/>
    <w:rsid w:val="00741CF0"/>
    <w:rsid w:val="00741F1A"/>
    <w:rsid w:val="00743A2C"/>
    <w:rsid w:val="007447DA"/>
    <w:rsid w:val="007450F8"/>
    <w:rsid w:val="007459F2"/>
    <w:rsid w:val="007467BD"/>
    <w:rsid w:val="0074696E"/>
    <w:rsid w:val="0074731C"/>
    <w:rsid w:val="00747B77"/>
    <w:rsid w:val="00750135"/>
    <w:rsid w:val="00750EC2"/>
    <w:rsid w:val="00752B28"/>
    <w:rsid w:val="007541A9"/>
    <w:rsid w:val="007541B9"/>
    <w:rsid w:val="00754E36"/>
    <w:rsid w:val="007608FA"/>
    <w:rsid w:val="00763139"/>
    <w:rsid w:val="00766F80"/>
    <w:rsid w:val="00767CA3"/>
    <w:rsid w:val="00770E16"/>
    <w:rsid w:val="00770F37"/>
    <w:rsid w:val="007711A0"/>
    <w:rsid w:val="007727B7"/>
    <w:rsid w:val="00772D5E"/>
    <w:rsid w:val="0077463E"/>
    <w:rsid w:val="0077682C"/>
    <w:rsid w:val="00776928"/>
    <w:rsid w:val="00776E0F"/>
    <w:rsid w:val="007774B1"/>
    <w:rsid w:val="00777BE1"/>
    <w:rsid w:val="007833D8"/>
    <w:rsid w:val="00785677"/>
    <w:rsid w:val="00786056"/>
    <w:rsid w:val="00786F16"/>
    <w:rsid w:val="007876BA"/>
    <w:rsid w:val="00791BD7"/>
    <w:rsid w:val="007933F7"/>
    <w:rsid w:val="00796E20"/>
    <w:rsid w:val="007970E2"/>
    <w:rsid w:val="00797C32"/>
    <w:rsid w:val="007A11E8"/>
    <w:rsid w:val="007A243B"/>
    <w:rsid w:val="007B0914"/>
    <w:rsid w:val="007B1374"/>
    <w:rsid w:val="007B32E5"/>
    <w:rsid w:val="007B36B4"/>
    <w:rsid w:val="007B3DB9"/>
    <w:rsid w:val="007B4517"/>
    <w:rsid w:val="007B589F"/>
    <w:rsid w:val="007B6186"/>
    <w:rsid w:val="007B73BC"/>
    <w:rsid w:val="007C1838"/>
    <w:rsid w:val="007C20B9"/>
    <w:rsid w:val="007C7301"/>
    <w:rsid w:val="007C7859"/>
    <w:rsid w:val="007C7F28"/>
    <w:rsid w:val="007D1466"/>
    <w:rsid w:val="007D2BDE"/>
    <w:rsid w:val="007D2FB6"/>
    <w:rsid w:val="007D3A93"/>
    <w:rsid w:val="007D49EB"/>
    <w:rsid w:val="007D5E1C"/>
    <w:rsid w:val="007E06B5"/>
    <w:rsid w:val="007E0DE2"/>
    <w:rsid w:val="007E1E7F"/>
    <w:rsid w:val="007E3B98"/>
    <w:rsid w:val="007E417A"/>
    <w:rsid w:val="007E7D75"/>
    <w:rsid w:val="007F31B6"/>
    <w:rsid w:val="007F546C"/>
    <w:rsid w:val="007F5BEA"/>
    <w:rsid w:val="007F625F"/>
    <w:rsid w:val="007F665E"/>
    <w:rsid w:val="00800412"/>
    <w:rsid w:val="008015F2"/>
    <w:rsid w:val="0080367F"/>
    <w:rsid w:val="0080587B"/>
    <w:rsid w:val="00806468"/>
    <w:rsid w:val="00806EC8"/>
    <w:rsid w:val="008119CA"/>
    <w:rsid w:val="00811BBF"/>
    <w:rsid w:val="008130C4"/>
    <w:rsid w:val="008155F0"/>
    <w:rsid w:val="00816735"/>
    <w:rsid w:val="00820141"/>
    <w:rsid w:val="00820CFC"/>
    <w:rsid w:val="00820E0C"/>
    <w:rsid w:val="0082319A"/>
    <w:rsid w:val="00823275"/>
    <w:rsid w:val="0082366F"/>
    <w:rsid w:val="0082762C"/>
    <w:rsid w:val="00827D3E"/>
    <w:rsid w:val="0083231A"/>
    <w:rsid w:val="008338A2"/>
    <w:rsid w:val="00835C7B"/>
    <w:rsid w:val="0083619C"/>
    <w:rsid w:val="00841AA9"/>
    <w:rsid w:val="008441AD"/>
    <w:rsid w:val="0084544C"/>
    <w:rsid w:val="008474FE"/>
    <w:rsid w:val="00847E51"/>
    <w:rsid w:val="0085232E"/>
    <w:rsid w:val="00853A5D"/>
    <w:rsid w:val="00853EE4"/>
    <w:rsid w:val="00855535"/>
    <w:rsid w:val="00857C5A"/>
    <w:rsid w:val="0086255E"/>
    <w:rsid w:val="0086259E"/>
    <w:rsid w:val="00862F64"/>
    <w:rsid w:val="008633F0"/>
    <w:rsid w:val="00867D9D"/>
    <w:rsid w:val="00870E9F"/>
    <w:rsid w:val="00872C54"/>
    <w:rsid w:val="00872E0A"/>
    <w:rsid w:val="00873594"/>
    <w:rsid w:val="00875285"/>
    <w:rsid w:val="00884B62"/>
    <w:rsid w:val="0088529C"/>
    <w:rsid w:val="00887903"/>
    <w:rsid w:val="00891253"/>
    <w:rsid w:val="0089270A"/>
    <w:rsid w:val="00892E01"/>
    <w:rsid w:val="00893AF6"/>
    <w:rsid w:val="00894BC4"/>
    <w:rsid w:val="008962A7"/>
    <w:rsid w:val="00897743"/>
    <w:rsid w:val="008A0A99"/>
    <w:rsid w:val="008A28A8"/>
    <w:rsid w:val="008A2A44"/>
    <w:rsid w:val="008A5B32"/>
    <w:rsid w:val="008A5D60"/>
    <w:rsid w:val="008B037C"/>
    <w:rsid w:val="008B07F1"/>
    <w:rsid w:val="008B2029"/>
    <w:rsid w:val="008B2EE4"/>
    <w:rsid w:val="008B3821"/>
    <w:rsid w:val="008B43DC"/>
    <w:rsid w:val="008B4D3D"/>
    <w:rsid w:val="008B57C7"/>
    <w:rsid w:val="008C1B49"/>
    <w:rsid w:val="008C2F92"/>
    <w:rsid w:val="008C589D"/>
    <w:rsid w:val="008C6804"/>
    <w:rsid w:val="008C6D51"/>
    <w:rsid w:val="008D2846"/>
    <w:rsid w:val="008D3CBD"/>
    <w:rsid w:val="008D4236"/>
    <w:rsid w:val="008D462F"/>
    <w:rsid w:val="008D5C45"/>
    <w:rsid w:val="008D6DCF"/>
    <w:rsid w:val="008D7339"/>
    <w:rsid w:val="008E079D"/>
    <w:rsid w:val="008E4376"/>
    <w:rsid w:val="008E7937"/>
    <w:rsid w:val="008E7A0A"/>
    <w:rsid w:val="008E7B49"/>
    <w:rsid w:val="008F0AF3"/>
    <w:rsid w:val="008F152E"/>
    <w:rsid w:val="008F1C8F"/>
    <w:rsid w:val="008F4B3E"/>
    <w:rsid w:val="008F55E2"/>
    <w:rsid w:val="008F59F6"/>
    <w:rsid w:val="00900719"/>
    <w:rsid w:val="009017AC"/>
    <w:rsid w:val="00902A9A"/>
    <w:rsid w:val="00904A1C"/>
    <w:rsid w:val="00905030"/>
    <w:rsid w:val="00906490"/>
    <w:rsid w:val="009111B2"/>
    <w:rsid w:val="009151F5"/>
    <w:rsid w:val="0091595F"/>
    <w:rsid w:val="00917A07"/>
    <w:rsid w:val="00917DC8"/>
    <w:rsid w:val="0092150D"/>
    <w:rsid w:val="00924642"/>
    <w:rsid w:val="00924AE1"/>
    <w:rsid w:val="009257ED"/>
    <w:rsid w:val="009269B1"/>
    <w:rsid w:val="0092724D"/>
    <w:rsid w:val="009272B3"/>
    <w:rsid w:val="009315BE"/>
    <w:rsid w:val="0093338F"/>
    <w:rsid w:val="00933796"/>
    <w:rsid w:val="00937BD9"/>
    <w:rsid w:val="00941365"/>
    <w:rsid w:val="00942837"/>
    <w:rsid w:val="00944844"/>
    <w:rsid w:val="00946E01"/>
    <w:rsid w:val="00947A10"/>
    <w:rsid w:val="00950E2C"/>
    <w:rsid w:val="00951D50"/>
    <w:rsid w:val="009525EB"/>
    <w:rsid w:val="0095470B"/>
    <w:rsid w:val="00954874"/>
    <w:rsid w:val="00954D01"/>
    <w:rsid w:val="0095615A"/>
    <w:rsid w:val="00961400"/>
    <w:rsid w:val="009619CE"/>
    <w:rsid w:val="00963646"/>
    <w:rsid w:val="0096632D"/>
    <w:rsid w:val="00967124"/>
    <w:rsid w:val="00967335"/>
    <w:rsid w:val="0097097B"/>
    <w:rsid w:val="009718C7"/>
    <w:rsid w:val="00973A93"/>
    <w:rsid w:val="0097559F"/>
    <w:rsid w:val="009761EA"/>
    <w:rsid w:val="00976635"/>
    <w:rsid w:val="0097761E"/>
    <w:rsid w:val="00982454"/>
    <w:rsid w:val="00982CF0"/>
    <w:rsid w:val="009853E1"/>
    <w:rsid w:val="00986E6B"/>
    <w:rsid w:val="00987A0E"/>
    <w:rsid w:val="00990032"/>
    <w:rsid w:val="00990B19"/>
    <w:rsid w:val="00991003"/>
    <w:rsid w:val="0099153B"/>
    <w:rsid w:val="009915AB"/>
    <w:rsid w:val="00991769"/>
    <w:rsid w:val="0099232C"/>
    <w:rsid w:val="00994386"/>
    <w:rsid w:val="00994791"/>
    <w:rsid w:val="00996E27"/>
    <w:rsid w:val="009A0893"/>
    <w:rsid w:val="009A13D8"/>
    <w:rsid w:val="009A279E"/>
    <w:rsid w:val="009A3015"/>
    <w:rsid w:val="009A3490"/>
    <w:rsid w:val="009A4AA6"/>
    <w:rsid w:val="009B0A6F"/>
    <w:rsid w:val="009B0A94"/>
    <w:rsid w:val="009B0B0F"/>
    <w:rsid w:val="009B2AE8"/>
    <w:rsid w:val="009B3493"/>
    <w:rsid w:val="009B44A9"/>
    <w:rsid w:val="009B5622"/>
    <w:rsid w:val="009B59E9"/>
    <w:rsid w:val="009B70AA"/>
    <w:rsid w:val="009C1A3D"/>
    <w:rsid w:val="009C1CB1"/>
    <w:rsid w:val="009C25F2"/>
    <w:rsid w:val="009C2795"/>
    <w:rsid w:val="009C5707"/>
    <w:rsid w:val="009C5E77"/>
    <w:rsid w:val="009C7A7E"/>
    <w:rsid w:val="009D01A9"/>
    <w:rsid w:val="009D02E8"/>
    <w:rsid w:val="009D51D0"/>
    <w:rsid w:val="009D70A4"/>
    <w:rsid w:val="009D7A52"/>
    <w:rsid w:val="009D7B14"/>
    <w:rsid w:val="009E08D1"/>
    <w:rsid w:val="009E1B95"/>
    <w:rsid w:val="009E265F"/>
    <w:rsid w:val="009E496F"/>
    <w:rsid w:val="009E4B0D"/>
    <w:rsid w:val="009E5250"/>
    <w:rsid w:val="009E7A69"/>
    <w:rsid w:val="009E7F92"/>
    <w:rsid w:val="009F02A3"/>
    <w:rsid w:val="009F2F27"/>
    <w:rsid w:val="009F34AA"/>
    <w:rsid w:val="009F39E5"/>
    <w:rsid w:val="009F6BCB"/>
    <w:rsid w:val="009F6C0D"/>
    <w:rsid w:val="009F7B78"/>
    <w:rsid w:val="00A0057A"/>
    <w:rsid w:val="00A02FA1"/>
    <w:rsid w:val="00A04CCE"/>
    <w:rsid w:val="00A070E1"/>
    <w:rsid w:val="00A07421"/>
    <w:rsid w:val="00A0776B"/>
    <w:rsid w:val="00A10FB9"/>
    <w:rsid w:val="00A11421"/>
    <w:rsid w:val="00A11B8F"/>
    <w:rsid w:val="00A11FD8"/>
    <w:rsid w:val="00A1389F"/>
    <w:rsid w:val="00A14996"/>
    <w:rsid w:val="00A157B1"/>
    <w:rsid w:val="00A21F31"/>
    <w:rsid w:val="00A22229"/>
    <w:rsid w:val="00A24442"/>
    <w:rsid w:val="00A252B9"/>
    <w:rsid w:val="00A32577"/>
    <w:rsid w:val="00A330BB"/>
    <w:rsid w:val="00A3314F"/>
    <w:rsid w:val="00A34ACD"/>
    <w:rsid w:val="00A36710"/>
    <w:rsid w:val="00A36AD9"/>
    <w:rsid w:val="00A42F0A"/>
    <w:rsid w:val="00A43C10"/>
    <w:rsid w:val="00A44882"/>
    <w:rsid w:val="00A44DEB"/>
    <w:rsid w:val="00A45125"/>
    <w:rsid w:val="00A45792"/>
    <w:rsid w:val="00A507CB"/>
    <w:rsid w:val="00A513A9"/>
    <w:rsid w:val="00A53CCC"/>
    <w:rsid w:val="00A54715"/>
    <w:rsid w:val="00A55255"/>
    <w:rsid w:val="00A56F8E"/>
    <w:rsid w:val="00A6061C"/>
    <w:rsid w:val="00A62D44"/>
    <w:rsid w:val="00A65CD5"/>
    <w:rsid w:val="00A666CC"/>
    <w:rsid w:val="00A67263"/>
    <w:rsid w:val="00A715B8"/>
    <w:rsid w:val="00A7161C"/>
    <w:rsid w:val="00A71620"/>
    <w:rsid w:val="00A74FEB"/>
    <w:rsid w:val="00A76494"/>
    <w:rsid w:val="00A77AA3"/>
    <w:rsid w:val="00A8236D"/>
    <w:rsid w:val="00A854EB"/>
    <w:rsid w:val="00A872E5"/>
    <w:rsid w:val="00A90E15"/>
    <w:rsid w:val="00A91406"/>
    <w:rsid w:val="00A94FE4"/>
    <w:rsid w:val="00A96E65"/>
    <w:rsid w:val="00A96ECE"/>
    <w:rsid w:val="00A97C72"/>
    <w:rsid w:val="00AA310B"/>
    <w:rsid w:val="00AA4688"/>
    <w:rsid w:val="00AA46D8"/>
    <w:rsid w:val="00AA63D4"/>
    <w:rsid w:val="00AB06E8"/>
    <w:rsid w:val="00AB1A4F"/>
    <w:rsid w:val="00AB1CD3"/>
    <w:rsid w:val="00AB24F5"/>
    <w:rsid w:val="00AB352F"/>
    <w:rsid w:val="00AB3F64"/>
    <w:rsid w:val="00AC2719"/>
    <w:rsid w:val="00AC274B"/>
    <w:rsid w:val="00AC4764"/>
    <w:rsid w:val="00AC4C43"/>
    <w:rsid w:val="00AC6D36"/>
    <w:rsid w:val="00AD0CBA"/>
    <w:rsid w:val="00AD26E2"/>
    <w:rsid w:val="00AD784C"/>
    <w:rsid w:val="00AE126A"/>
    <w:rsid w:val="00AE1BAE"/>
    <w:rsid w:val="00AE3005"/>
    <w:rsid w:val="00AE3BD5"/>
    <w:rsid w:val="00AE597E"/>
    <w:rsid w:val="00AE59A0"/>
    <w:rsid w:val="00AE7145"/>
    <w:rsid w:val="00AF0583"/>
    <w:rsid w:val="00AF0C57"/>
    <w:rsid w:val="00AF26F3"/>
    <w:rsid w:val="00AF5F04"/>
    <w:rsid w:val="00AF6E2C"/>
    <w:rsid w:val="00B00672"/>
    <w:rsid w:val="00B015BA"/>
    <w:rsid w:val="00B01B4D"/>
    <w:rsid w:val="00B04489"/>
    <w:rsid w:val="00B0651E"/>
    <w:rsid w:val="00B06571"/>
    <w:rsid w:val="00B068BA"/>
    <w:rsid w:val="00B07217"/>
    <w:rsid w:val="00B07311"/>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99F"/>
    <w:rsid w:val="00B431E8"/>
    <w:rsid w:val="00B45141"/>
    <w:rsid w:val="00B519CD"/>
    <w:rsid w:val="00B5273A"/>
    <w:rsid w:val="00B528DA"/>
    <w:rsid w:val="00B5547D"/>
    <w:rsid w:val="00B56A0B"/>
    <w:rsid w:val="00B57329"/>
    <w:rsid w:val="00B60E61"/>
    <w:rsid w:val="00B62B50"/>
    <w:rsid w:val="00B62F4B"/>
    <w:rsid w:val="00B635B7"/>
    <w:rsid w:val="00B63AE8"/>
    <w:rsid w:val="00B65950"/>
    <w:rsid w:val="00B66D83"/>
    <w:rsid w:val="00B672C0"/>
    <w:rsid w:val="00B676FD"/>
    <w:rsid w:val="00B678B6"/>
    <w:rsid w:val="00B706E8"/>
    <w:rsid w:val="00B72CC5"/>
    <w:rsid w:val="00B73F9F"/>
    <w:rsid w:val="00B75646"/>
    <w:rsid w:val="00B7629E"/>
    <w:rsid w:val="00B766B9"/>
    <w:rsid w:val="00B80717"/>
    <w:rsid w:val="00B84385"/>
    <w:rsid w:val="00B90729"/>
    <w:rsid w:val="00B907DA"/>
    <w:rsid w:val="00B91FFE"/>
    <w:rsid w:val="00B947A4"/>
    <w:rsid w:val="00B950BC"/>
    <w:rsid w:val="00B95AB9"/>
    <w:rsid w:val="00B96A80"/>
    <w:rsid w:val="00B9714C"/>
    <w:rsid w:val="00B975A5"/>
    <w:rsid w:val="00BA0D46"/>
    <w:rsid w:val="00BA279E"/>
    <w:rsid w:val="00BA29AD"/>
    <w:rsid w:val="00BA33CF"/>
    <w:rsid w:val="00BA3F8D"/>
    <w:rsid w:val="00BA77C8"/>
    <w:rsid w:val="00BA79DF"/>
    <w:rsid w:val="00BB2428"/>
    <w:rsid w:val="00BB284E"/>
    <w:rsid w:val="00BB66DB"/>
    <w:rsid w:val="00BB7A10"/>
    <w:rsid w:val="00BC2561"/>
    <w:rsid w:val="00BC60BE"/>
    <w:rsid w:val="00BC7468"/>
    <w:rsid w:val="00BC75FA"/>
    <w:rsid w:val="00BC7D4F"/>
    <w:rsid w:val="00BC7ED7"/>
    <w:rsid w:val="00BD2850"/>
    <w:rsid w:val="00BD3257"/>
    <w:rsid w:val="00BD6049"/>
    <w:rsid w:val="00BE28D2"/>
    <w:rsid w:val="00BE4A64"/>
    <w:rsid w:val="00BE5E43"/>
    <w:rsid w:val="00BF325D"/>
    <w:rsid w:val="00BF557D"/>
    <w:rsid w:val="00BF5A62"/>
    <w:rsid w:val="00BF7F58"/>
    <w:rsid w:val="00C01381"/>
    <w:rsid w:val="00C01AB1"/>
    <w:rsid w:val="00C01CBC"/>
    <w:rsid w:val="00C026A0"/>
    <w:rsid w:val="00C03EA4"/>
    <w:rsid w:val="00C0496F"/>
    <w:rsid w:val="00C04F42"/>
    <w:rsid w:val="00C06137"/>
    <w:rsid w:val="00C063F6"/>
    <w:rsid w:val="00C06929"/>
    <w:rsid w:val="00C079B8"/>
    <w:rsid w:val="00C10037"/>
    <w:rsid w:val="00C123EA"/>
    <w:rsid w:val="00C12648"/>
    <w:rsid w:val="00C12A49"/>
    <w:rsid w:val="00C133EE"/>
    <w:rsid w:val="00C149D0"/>
    <w:rsid w:val="00C1781E"/>
    <w:rsid w:val="00C21BBF"/>
    <w:rsid w:val="00C231A0"/>
    <w:rsid w:val="00C24830"/>
    <w:rsid w:val="00C26588"/>
    <w:rsid w:val="00C27DE9"/>
    <w:rsid w:val="00C32989"/>
    <w:rsid w:val="00C33388"/>
    <w:rsid w:val="00C34272"/>
    <w:rsid w:val="00C35484"/>
    <w:rsid w:val="00C4108B"/>
    <w:rsid w:val="00C4173A"/>
    <w:rsid w:val="00C44141"/>
    <w:rsid w:val="00C47399"/>
    <w:rsid w:val="00C50DED"/>
    <w:rsid w:val="00C52217"/>
    <w:rsid w:val="00C53B0A"/>
    <w:rsid w:val="00C557DA"/>
    <w:rsid w:val="00C56107"/>
    <w:rsid w:val="00C571DE"/>
    <w:rsid w:val="00C602FF"/>
    <w:rsid w:val="00C61174"/>
    <w:rsid w:val="00C6148F"/>
    <w:rsid w:val="00C621B1"/>
    <w:rsid w:val="00C62F7A"/>
    <w:rsid w:val="00C63B9C"/>
    <w:rsid w:val="00C6682F"/>
    <w:rsid w:val="00C67BF4"/>
    <w:rsid w:val="00C7275E"/>
    <w:rsid w:val="00C74C5D"/>
    <w:rsid w:val="00C7554C"/>
    <w:rsid w:val="00C76956"/>
    <w:rsid w:val="00C7799A"/>
    <w:rsid w:val="00C839C1"/>
    <w:rsid w:val="00C863C4"/>
    <w:rsid w:val="00C920EA"/>
    <w:rsid w:val="00C93C3E"/>
    <w:rsid w:val="00CA12E3"/>
    <w:rsid w:val="00CA1476"/>
    <w:rsid w:val="00CA46E4"/>
    <w:rsid w:val="00CA5472"/>
    <w:rsid w:val="00CA6611"/>
    <w:rsid w:val="00CA6AE6"/>
    <w:rsid w:val="00CA782F"/>
    <w:rsid w:val="00CB187B"/>
    <w:rsid w:val="00CB2835"/>
    <w:rsid w:val="00CB3285"/>
    <w:rsid w:val="00CB4500"/>
    <w:rsid w:val="00CC03ED"/>
    <w:rsid w:val="00CC0C72"/>
    <w:rsid w:val="00CC2BFD"/>
    <w:rsid w:val="00CC64DD"/>
    <w:rsid w:val="00CD0247"/>
    <w:rsid w:val="00CD1057"/>
    <w:rsid w:val="00CD1A9A"/>
    <w:rsid w:val="00CD3476"/>
    <w:rsid w:val="00CD64DF"/>
    <w:rsid w:val="00CE100D"/>
    <w:rsid w:val="00CE225F"/>
    <w:rsid w:val="00CF16FA"/>
    <w:rsid w:val="00CF2F50"/>
    <w:rsid w:val="00CF340D"/>
    <w:rsid w:val="00CF4148"/>
    <w:rsid w:val="00CF6198"/>
    <w:rsid w:val="00CF6CC6"/>
    <w:rsid w:val="00D02919"/>
    <w:rsid w:val="00D04C61"/>
    <w:rsid w:val="00D05B8D"/>
    <w:rsid w:val="00D05B9B"/>
    <w:rsid w:val="00D065A2"/>
    <w:rsid w:val="00D079AA"/>
    <w:rsid w:val="00D07F00"/>
    <w:rsid w:val="00D1130F"/>
    <w:rsid w:val="00D17B72"/>
    <w:rsid w:val="00D233BF"/>
    <w:rsid w:val="00D306D7"/>
    <w:rsid w:val="00D3185C"/>
    <w:rsid w:val="00D3205F"/>
    <w:rsid w:val="00D3318E"/>
    <w:rsid w:val="00D33E72"/>
    <w:rsid w:val="00D35BD6"/>
    <w:rsid w:val="00D361B5"/>
    <w:rsid w:val="00D402DB"/>
    <w:rsid w:val="00D411A2"/>
    <w:rsid w:val="00D4606D"/>
    <w:rsid w:val="00D4682F"/>
    <w:rsid w:val="00D50B9C"/>
    <w:rsid w:val="00D52641"/>
    <w:rsid w:val="00D52D73"/>
    <w:rsid w:val="00D52E58"/>
    <w:rsid w:val="00D56B20"/>
    <w:rsid w:val="00D57592"/>
    <w:rsid w:val="00D578B3"/>
    <w:rsid w:val="00D618F4"/>
    <w:rsid w:val="00D655D1"/>
    <w:rsid w:val="00D714CC"/>
    <w:rsid w:val="00D75EA7"/>
    <w:rsid w:val="00D8189A"/>
    <w:rsid w:val="00D81ADF"/>
    <w:rsid w:val="00D81F21"/>
    <w:rsid w:val="00D8423D"/>
    <w:rsid w:val="00D84658"/>
    <w:rsid w:val="00D85A6F"/>
    <w:rsid w:val="00D864F2"/>
    <w:rsid w:val="00D90055"/>
    <w:rsid w:val="00D921F2"/>
    <w:rsid w:val="00D943F8"/>
    <w:rsid w:val="00D94DBF"/>
    <w:rsid w:val="00D95470"/>
    <w:rsid w:val="00D95C4C"/>
    <w:rsid w:val="00D96B55"/>
    <w:rsid w:val="00DA2619"/>
    <w:rsid w:val="00DA2E57"/>
    <w:rsid w:val="00DA2EC3"/>
    <w:rsid w:val="00DA4239"/>
    <w:rsid w:val="00DA4ABE"/>
    <w:rsid w:val="00DA65DE"/>
    <w:rsid w:val="00DA7A51"/>
    <w:rsid w:val="00DB0B61"/>
    <w:rsid w:val="00DB1474"/>
    <w:rsid w:val="00DB2962"/>
    <w:rsid w:val="00DB52FB"/>
    <w:rsid w:val="00DB6699"/>
    <w:rsid w:val="00DC013B"/>
    <w:rsid w:val="00DC090B"/>
    <w:rsid w:val="00DC1679"/>
    <w:rsid w:val="00DC219B"/>
    <w:rsid w:val="00DC2CF1"/>
    <w:rsid w:val="00DC3A7C"/>
    <w:rsid w:val="00DC4995"/>
    <w:rsid w:val="00DC4FCF"/>
    <w:rsid w:val="00DC50E0"/>
    <w:rsid w:val="00DC6386"/>
    <w:rsid w:val="00DD1130"/>
    <w:rsid w:val="00DD1951"/>
    <w:rsid w:val="00DD39BC"/>
    <w:rsid w:val="00DD3E83"/>
    <w:rsid w:val="00DD487D"/>
    <w:rsid w:val="00DD4E83"/>
    <w:rsid w:val="00DD6628"/>
    <w:rsid w:val="00DD6945"/>
    <w:rsid w:val="00DE0405"/>
    <w:rsid w:val="00DE2D04"/>
    <w:rsid w:val="00DE3250"/>
    <w:rsid w:val="00DE6028"/>
    <w:rsid w:val="00DE6A0D"/>
    <w:rsid w:val="00DE6C85"/>
    <w:rsid w:val="00DE78A3"/>
    <w:rsid w:val="00DF1A71"/>
    <w:rsid w:val="00DF20D3"/>
    <w:rsid w:val="00DF378B"/>
    <w:rsid w:val="00DF3A13"/>
    <w:rsid w:val="00DF4CAF"/>
    <w:rsid w:val="00DF50FC"/>
    <w:rsid w:val="00DF68C7"/>
    <w:rsid w:val="00DF731A"/>
    <w:rsid w:val="00E002EF"/>
    <w:rsid w:val="00E012AC"/>
    <w:rsid w:val="00E017E9"/>
    <w:rsid w:val="00E0344C"/>
    <w:rsid w:val="00E040BE"/>
    <w:rsid w:val="00E05026"/>
    <w:rsid w:val="00E0525F"/>
    <w:rsid w:val="00E056BD"/>
    <w:rsid w:val="00E06B75"/>
    <w:rsid w:val="00E11332"/>
    <w:rsid w:val="00E11352"/>
    <w:rsid w:val="00E1216F"/>
    <w:rsid w:val="00E14149"/>
    <w:rsid w:val="00E1565B"/>
    <w:rsid w:val="00E170DC"/>
    <w:rsid w:val="00E17546"/>
    <w:rsid w:val="00E210B5"/>
    <w:rsid w:val="00E22A9E"/>
    <w:rsid w:val="00E23D8F"/>
    <w:rsid w:val="00E261B3"/>
    <w:rsid w:val="00E26222"/>
    <w:rsid w:val="00E26818"/>
    <w:rsid w:val="00E27291"/>
    <w:rsid w:val="00E27FFC"/>
    <w:rsid w:val="00E30B15"/>
    <w:rsid w:val="00E32141"/>
    <w:rsid w:val="00E33237"/>
    <w:rsid w:val="00E37153"/>
    <w:rsid w:val="00E40181"/>
    <w:rsid w:val="00E43831"/>
    <w:rsid w:val="00E461C5"/>
    <w:rsid w:val="00E4712E"/>
    <w:rsid w:val="00E518E0"/>
    <w:rsid w:val="00E53F94"/>
    <w:rsid w:val="00E54016"/>
    <w:rsid w:val="00E54950"/>
    <w:rsid w:val="00E55647"/>
    <w:rsid w:val="00E55FB3"/>
    <w:rsid w:val="00E56A01"/>
    <w:rsid w:val="00E56A1B"/>
    <w:rsid w:val="00E571DE"/>
    <w:rsid w:val="00E57A42"/>
    <w:rsid w:val="00E629A1"/>
    <w:rsid w:val="00E6794C"/>
    <w:rsid w:val="00E67E55"/>
    <w:rsid w:val="00E71591"/>
    <w:rsid w:val="00E71CEB"/>
    <w:rsid w:val="00E7474F"/>
    <w:rsid w:val="00E77901"/>
    <w:rsid w:val="00E80005"/>
    <w:rsid w:val="00E80DE3"/>
    <w:rsid w:val="00E82C55"/>
    <w:rsid w:val="00E8787E"/>
    <w:rsid w:val="00E92AC3"/>
    <w:rsid w:val="00E96B38"/>
    <w:rsid w:val="00EA2036"/>
    <w:rsid w:val="00EA2F6A"/>
    <w:rsid w:val="00EA2FFB"/>
    <w:rsid w:val="00EA39CA"/>
    <w:rsid w:val="00EA5706"/>
    <w:rsid w:val="00EA7283"/>
    <w:rsid w:val="00EB00E0"/>
    <w:rsid w:val="00EB05D5"/>
    <w:rsid w:val="00EB12C0"/>
    <w:rsid w:val="00EB1931"/>
    <w:rsid w:val="00EB321D"/>
    <w:rsid w:val="00EC059F"/>
    <w:rsid w:val="00EC1F24"/>
    <w:rsid w:val="00EC20FF"/>
    <w:rsid w:val="00EC22F6"/>
    <w:rsid w:val="00ED195F"/>
    <w:rsid w:val="00ED1CD3"/>
    <w:rsid w:val="00ED52E9"/>
    <w:rsid w:val="00ED5B9B"/>
    <w:rsid w:val="00ED6BAD"/>
    <w:rsid w:val="00ED7447"/>
    <w:rsid w:val="00EE00D6"/>
    <w:rsid w:val="00EE11E7"/>
    <w:rsid w:val="00EE1488"/>
    <w:rsid w:val="00EE1730"/>
    <w:rsid w:val="00EE29AD"/>
    <w:rsid w:val="00EE3E24"/>
    <w:rsid w:val="00EE4D5D"/>
    <w:rsid w:val="00EE5131"/>
    <w:rsid w:val="00EE6BEA"/>
    <w:rsid w:val="00EE790F"/>
    <w:rsid w:val="00EF08F4"/>
    <w:rsid w:val="00EF109B"/>
    <w:rsid w:val="00EF1F5A"/>
    <w:rsid w:val="00EF201C"/>
    <w:rsid w:val="00EF2C72"/>
    <w:rsid w:val="00EF36AF"/>
    <w:rsid w:val="00EF59A3"/>
    <w:rsid w:val="00EF6675"/>
    <w:rsid w:val="00EF7073"/>
    <w:rsid w:val="00EF7A5E"/>
    <w:rsid w:val="00F0063D"/>
    <w:rsid w:val="00F00B5F"/>
    <w:rsid w:val="00F00F9C"/>
    <w:rsid w:val="00F01E5F"/>
    <w:rsid w:val="00F024F3"/>
    <w:rsid w:val="00F029DC"/>
    <w:rsid w:val="00F02ABA"/>
    <w:rsid w:val="00F02F30"/>
    <w:rsid w:val="00F03701"/>
    <w:rsid w:val="00F0437A"/>
    <w:rsid w:val="00F0631D"/>
    <w:rsid w:val="00F10087"/>
    <w:rsid w:val="00F101B8"/>
    <w:rsid w:val="00F10C7D"/>
    <w:rsid w:val="00F11037"/>
    <w:rsid w:val="00F147F3"/>
    <w:rsid w:val="00F16F1B"/>
    <w:rsid w:val="00F2020F"/>
    <w:rsid w:val="00F20379"/>
    <w:rsid w:val="00F226FA"/>
    <w:rsid w:val="00F23B96"/>
    <w:rsid w:val="00F250A9"/>
    <w:rsid w:val="00F2518C"/>
    <w:rsid w:val="00F2548B"/>
    <w:rsid w:val="00F267AF"/>
    <w:rsid w:val="00F30FF4"/>
    <w:rsid w:val="00F3122E"/>
    <w:rsid w:val="00F32368"/>
    <w:rsid w:val="00F331AD"/>
    <w:rsid w:val="00F35287"/>
    <w:rsid w:val="00F40A70"/>
    <w:rsid w:val="00F42431"/>
    <w:rsid w:val="00F43A37"/>
    <w:rsid w:val="00F4614C"/>
    <w:rsid w:val="00F4641B"/>
    <w:rsid w:val="00F46EB8"/>
    <w:rsid w:val="00F476B8"/>
    <w:rsid w:val="00F5090F"/>
    <w:rsid w:val="00F50CD1"/>
    <w:rsid w:val="00F511E4"/>
    <w:rsid w:val="00F52D09"/>
    <w:rsid w:val="00F52E08"/>
    <w:rsid w:val="00F53A66"/>
    <w:rsid w:val="00F5462D"/>
    <w:rsid w:val="00F55B21"/>
    <w:rsid w:val="00F56EF6"/>
    <w:rsid w:val="00F56F64"/>
    <w:rsid w:val="00F57B56"/>
    <w:rsid w:val="00F60082"/>
    <w:rsid w:val="00F61A9F"/>
    <w:rsid w:val="00F61B5F"/>
    <w:rsid w:val="00F61FB7"/>
    <w:rsid w:val="00F64696"/>
    <w:rsid w:val="00F65AA9"/>
    <w:rsid w:val="00F67147"/>
    <w:rsid w:val="00F6768F"/>
    <w:rsid w:val="00F72115"/>
    <w:rsid w:val="00F72C2C"/>
    <w:rsid w:val="00F735BE"/>
    <w:rsid w:val="00F741F2"/>
    <w:rsid w:val="00F76CAB"/>
    <w:rsid w:val="00F772C6"/>
    <w:rsid w:val="00F77F59"/>
    <w:rsid w:val="00F815B5"/>
    <w:rsid w:val="00F84EF9"/>
    <w:rsid w:val="00F85195"/>
    <w:rsid w:val="00F868E3"/>
    <w:rsid w:val="00F87B7D"/>
    <w:rsid w:val="00F938BA"/>
    <w:rsid w:val="00F972B1"/>
    <w:rsid w:val="00F97919"/>
    <w:rsid w:val="00FA123B"/>
    <w:rsid w:val="00FA2C46"/>
    <w:rsid w:val="00FA2C4F"/>
    <w:rsid w:val="00FA2D0B"/>
    <w:rsid w:val="00FA3525"/>
    <w:rsid w:val="00FA3C89"/>
    <w:rsid w:val="00FA3FDA"/>
    <w:rsid w:val="00FA5A53"/>
    <w:rsid w:val="00FB1238"/>
    <w:rsid w:val="00FB1B38"/>
    <w:rsid w:val="00FB3501"/>
    <w:rsid w:val="00FB4769"/>
    <w:rsid w:val="00FB4CDA"/>
    <w:rsid w:val="00FB53DD"/>
    <w:rsid w:val="00FB5B4E"/>
    <w:rsid w:val="00FB632C"/>
    <w:rsid w:val="00FB6481"/>
    <w:rsid w:val="00FB6D36"/>
    <w:rsid w:val="00FB7AFC"/>
    <w:rsid w:val="00FC0965"/>
    <w:rsid w:val="00FC0F81"/>
    <w:rsid w:val="00FC252F"/>
    <w:rsid w:val="00FC395C"/>
    <w:rsid w:val="00FC5519"/>
    <w:rsid w:val="00FC5E8E"/>
    <w:rsid w:val="00FC64CB"/>
    <w:rsid w:val="00FC7271"/>
    <w:rsid w:val="00FD10A0"/>
    <w:rsid w:val="00FD137A"/>
    <w:rsid w:val="00FD1CBC"/>
    <w:rsid w:val="00FD3766"/>
    <w:rsid w:val="00FD47C4"/>
    <w:rsid w:val="00FE2256"/>
    <w:rsid w:val="00FE2DCF"/>
    <w:rsid w:val="00FE3FA7"/>
    <w:rsid w:val="00FE57B5"/>
    <w:rsid w:val="00FF2A4E"/>
    <w:rsid w:val="00FF2FCE"/>
    <w:rsid w:val="00FF4F7D"/>
    <w:rsid w:val="00FF6D9D"/>
    <w:rsid w:val="00FF7DD5"/>
    <w:rsid w:val="0962C312"/>
    <w:rsid w:val="10F4B1D4"/>
    <w:rsid w:val="4FB87F9C"/>
    <w:rsid w:val="60EA735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79036A86-A960-49E7-BBE6-158058D1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29" w:qFormat="1"/>
    <w:lsdException w:name="Intense Quote" w:semiHidden="1"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21" w:qFormat="1"/>
    <w:lsdException w:name="Subtle Reference" w:semiHidden="1" w:uiPriority="67" w:qFormat="1"/>
    <w:lsdException w:name="Intense Reference" w:semiHidden="1" w:uiPriority="32"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2C0"/>
    <w:pPr>
      <w:spacing w:after="120" w:line="280" w:lineRule="atLeast"/>
    </w:pPr>
    <w:rPr>
      <w:rFonts w:ascii="Arial" w:hAnsi="Arial"/>
      <w:sz w:val="21"/>
      <w:lang w:eastAsia="en-US"/>
    </w:rPr>
  </w:style>
  <w:style w:type="paragraph" w:styleId="Heading1">
    <w:name w:val="heading 1"/>
    <w:next w:val="Body"/>
    <w:link w:val="Heading1Char"/>
    <w:uiPriority w:val="9"/>
    <w:qFormat/>
    <w:rsid w:val="00EB12C0"/>
    <w:pPr>
      <w:keepNext/>
      <w:keepLines/>
      <w:spacing w:before="320" w:after="200" w:line="440" w:lineRule="atLeast"/>
      <w:outlineLvl w:val="0"/>
    </w:pPr>
    <w:rPr>
      <w:rFonts w:ascii="Arial" w:eastAsia="MS Gothic" w:hAnsi="Arial" w:cs="Arial"/>
      <w:bCs/>
      <w:color w:val="5C308D"/>
      <w:kern w:val="32"/>
      <w:sz w:val="40"/>
      <w:szCs w:val="40"/>
      <w:lang w:eastAsia="en-US"/>
    </w:rPr>
  </w:style>
  <w:style w:type="paragraph" w:styleId="Heading2">
    <w:name w:val="heading 2"/>
    <w:next w:val="Body"/>
    <w:link w:val="Heading2Char"/>
    <w:uiPriority w:val="9"/>
    <w:qFormat/>
    <w:rsid w:val="00EB12C0"/>
    <w:pPr>
      <w:keepNext/>
      <w:keepLines/>
      <w:spacing w:before="280" w:after="120" w:line="360" w:lineRule="atLeast"/>
      <w:outlineLvl w:val="1"/>
    </w:pPr>
    <w:rPr>
      <w:rFonts w:ascii="Arial" w:hAnsi="Arial"/>
      <w:b/>
      <w:color w:val="7030A0"/>
      <w:sz w:val="32"/>
      <w:szCs w:val="28"/>
      <w:lang w:eastAsia="en-US"/>
    </w:rPr>
  </w:style>
  <w:style w:type="paragraph" w:styleId="Heading3">
    <w:name w:val="heading 3"/>
    <w:next w:val="Body"/>
    <w:link w:val="Heading3Char"/>
    <w:uiPriority w:val="9"/>
    <w:qFormat/>
    <w:rsid w:val="00EB12C0"/>
    <w:pPr>
      <w:keepNext/>
      <w:keepLines/>
      <w:spacing w:before="280" w:after="120" w:line="320" w:lineRule="atLeast"/>
      <w:outlineLvl w:val="2"/>
    </w:pPr>
    <w:rPr>
      <w:rFonts w:ascii="Arial" w:eastAsia="MS Gothic" w:hAnsi="Arial"/>
      <w:bCs/>
      <w:color w:val="7030A0"/>
      <w:sz w:val="28"/>
      <w:szCs w:val="26"/>
      <w:lang w:eastAsia="en-US"/>
    </w:rPr>
  </w:style>
  <w:style w:type="paragraph" w:styleId="Heading4">
    <w:name w:val="heading 4"/>
    <w:next w:val="Body"/>
    <w:link w:val="Heading4Char"/>
    <w:uiPriority w:val="9"/>
    <w:qFormat/>
    <w:rsid w:val="00EB12C0"/>
    <w:pPr>
      <w:keepNext/>
      <w:keepLines/>
      <w:spacing w:before="240" w:after="80" w:line="280" w:lineRule="atLeast"/>
      <w:outlineLvl w:val="3"/>
    </w:pPr>
    <w:rPr>
      <w:rFonts w:ascii="Arial" w:eastAsia="MS Mincho" w:hAnsi="Arial"/>
      <w:b/>
      <w:bCs/>
      <w:color w:val="7030A0"/>
      <w:sz w:val="24"/>
      <w:szCs w:val="22"/>
      <w:lang w:eastAsia="en-US"/>
    </w:rPr>
  </w:style>
  <w:style w:type="paragraph" w:styleId="Heading5">
    <w:name w:val="heading 5"/>
    <w:next w:val="Body"/>
    <w:link w:val="Heading5Char"/>
    <w:uiPriority w:val="9"/>
    <w:qFormat/>
    <w:rsid w:val="00EB12C0"/>
    <w:pPr>
      <w:keepNext/>
      <w:keepLines/>
      <w:spacing w:before="240" w:after="80" w:line="240" w:lineRule="atLeast"/>
      <w:outlineLvl w:val="4"/>
    </w:pPr>
    <w:rPr>
      <w:rFonts w:ascii="Arial" w:eastAsia="MS Mincho" w:hAnsi="Arial"/>
      <w:b/>
      <w:bCs/>
      <w:iCs/>
      <w:sz w:val="21"/>
      <w:szCs w:val="26"/>
      <w:lang w:eastAsia="en-US"/>
    </w:rPr>
  </w:style>
  <w:style w:type="paragraph" w:styleId="Heading6">
    <w:name w:val="heading 6"/>
    <w:basedOn w:val="Normal"/>
    <w:next w:val="Normal"/>
    <w:link w:val="Heading6Char"/>
    <w:uiPriority w:val="9"/>
    <w:semiHidden/>
    <w:unhideWhenUsed/>
    <w:qFormat/>
    <w:rsid w:val="00EB12C0"/>
    <w:pPr>
      <w:keepNext/>
      <w:keepLines/>
      <w:spacing w:before="40" w:after="0" w:line="259" w:lineRule="auto"/>
      <w:outlineLvl w:val="5"/>
    </w:pPr>
    <w:rPr>
      <w:rFonts w:ascii="VIC" w:eastAsiaTheme="majorEastAsia" w:hAnsi="VIC" w:cstheme="majorBidi"/>
      <w:i/>
      <w:iCs/>
      <w:color w:val="595959" w:themeColor="text1" w:themeTint="A6"/>
      <w:sz w:val="22"/>
      <w:szCs w:val="22"/>
      <w14:ligatures w14:val="standardContextual"/>
    </w:rPr>
  </w:style>
  <w:style w:type="paragraph" w:styleId="Heading7">
    <w:name w:val="heading 7"/>
    <w:basedOn w:val="Normal"/>
    <w:next w:val="Normal"/>
    <w:link w:val="Heading7Char"/>
    <w:uiPriority w:val="9"/>
    <w:semiHidden/>
    <w:unhideWhenUsed/>
    <w:qFormat/>
    <w:rsid w:val="00EB12C0"/>
    <w:pPr>
      <w:keepNext/>
      <w:keepLines/>
      <w:spacing w:before="40" w:after="0" w:line="259" w:lineRule="auto"/>
      <w:outlineLvl w:val="6"/>
    </w:pPr>
    <w:rPr>
      <w:rFonts w:ascii="VIC" w:eastAsiaTheme="majorEastAsia" w:hAnsi="VIC" w:cstheme="majorBidi"/>
      <w:color w:val="595959" w:themeColor="text1" w:themeTint="A6"/>
      <w:sz w:val="22"/>
      <w:szCs w:val="22"/>
      <w14:ligatures w14:val="standardContextual"/>
    </w:rPr>
  </w:style>
  <w:style w:type="paragraph" w:styleId="Heading8">
    <w:name w:val="heading 8"/>
    <w:basedOn w:val="Normal"/>
    <w:next w:val="Normal"/>
    <w:link w:val="Heading8Char"/>
    <w:uiPriority w:val="9"/>
    <w:semiHidden/>
    <w:unhideWhenUsed/>
    <w:qFormat/>
    <w:rsid w:val="00EB12C0"/>
    <w:pPr>
      <w:keepNext/>
      <w:keepLines/>
      <w:spacing w:after="0" w:line="259" w:lineRule="auto"/>
      <w:outlineLvl w:val="7"/>
    </w:pPr>
    <w:rPr>
      <w:rFonts w:ascii="VIC" w:eastAsiaTheme="majorEastAsia" w:hAnsi="VIC" w:cstheme="majorBidi"/>
      <w:i/>
      <w:iCs/>
      <w:color w:val="272727" w:themeColor="text1" w:themeTint="D8"/>
      <w:sz w:val="22"/>
      <w:szCs w:val="22"/>
      <w14:ligatures w14:val="standardContextual"/>
    </w:rPr>
  </w:style>
  <w:style w:type="paragraph" w:styleId="Heading9">
    <w:name w:val="heading 9"/>
    <w:basedOn w:val="Normal"/>
    <w:next w:val="Normal"/>
    <w:link w:val="Heading9Char"/>
    <w:uiPriority w:val="9"/>
    <w:semiHidden/>
    <w:unhideWhenUsed/>
    <w:qFormat/>
    <w:rsid w:val="00EB12C0"/>
    <w:pPr>
      <w:keepNext/>
      <w:keepLines/>
      <w:spacing w:after="0" w:line="259" w:lineRule="auto"/>
      <w:outlineLvl w:val="8"/>
    </w:pPr>
    <w:rPr>
      <w:rFonts w:ascii="VIC" w:eastAsiaTheme="majorEastAsia" w:hAnsi="VIC" w:cstheme="majorBidi"/>
      <w:color w:val="272727" w:themeColor="text1" w:themeTint="D8"/>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EB12C0"/>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C44141"/>
    <w:rPr>
      <w:rFonts w:ascii="Arial" w:eastAsia="MS Gothic" w:hAnsi="Arial" w:cs="Arial"/>
      <w:bCs/>
      <w:color w:val="5C308D"/>
      <w:kern w:val="32"/>
      <w:sz w:val="40"/>
      <w:szCs w:val="40"/>
      <w:lang w:eastAsia="en-US"/>
    </w:rPr>
  </w:style>
  <w:style w:type="character" w:customStyle="1" w:styleId="Heading2Char">
    <w:name w:val="Heading 2 Char"/>
    <w:link w:val="Heading2"/>
    <w:uiPriority w:val="9"/>
    <w:rsid w:val="0038129A"/>
    <w:rPr>
      <w:rFonts w:ascii="Arial" w:hAnsi="Arial"/>
      <w:b/>
      <w:color w:val="7030A0"/>
      <w:sz w:val="32"/>
      <w:szCs w:val="28"/>
      <w:lang w:eastAsia="en-US"/>
    </w:rPr>
  </w:style>
  <w:style w:type="character" w:customStyle="1" w:styleId="Heading3Char">
    <w:name w:val="Heading 3 Char"/>
    <w:link w:val="Heading3"/>
    <w:uiPriority w:val="9"/>
    <w:rsid w:val="0038129A"/>
    <w:rPr>
      <w:rFonts w:ascii="Arial" w:eastAsia="MS Gothic" w:hAnsi="Arial"/>
      <w:bCs/>
      <w:color w:val="7030A0"/>
      <w:sz w:val="28"/>
      <w:szCs w:val="26"/>
      <w:lang w:eastAsia="en-US"/>
    </w:rPr>
  </w:style>
  <w:style w:type="character" w:customStyle="1" w:styleId="Heading4Char">
    <w:name w:val="Heading 4 Char"/>
    <w:link w:val="Heading4"/>
    <w:uiPriority w:val="9"/>
    <w:rsid w:val="0038129A"/>
    <w:rPr>
      <w:rFonts w:ascii="Arial" w:eastAsia="MS Mincho" w:hAnsi="Arial"/>
      <w:b/>
      <w:bCs/>
      <w:color w:val="7030A0"/>
      <w:sz w:val="24"/>
      <w:szCs w:val="22"/>
      <w:lang w:eastAsia="en-US"/>
    </w:rPr>
  </w:style>
  <w:style w:type="paragraph" w:styleId="Header">
    <w:name w:val="header"/>
    <w:link w:val="HeaderChar"/>
    <w:uiPriority w:val="99"/>
    <w:rsid w:val="00EB12C0"/>
    <w:pPr>
      <w:spacing w:after="300"/>
    </w:pPr>
    <w:rPr>
      <w:rFonts w:ascii="Arial" w:hAnsi="Arial" w:cs="Arial"/>
      <w:b/>
      <w:color w:val="201547"/>
      <w:sz w:val="18"/>
      <w:szCs w:val="18"/>
      <w:lang w:eastAsia="en-US"/>
    </w:rPr>
  </w:style>
  <w:style w:type="paragraph" w:styleId="Footer">
    <w:name w:val="footer"/>
    <w:link w:val="FooterChar"/>
    <w:uiPriority w:val="99"/>
    <w:rsid w:val="00EB12C0"/>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EB12C0"/>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
    <w:rsid w:val="0038129A"/>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F0F22"/>
    <w:pPr>
      <w:spacing w:before="360" w:after="200" w:line="330" w:lineRule="atLeast"/>
      <w:outlineLvl w:val="9"/>
    </w:pPr>
    <w:rPr>
      <w:sz w:val="29"/>
    </w:rPr>
  </w:style>
  <w:style w:type="character" w:customStyle="1" w:styleId="TOCheadingfactsheetChar">
    <w:name w:val="TOC heading fact sheet Char"/>
    <w:link w:val="TOCheadingfactsheet"/>
    <w:uiPriority w:val="4"/>
    <w:rsid w:val="003F0F22"/>
    <w:rPr>
      <w:rFonts w:ascii="Arial" w:hAnsi="Arial"/>
      <w:b/>
      <w:color w:val="237D82"/>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EB12C0"/>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27291"/>
    <w:pPr>
      <w:spacing w:after="80" w:line="440" w:lineRule="atLeast"/>
    </w:pPr>
    <w:rPr>
      <w:rFonts w:ascii="Arial" w:hAnsi="Arial"/>
      <w:b/>
      <w:color w:val="5C308D"/>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EB12C0"/>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74731C"/>
    <w:pPr>
      <w:spacing w:before="80" w:after="60"/>
    </w:pPr>
    <w:rPr>
      <w:rFonts w:ascii="Arial" w:hAnsi="Arial"/>
      <w:b/>
      <w:color w:val="5C308D"/>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EB12C0"/>
    <w:rPr>
      <w:color w:val="5C308D"/>
      <w:u w:val="dotted"/>
    </w:rPr>
  </w:style>
  <w:style w:type="paragraph" w:customStyle="1" w:styleId="Documentsubtitle">
    <w:name w:val="Document subtitle"/>
    <w:uiPriority w:val="8"/>
    <w:rsid w:val="00DF20D3"/>
    <w:pPr>
      <w:spacing w:after="100" w:line="360" w:lineRule="atLeast"/>
    </w:pPr>
    <w:rPr>
      <w:rFonts w:ascii="Arial" w:hAnsi="Arial"/>
      <w:color w:val="5C308D"/>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EB12C0"/>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159FE"/>
    <w:pPr>
      <w:spacing w:before="120"/>
      <w:ind w:left="397"/>
    </w:pPr>
    <w:rPr>
      <w:color w:val="287E84"/>
      <w:sz w:val="22"/>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A36AD9"/>
    <w:pPr>
      <w:spacing w:line="320" w:lineRule="atLeast"/>
    </w:pPr>
    <w:rPr>
      <w:color w:val="5C308D"/>
      <w:sz w:val="24"/>
    </w:rPr>
  </w:style>
  <w:style w:type="table" w:customStyle="1" w:styleId="CGEPStable">
    <w:name w:val="CGEPS table"/>
    <w:basedOn w:val="TableNormal"/>
    <w:uiPriority w:val="99"/>
    <w:rsid w:val="003D54CD"/>
    <w:tblPr>
      <w:tblStyleRowBandSize w:val="1"/>
      <w:tblBorders>
        <w:bottom w:val="single" w:sz="4" w:space="0" w:color="5C308D"/>
        <w:insideH w:val="single" w:sz="4" w:space="0" w:color="5C308D"/>
        <w:insideV w:val="single" w:sz="4" w:space="0" w:color="5C308D"/>
      </w:tblBorders>
    </w:tblPr>
    <w:tcPr>
      <w:shd w:val="clear" w:color="auto" w:fill="EFEAF4"/>
    </w:tcPr>
    <w:tblStylePr w:type="firstRow">
      <w:tblPr/>
      <w:tcPr>
        <w:shd w:val="clear" w:color="auto" w:fill="FFFFFF" w:themeFill="background1"/>
      </w:tcPr>
    </w:tblStylePr>
  </w:style>
  <w:style w:type="character" w:customStyle="1" w:styleId="HeaderChar">
    <w:name w:val="Header Char"/>
    <w:basedOn w:val="DefaultParagraphFont"/>
    <w:link w:val="Header"/>
    <w:uiPriority w:val="99"/>
    <w:rsid w:val="00E05026"/>
    <w:rPr>
      <w:rFonts w:ascii="Arial" w:hAnsi="Arial" w:cs="Arial"/>
      <w:b/>
      <w:color w:val="201547"/>
      <w:sz w:val="18"/>
      <w:szCs w:val="18"/>
      <w:lang w:eastAsia="en-US"/>
    </w:rPr>
  </w:style>
  <w:style w:type="character" w:styleId="Mention">
    <w:name w:val="Mention"/>
    <w:basedOn w:val="DefaultParagraphFont"/>
    <w:uiPriority w:val="99"/>
    <w:unhideWhenUsed/>
    <w:rsid w:val="007541B9"/>
    <w:rPr>
      <w:color w:val="2B579A"/>
      <w:shd w:val="clear" w:color="auto" w:fill="E1DFDD"/>
    </w:rPr>
  </w:style>
  <w:style w:type="paragraph" w:styleId="TOCHeading">
    <w:name w:val="TOC Heading"/>
    <w:basedOn w:val="Heading1"/>
    <w:next w:val="Normal"/>
    <w:uiPriority w:val="39"/>
    <w:unhideWhenUsed/>
    <w:qFormat/>
    <w:rsid w:val="00862F64"/>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Heading6Char">
    <w:name w:val="Heading 6 Char"/>
    <w:basedOn w:val="DefaultParagraphFont"/>
    <w:link w:val="Heading6"/>
    <w:uiPriority w:val="9"/>
    <w:semiHidden/>
    <w:rsid w:val="00EB12C0"/>
    <w:rPr>
      <w:rFonts w:ascii="VIC" w:eastAsiaTheme="majorEastAsia" w:hAnsi="VIC" w:cstheme="majorBidi"/>
      <w:i/>
      <w:iCs/>
      <w:color w:val="595959" w:themeColor="text1" w:themeTint="A6"/>
      <w:sz w:val="22"/>
      <w:szCs w:val="22"/>
      <w:lang w:eastAsia="en-US"/>
      <w14:ligatures w14:val="standardContextual"/>
    </w:rPr>
  </w:style>
  <w:style w:type="character" w:customStyle="1" w:styleId="Heading7Char">
    <w:name w:val="Heading 7 Char"/>
    <w:basedOn w:val="DefaultParagraphFont"/>
    <w:link w:val="Heading7"/>
    <w:uiPriority w:val="9"/>
    <w:semiHidden/>
    <w:rsid w:val="00EB12C0"/>
    <w:rPr>
      <w:rFonts w:ascii="VIC" w:eastAsiaTheme="majorEastAsia" w:hAnsi="VIC" w:cstheme="majorBidi"/>
      <w:color w:val="595959" w:themeColor="text1" w:themeTint="A6"/>
      <w:sz w:val="22"/>
      <w:szCs w:val="22"/>
      <w:lang w:eastAsia="en-US"/>
      <w14:ligatures w14:val="standardContextual"/>
    </w:rPr>
  </w:style>
  <w:style w:type="character" w:customStyle="1" w:styleId="Heading8Char">
    <w:name w:val="Heading 8 Char"/>
    <w:basedOn w:val="DefaultParagraphFont"/>
    <w:link w:val="Heading8"/>
    <w:uiPriority w:val="9"/>
    <w:semiHidden/>
    <w:rsid w:val="00EB12C0"/>
    <w:rPr>
      <w:rFonts w:ascii="VIC" w:eastAsiaTheme="majorEastAsia" w:hAnsi="VIC" w:cstheme="majorBidi"/>
      <w:i/>
      <w:iCs/>
      <w:color w:val="272727" w:themeColor="text1" w:themeTint="D8"/>
      <w:sz w:val="22"/>
      <w:szCs w:val="22"/>
      <w:lang w:eastAsia="en-US"/>
      <w14:ligatures w14:val="standardContextual"/>
    </w:rPr>
  </w:style>
  <w:style w:type="character" w:customStyle="1" w:styleId="Heading9Char">
    <w:name w:val="Heading 9 Char"/>
    <w:basedOn w:val="DefaultParagraphFont"/>
    <w:link w:val="Heading9"/>
    <w:uiPriority w:val="9"/>
    <w:semiHidden/>
    <w:rsid w:val="00EB12C0"/>
    <w:rPr>
      <w:rFonts w:ascii="VIC" w:eastAsiaTheme="majorEastAsia" w:hAnsi="VIC" w:cstheme="majorBidi"/>
      <w:color w:val="272727" w:themeColor="text1" w:themeTint="D8"/>
      <w:sz w:val="22"/>
      <w:szCs w:val="22"/>
      <w:lang w:eastAsia="en-US"/>
      <w14:ligatures w14:val="standardContextual"/>
    </w:rPr>
  </w:style>
  <w:style w:type="paragraph" w:styleId="Quote">
    <w:name w:val="Quote"/>
    <w:basedOn w:val="Normal"/>
    <w:next w:val="Normal"/>
    <w:link w:val="QuoteChar"/>
    <w:uiPriority w:val="29"/>
    <w:qFormat/>
    <w:rsid w:val="00EB12C0"/>
    <w:pPr>
      <w:spacing w:before="160" w:after="160" w:line="259" w:lineRule="auto"/>
      <w:jc w:val="center"/>
    </w:pPr>
    <w:rPr>
      <w:rFonts w:ascii="VIC" w:eastAsiaTheme="minorHAnsi" w:hAnsi="VIC" w:cstheme="minorBidi"/>
      <w:i/>
      <w:iCs/>
      <w:color w:val="404040" w:themeColor="text1" w:themeTint="BF"/>
      <w:sz w:val="22"/>
      <w:szCs w:val="22"/>
      <w14:ligatures w14:val="standardContextual"/>
    </w:rPr>
  </w:style>
  <w:style w:type="character" w:customStyle="1" w:styleId="QuoteChar">
    <w:name w:val="Quote Char"/>
    <w:basedOn w:val="DefaultParagraphFont"/>
    <w:link w:val="Quote"/>
    <w:uiPriority w:val="29"/>
    <w:rsid w:val="00EB12C0"/>
    <w:rPr>
      <w:rFonts w:ascii="VIC" w:eastAsiaTheme="minorHAnsi" w:hAnsi="VIC" w:cstheme="minorBidi"/>
      <w:i/>
      <w:iCs/>
      <w:color w:val="404040" w:themeColor="text1" w:themeTint="BF"/>
      <w:sz w:val="22"/>
      <w:szCs w:val="22"/>
      <w:lang w:eastAsia="en-US"/>
      <w14:ligatures w14:val="standardContextual"/>
    </w:rPr>
  </w:style>
  <w:style w:type="paragraph" w:styleId="ListParagraph">
    <w:name w:val="List Paragraph"/>
    <w:basedOn w:val="Normal"/>
    <w:uiPriority w:val="34"/>
    <w:qFormat/>
    <w:rsid w:val="00EB12C0"/>
    <w:pPr>
      <w:spacing w:after="160" w:line="259" w:lineRule="auto"/>
      <w:ind w:left="720"/>
      <w:contextualSpacing/>
    </w:pPr>
    <w:rPr>
      <w:rFonts w:ascii="VIC" w:eastAsiaTheme="minorHAnsi" w:hAnsi="VIC" w:cstheme="minorBidi"/>
      <w:sz w:val="22"/>
      <w:szCs w:val="22"/>
      <w14:ligatures w14:val="standardContextual"/>
    </w:rPr>
  </w:style>
  <w:style w:type="character" w:styleId="IntenseEmphasis">
    <w:name w:val="Intense Emphasis"/>
    <w:basedOn w:val="DefaultParagraphFont"/>
    <w:uiPriority w:val="21"/>
    <w:qFormat/>
    <w:rsid w:val="00EB12C0"/>
    <w:rPr>
      <w:i/>
      <w:iCs/>
      <w:color w:val="365F91" w:themeColor="accent1" w:themeShade="BF"/>
    </w:rPr>
  </w:style>
  <w:style w:type="paragraph" w:styleId="IntenseQuote">
    <w:name w:val="Intense Quote"/>
    <w:basedOn w:val="Normal"/>
    <w:next w:val="Normal"/>
    <w:link w:val="IntenseQuoteChar"/>
    <w:uiPriority w:val="30"/>
    <w:qFormat/>
    <w:rsid w:val="00EB12C0"/>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VIC" w:eastAsiaTheme="minorHAnsi" w:hAnsi="VIC" w:cstheme="minorBidi"/>
      <w:i/>
      <w:iCs/>
      <w:color w:val="365F91" w:themeColor="accent1" w:themeShade="BF"/>
      <w:sz w:val="22"/>
      <w:szCs w:val="22"/>
      <w14:ligatures w14:val="standardContextual"/>
    </w:rPr>
  </w:style>
  <w:style w:type="character" w:customStyle="1" w:styleId="IntenseQuoteChar">
    <w:name w:val="Intense Quote Char"/>
    <w:basedOn w:val="DefaultParagraphFont"/>
    <w:link w:val="IntenseQuote"/>
    <w:uiPriority w:val="30"/>
    <w:rsid w:val="00EB12C0"/>
    <w:rPr>
      <w:rFonts w:ascii="VIC" w:eastAsiaTheme="minorHAnsi" w:hAnsi="VIC" w:cstheme="minorBidi"/>
      <w:i/>
      <w:iCs/>
      <w:color w:val="365F91" w:themeColor="accent1" w:themeShade="BF"/>
      <w:sz w:val="22"/>
      <w:szCs w:val="22"/>
      <w:lang w:eastAsia="en-US"/>
      <w14:ligatures w14:val="standardContextual"/>
    </w:rPr>
  </w:style>
  <w:style w:type="character" w:styleId="IntenseReference">
    <w:name w:val="Intense Reference"/>
    <w:basedOn w:val="DefaultParagraphFont"/>
    <w:uiPriority w:val="32"/>
    <w:qFormat/>
    <w:rsid w:val="00EB12C0"/>
    <w:rPr>
      <w:b/>
      <w:bCs/>
      <w:smallCaps/>
      <w:color w:val="365F91" w:themeColor="accent1" w:themeShade="BF"/>
      <w:spacing w:val="5"/>
    </w:rPr>
  </w:style>
  <w:style w:type="table" w:styleId="PlainTable4">
    <w:name w:val="Plain Table 4"/>
    <w:basedOn w:val="TableNormal"/>
    <w:uiPriority w:val="44"/>
    <w:rsid w:val="00EB12C0"/>
    <w:rPr>
      <w:rFonts w:asciiTheme="minorHAnsi" w:eastAsiaTheme="minorHAnsi" w:hAnsiTheme="minorHAnsi" w:cstheme="minorBidi"/>
      <w:sz w:val="22"/>
      <w:szCs w:val="22"/>
      <w:lang w:eastAsia="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EB12C0"/>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862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63961758">
      <w:bodyDiv w:val="1"/>
      <w:marLeft w:val="0"/>
      <w:marRight w:val="0"/>
      <w:marTop w:val="0"/>
      <w:marBottom w:val="0"/>
      <w:divBdr>
        <w:top w:val="none" w:sz="0" w:space="0" w:color="auto"/>
        <w:left w:val="none" w:sz="0" w:space="0" w:color="auto"/>
        <w:bottom w:val="none" w:sz="0" w:space="0" w:color="auto"/>
        <w:right w:val="none" w:sz="0" w:space="0" w:color="auto"/>
      </w:divBdr>
    </w:div>
    <w:div w:id="505874379">
      <w:bodyDiv w:val="1"/>
      <w:marLeft w:val="0"/>
      <w:marRight w:val="0"/>
      <w:marTop w:val="0"/>
      <w:marBottom w:val="0"/>
      <w:divBdr>
        <w:top w:val="none" w:sz="0" w:space="0" w:color="auto"/>
        <w:left w:val="none" w:sz="0" w:space="0" w:color="auto"/>
        <w:bottom w:val="none" w:sz="0" w:space="0" w:color="auto"/>
        <w:right w:val="none" w:sz="0" w:space="0" w:color="auto"/>
      </w:divBdr>
    </w:div>
    <w:div w:id="80917643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3150442">
      <w:bodyDiv w:val="1"/>
      <w:marLeft w:val="0"/>
      <w:marRight w:val="0"/>
      <w:marTop w:val="0"/>
      <w:marBottom w:val="0"/>
      <w:divBdr>
        <w:top w:val="none" w:sz="0" w:space="0" w:color="auto"/>
        <w:left w:val="none" w:sz="0" w:space="0" w:color="auto"/>
        <w:bottom w:val="none" w:sz="0" w:space="0" w:color="auto"/>
        <w:right w:val="none" w:sz="0" w:space="0" w:color="auto"/>
      </w:divBdr>
    </w:div>
    <w:div w:id="1040739073">
      <w:bodyDiv w:val="1"/>
      <w:marLeft w:val="0"/>
      <w:marRight w:val="0"/>
      <w:marTop w:val="0"/>
      <w:marBottom w:val="0"/>
      <w:divBdr>
        <w:top w:val="none" w:sz="0" w:space="0" w:color="auto"/>
        <w:left w:val="none" w:sz="0" w:space="0" w:color="auto"/>
        <w:bottom w:val="none" w:sz="0" w:space="0" w:color="auto"/>
        <w:right w:val="none" w:sz="0" w:space="0" w:color="auto"/>
      </w:divBdr>
    </w:div>
    <w:div w:id="1353923113">
      <w:bodyDiv w:val="1"/>
      <w:marLeft w:val="0"/>
      <w:marRight w:val="0"/>
      <w:marTop w:val="0"/>
      <w:marBottom w:val="0"/>
      <w:divBdr>
        <w:top w:val="none" w:sz="0" w:space="0" w:color="auto"/>
        <w:left w:val="none" w:sz="0" w:space="0" w:color="auto"/>
        <w:bottom w:val="none" w:sz="0" w:space="0" w:color="auto"/>
        <w:right w:val="none" w:sz="0" w:space="0" w:color="auto"/>
      </w:divBdr>
    </w:div>
    <w:div w:id="136826104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849531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617504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0756505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1981883">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875259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www.genderequalitycommission.vic.gov.au/the-public-sector-gender-equality-commissioner" TargetMode="External"/><Relationship Id="rId26" Type="http://schemas.openxmlformats.org/officeDocument/2006/relationships/hyperlink" Target="mailto:enquiries@genderequalitycommission.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nquiries@genderequalitycommission.vic.gov.au"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genderequalitycommission.vic.gov.au/about-gender-equality-act-2020" TargetMode="External"/><Relationship Id="rId25" Type="http://schemas.openxmlformats.org/officeDocument/2006/relationships/hyperlink" Target="https://www.dffh.vic.gov.au/making-freedom-information-request" TargetMode="External"/><Relationship Id="rId33" Type="http://schemas.openxmlformats.org/officeDocument/2006/relationships/header" Target="header2.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genderequalitycommission.vic.gov.au/" TargetMode="External"/><Relationship Id="rId20" Type="http://schemas.openxmlformats.org/officeDocument/2006/relationships/hyperlink" Target="https://www.education.gov.au/research-block-grants/research-training-program" TargetMode="External"/><Relationship Id="rId29"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enquiries@genderequalitycommission.vic.gov.au" TargetMode="External"/><Relationship Id="rId32" Type="http://schemas.openxmlformats.org/officeDocument/2006/relationships/hyperlink" Target="https://www.genderequalitycommission.vic.gov.au/our-phd-program"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enquiries@genderequalitycommission.vic.gov.au" TargetMode="External"/><Relationship Id="rId28" Type="http://schemas.openxmlformats.org/officeDocument/2006/relationships/hyperlink" Target="https://www.dffh.vic.gov.au/publications/privacy-policy"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education.gov.au/research-block-grants/research-training-program" TargetMode="External"/><Relationship Id="rId31"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genderequalitycommission.vic.gov.au/cgeps-phd-program" TargetMode="External"/><Relationship Id="rId27" Type="http://schemas.openxmlformats.org/officeDocument/2006/relationships/hyperlink" Target="mailto:privacy@dffh.vic.gov.au" TargetMode="External"/><Relationship Id="rId30" Type="http://schemas.openxmlformats.org/officeDocument/2006/relationships/image" Target="media/image4.png"/><Relationship Id="rId35"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0f00e27-c35f-46eb-9301-c9e2bd24673f">
      <Terms xmlns="http://schemas.microsoft.com/office/infopath/2007/PartnerControls"/>
    </lcf76f155ced4ddcb4097134ff3c332f>
    <_Flow_SignoffStatus xmlns="50f00e27-c35f-46eb-9301-c9e2bd24673f" xsi:nil="true"/>
    <TRIMstatus xmlns="50f00e27-c35f-46eb-9301-c9e2bd24673f" xsi:nil="true"/>
    <TRIMreference xmlns="50f00e27-c35f-46eb-9301-c9e2bd24673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openxmlformats.org/package/2006/metadata/core-properties"/>
    <ds:schemaRef ds:uri="50f00e27-c35f-46eb-9301-c9e2bd24673f"/>
    <ds:schemaRef ds:uri="http://schemas.microsoft.com/office/2006/documentManagement/types"/>
    <ds:schemaRef ds:uri="http://schemas.microsoft.com/office/infopath/2007/PartnerControls"/>
    <ds:schemaRef ds:uri="5ce0f2b5-5be5-4508-bce9-d7011ece0659"/>
    <ds:schemaRef ds:uri="27cb37dd-16a1-4d7b-8276-5c0e4168f63b"/>
    <ds:schemaRef ds:uri="http://www.w3.org/XML/1998/namespace"/>
    <ds:schemaRef ds:uri="http://purl.org/dc/dcmitype/"/>
  </ds:schemaRefs>
</ds:datastoreItem>
</file>

<file path=customXml/itemProps4.xml><?xml version="1.0" encoding="utf-8"?>
<ds:datastoreItem xmlns:ds="http://schemas.openxmlformats.org/officeDocument/2006/customXml" ds:itemID="{7C7AD06A-0CD3-454C-8E0B-BDBFBB41B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0e0601f-0fac-449c-9c88-a104c4eb9f28}" enabled="0" method="" siteId="{c0e0601f-0fac-449c-9c88-a104c4eb9f2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2749</Words>
  <Characters>18095</Characters>
  <Application>Microsoft Office Word</Application>
  <DocSecurity>2</DocSecurity>
  <Lines>150</Lines>
  <Paragraphs>41</Paragraphs>
  <ScaleCrop>false</ScaleCrop>
  <HeadingPairs>
    <vt:vector size="2" baseType="variant">
      <vt:variant>
        <vt:lpstr>Title</vt:lpstr>
      </vt:variant>
      <vt:variant>
        <vt:i4>1</vt:i4>
      </vt:variant>
    </vt:vector>
  </HeadingPairs>
  <TitlesOfParts>
    <vt:vector size="1" baseType="lpstr">
      <vt:lpstr>Commission for Gender Equality in the Public Sector PhD Program Guidlines</vt:lpstr>
    </vt:vector>
  </TitlesOfParts>
  <Manager>Commission for Gender Equality in the Public Sector</Manager>
  <Company>Victoria State Government, Commission for Gender Equality in the Public Sector</Company>
  <LinksUpToDate>false</LinksUpToDate>
  <CharactersWithSpaces>20803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for Gender Equality in the Public Sector PhD Program Guidlines</dc:title>
  <dc:subject>Commission for Gender Equality in the Public Sector PhD Program Guidlines</dc:subject>
  <dc:creator>Commission for Gender Equality in the Public Sector</dc:creator>
  <cp:keywords>Guidelines for CGEPS PhD program</cp:keywords>
  <cp:lastModifiedBy>Jessica Megarry (CGEPS)</cp:lastModifiedBy>
  <cp:revision>2</cp:revision>
  <cp:lastPrinted>2021-01-30T19:27:00Z</cp:lastPrinted>
  <dcterms:created xsi:type="dcterms:W3CDTF">2025-08-27T02:42:00Z</dcterms:created>
  <dcterms:modified xsi:type="dcterms:W3CDTF">2025-08-27T02:42:00Z</dcterms:modified>
  <cp:category>CGEPS factsheet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2022v1 15032022 SBV1 240525</vt:lpwstr>
  </property>
  <property fmtid="{D5CDD505-2E9C-101B-9397-08002B2CF9AE}" pid="4" name="MSIP_Label_43e64453-338c-4f93-8a4d-0039a0a41f2a_Enabled">
    <vt:lpwstr>true</vt:lpwstr>
  </property>
  <property fmtid="{D5CDD505-2E9C-101B-9397-08002B2CF9AE}" pid="5" name="MSIP_Label_43e64453-338c-4f93-8a4d-0039a0a41f2a_SetDate">
    <vt:lpwstr>2022-02-01T04:45:40Z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54912b29-25c0-467c-aeba-e810dbabbcec</vt:lpwstr>
  </property>
  <property fmtid="{D5CDD505-2E9C-101B-9397-08002B2CF9AE}" pid="10" name="MSIP_Label_43e64453-338c-4f93-8a4d-0039a0a41f2a_ContentBits">
    <vt:lpwstr>2</vt:lpwstr>
  </property>
  <property fmtid="{D5CDD505-2E9C-101B-9397-08002B2CF9AE}" pid="11" name="O365portals">
    <vt:lpwstr>https://dhhsvicgovau.sharepoint.com/:w:/s/dffh/Ed1G_4r4BHNHgqOGDkeMWhcB0Lm5z1k7mSu1dsrFHD18Fg?e=GtzvTT, DFFH A4 portrait factsheet Teal (O365)</vt:lpwstr>
  </property>
  <property fmtid="{D5CDD505-2E9C-101B-9397-08002B2CF9AE}" pid="12" name="xd_ProgID">
    <vt:lpwstr/>
  </property>
  <property fmtid="{D5CDD505-2E9C-101B-9397-08002B2CF9AE}" pid="13" name="Daysbeforethenextreview">
    <vt:r8>365</vt:r8>
  </property>
  <property fmtid="{D5CDD505-2E9C-101B-9397-08002B2CF9AE}" pid="14" name="ComplianceAssetId">
    <vt:lpwstr/>
  </property>
  <property fmtid="{D5CDD505-2E9C-101B-9397-08002B2CF9AE}" pid="15" name="TemplateUrl">
    <vt:lpwstr/>
  </property>
  <property fmtid="{D5CDD505-2E9C-101B-9397-08002B2CF9AE}" pid="16" name="Format">
    <vt:lpwstr>Factsheet</vt:lpwstr>
  </property>
  <property fmtid="{D5CDD505-2E9C-101B-9397-08002B2CF9AE}" pid="17" name="Style">
    <vt:lpwstr>Visual style</vt:lpwstr>
  </property>
  <property fmtid="{D5CDD505-2E9C-101B-9397-08002B2CF9AE}" pid="18" name="TemplateVersion">
    <vt:i4>1</vt:i4>
  </property>
  <property fmtid="{D5CDD505-2E9C-101B-9397-08002B2CF9AE}" pid="19" name="Hyperlink Base">
    <vt:lpwstr>https://dhhsvicgovau.sharepoint.com/:w:/s/dffh/ERru7sG4VvdIqrUpHqYgLGkBTVDvDkt3EhVEUNuHeoMhgw</vt:lpwstr>
  </property>
  <property fmtid="{D5CDD505-2E9C-101B-9397-08002B2CF9AE}" pid="20" name="Link">
    <vt:lpwstr>https://dhhsvicgovau.sharepoint.com/:w:/s/dffh/ERru7sG4VvdIqrUpHqYgLGkBTVDvDkt3EhVEUNuHeoMhgw, https://dhhsvicgovau.sharepoint.com/:w:/s/dffh/ERru7sG4VvdIqrUpHqYgLGkBTVDvDkt3EhVEUNuHeoMhgw</vt:lpwstr>
  </property>
  <property fmtid="{D5CDD505-2E9C-101B-9397-08002B2CF9AE}" pid="21" name="xd_Signature">
    <vt:bool>false</vt:bool>
  </property>
  <property fmtid="{D5CDD505-2E9C-101B-9397-08002B2CF9AE}" pid="22" name="GrammarlyDocumentId">
    <vt:lpwstr>a96ef3f9140c67fb1c37e25bbce71637528ada4686b3f059d6e1212ee154b03b</vt:lpwstr>
  </property>
  <property fmtid="{D5CDD505-2E9C-101B-9397-08002B2CF9AE}" pid="23" name="ContentTypeId">
    <vt:lpwstr>0x010100555DF7B4C3396B4DA0F821E47AA844D3</vt:lpwstr>
  </property>
  <property fmtid="{D5CDD505-2E9C-101B-9397-08002B2CF9AE}" pid="24" name="MediaServiceImageTags">
    <vt:lpwstr/>
  </property>
  <property fmtid="{D5CDD505-2E9C-101B-9397-08002B2CF9AE}" pid="25" name="_MarkAsFinal">
    <vt:bool>true</vt:bool>
  </property>
</Properties>
</file>