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F944" w14:textId="084E0D9E" w:rsidR="00A13EC5" w:rsidRPr="00A67293" w:rsidRDefault="00A13EC5" w:rsidP="00C9404A">
      <w:pPr>
        <w:spacing w:after="0" w:line="300" w:lineRule="atLeast"/>
        <w:rPr>
          <w:rFonts w:eastAsia="Times" w:cs="Arial"/>
          <w:color w:val="000000"/>
        </w:rPr>
      </w:pPr>
      <w:bookmarkStart w:id="0" w:name="_Hlk31380833"/>
    </w:p>
    <w:tbl>
      <w:tblPr>
        <w:tblW w:w="7797" w:type="dxa"/>
        <w:tblCellMar>
          <w:left w:w="0" w:type="dxa"/>
          <w:right w:w="0" w:type="dxa"/>
        </w:tblCellMar>
        <w:tblLook w:val="04A0" w:firstRow="1" w:lastRow="0" w:firstColumn="1" w:lastColumn="0" w:noHBand="0" w:noVBand="1"/>
      </w:tblPr>
      <w:tblGrid>
        <w:gridCol w:w="7797"/>
      </w:tblGrid>
      <w:tr w:rsidR="00A13EC5" w:rsidRPr="00A67293" w14:paraId="65204831" w14:textId="77777777" w:rsidTr="00D52C66">
        <w:trPr>
          <w:trHeight w:val="6131"/>
        </w:trPr>
        <w:tc>
          <w:tcPr>
            <w:tcW w:w="7797" w:type="dxa"/>
            <w:shd w:val="clear" w:color="auto" w:fill="auto"/>
            <w:vAlign w:val="center"/>
          </w:tcPr>
          <w:p w14:paraId="32C99865" w14:textId="471E0AA0" w:rsidR="00A67293" w:rsidRPr="003D251B" w:rsidRDefault="0085782A" w:rsidP="00CD26D4">
            <w:pPr>
              <w:pStyle w:val="Title"/>
              <w:rPr>
                <w:rFonts w:ascii="VIC SemiBold" w:hAnsi="VIC SemiBold"/>
                <w:color w:val="7030A0"/>
              </w:rPr>
            </w:pPr>
            <w:r w:rsidRPr="003D251B">
              <w:rPr>
                <w:rFonts w:ascii="VIC SemiBold" w:hAnsi="VIC SemiBold"/>
                <w:color w:val="7030A0"/>
              </w:rPr>
              <w:t xml:space="preserve">Workplace </w:t>
            </w:r>
            <w:r w:rsidR="00B67F6C" w:rsidRPr="003D251B">
              <w:rPr>
                <w:rFonts w:ascii="VIC SemiBold" w:hAnsi="VIC SemiBold"/>
                <w:color w:val="7030A0"/>
              </w:rPr>
              <w:t>g</w:t>
            </w:r>
            <w:r w:rsidRPr="003D251B">
              <w:rPr>
                <w:rFonts w:ascii="VIC SemiBold" w:hAnsi="VIC SemiBold"/>
                <w:color w:val="7030A0"/>
              </w:rPr>
              <w:t xml:space="preserve">ender </w:t>
            </w:r>
            <w:r w:rsidR="00B67F6C" w:rsidRPr="003D251B">
              <w:rPr>
                <w:rFonts w:ascii="VIC SemiBold" w:hAnsi="VIC SemiBold"/>
                <w:color w:val="7030A0"/>
              </w:rPr>
              <w:t>a</w:t>
            </w:r>
            <w:r w:rsidRPr="003D251B">
              <w:rPr>
                <w:rFonts w:ascii="VIC SemiBold" w:hAnsi="VIC SemiBold"/>
                <w:color w:val="7030A0"/>
              </w:rPr>
              <w:t>udit 2021</w:t>
            </w:r>
            <w:r w:rsidRPr="003D251B">
              <w:rPr>
                <w:rFonts w:ascii="VIC SemiBold" w:hAnsi="VIC SemiBold"/>
                <w:color w:val="7030A0"/>
              </w:rPr>
              <w:br/>
            </w:r>
          </w:p>
          <w:p w14:paraId="02275ADA" w14:textId="673636CC" w:rsidR="00A67293" w:rsidRPr="003D251B" w:rsidRDefault="00A67293" w:rsidP="00CD26D4">
            <w:pPr>
              <w:pStyle w:val="Title"/>
              <w:rPr>
                <w:rFonts w:ascii="VIC SemiBold" w:hAnsi="VIC SemiBold"/>
                <w:color w:val="7030A0"/>
              </w:rPr>
            </w:pPr>
            <w:bookmarkStart w:id="1" w:name="_Toc77179960"/>
            <w:r w:rsidRPr="003D251B">
              <w:rPr>
                <w:rFonts w:ascii="VIC SemiBold" w:hAnsi="VIC SemiBold"/>
                <w:color w:val="7030A0"/>
              </w:rPr>
              <w:t xml:space="preserve">Guidance for </w:t>
            </w:r>
            <w:r w:rsidR="00B67F6C" w:rsidRPr="003D251B">
              <w:rPr>
                <w:rFonts w:ascii="VIC SemiBold" w:hAnsi="VIC SemiBold"/>
                <w:color w:val="7030A0"/>
              </w:rPr>
              <w:t>d</w:t>
            </w:r>
            <w:r w:rsidRPr="003D251B">
              <w:rPr>
                <w:rFonts w:ascii="VIC SemiBold" w:hAnsi="VIC SemiBold"/>
                <w:color w:val="7030A0"/>
              </w:rPr>
              <w:t xml:space="preserve">efined </w:t>
            </w:r>
            <w:r w:rsidR="00B67F6C" w:rsidRPr="003D251B">
              <w:rPr>
                <w:rFonts w:ascii="VIC SemiBold" w:hAnsi="VIC SemiBold"/>
                <w:color w:val="7030A0"/>
              </w:rPr>
              <w:t>e</w:t>
            </w:r>
            <w:r w:rsidRPr="003D251B">
              <w:rPr>
                <w:rFonts w:ascii="VIC SemiBold" w:hAnsi="VIC SemiBold"/>
                <w:color w:val="7030A0"/>
              </w:rPr>
              <w:t>ntities</w:t>
            </w:r>
            <w:bookmarkEnd w:id="1"/>
          </w:p>
          <w:p w14:paraId="25E11BB5" w14:textId="47F0C24C" w:rsidR="00D966DF" w:rsidRDefault="00D966DF" w:rsidP="405A44CF">
            <w:pPr>
              <w:keepLines/>
              <w:spacing w:after="240" w:line="240" w:lineRule="auto"/>
              <w:rPr>
                <w:rFonts w:eastAsia="Times New Roman" w:cs="Arial"/>
                <w:color w:val="53565A"/>
                <w:sz w:val="50"/>
                <w:szCs w:val="50"/>
              </w:rPr>
            </w:pPr>
          </w:p>
          <w:p w14:paraId="7A5D654A" w14:textId="46482237" w:rsidR="00AB5F07" w:rsidRPr="00A67293" w:rsidRDefault="004C188E" w:rsidP="00C9404A">
            <w:pPr>
              <w:spacing w:after="120" w:line="240" w:lineRule="auto"/>
              <w:rPr>
                <w:rFonts w:eastAsia="Times New Roman" w:cs="Arial"/>
                <w:bCs/>
                <w:color w:val="53565A"/>
                <w:sz w:val="40"/>
                <w:szCs w:val="40"/>
              </w:rPr>
            </w:pPr>
            <w:r>
              <w:rPr>
                <w:rFonts w:eastAsia="Times New Roman" w:cs="Arial"/>
                <w:bCs/>
                <w:color w:val="53565A"/>
                <w:sz w:val="40"/>
                <w:szCs w:val="40"/>
              </w:rPr>
              <w:t xml:space="preserve">Version </w:t>
            </w:r>
            <w:r w:rsidR="00F602F9">
              <w:rPr>
                <w:rFonts w:eastAsia="Times New Roman" w:cs="Arial"/>
                <w:bCs/>
                <w:color w:val="53565A"/>
                <w:sz w:val="40"/>
                <w:szCs w:val="40"/>
              </w:rPr>
              <w:t>3.0</w:t>
            </w:r>
            <w:r>
              <w:rPr>
                <w:rFonts w:eastAsia="Times New Roman" w:cs="Arial"/>
                <w:bCs/>
                <w:color w:val="53565A"/>
                <w:sz w:val="40"/>
                <w:szCs w:val="40"/>
              </w:rPr>
              <w:t xml:space="preserve"> Published July 2021</w:t>
            </w:r>
          </w:p>
          <w:p w14:paraId="6C03B414" w14:textId="36EB8573" w:rsidR="0058027B" w:rsidRPr="00A67293" w:rsidRDefault="0058027B" w:rsidP="00C9404A">
            <w:pPr>
              <w:spacing w:after="120" w:line="240" w:lineRule="auto"/>
              <w:rPr>
                <w:rFonts w:eastAsia="Times New Roman" w:cs="Arial"/>
                <w:bCs/>
                <w:color w:val="53565A"/>
                <w:sz w:val="40"/>
                <w:szCs w:val="40"/>
              </w:rPr>
            </w:pPr>
          </w:p>
        </w:tc>
      </w:tr>
    </w:tbl>
    <w:p w14:paraId="227E736B" w14:textId="77777777" w:rsidR="00A13EC5" w:rsidRPr="00A67293" w:rsidRDefault="00A13EC5" w:rsidP="00C9404A">
      <w:pPr>
        <w:spacing w:after="0" w:line="300" w:lineRule="atLeast"/>
        <w:rPr>
          <w:rFonts w:eastAsia="Times" w:cs="Arial"/>
          <w:color w:val="000000"/>
        </w:rPr>
      </w:pPr>
    </w:p>
    <w:p w14:paraId="681E8DC2" w14:textId="69E7D181" w:rsidR="00A13EC5" w:rsidRPr="00A67293" w:rsidRDefault="00684BC3" w:rsidP="00C9404A">
      <w:pPr>
        <w:spacing w:after="0" w:line="300" w:lineRule="atLeast"/>
        <w:rPr>
          <w:rFonts w:eastAsia="Times" w:cs="Arial"/>
          <w:color w:val="000000"/>
        </w:rPr>
        <w:sectPr w:rsidR="00A13EC5" w:rsidRPr="00A67293" w:rsidSect="00E16769">
          <w:pgSz w:w="11906" w:h="16838"/>
          <w:pgMar w:top="3828" w:right="1418" w:bottom="1134" w:left="1418" w:header="454" w:footer="567" w:gutter="0"/>
          <w:pgNumType w:fmt="lowerRoman" w:start="1"/>
          <w:cols w:space="720"/>
          <w:docGrid w:linePitch="360"/>
        </w:sectPr>
      </w:pPr>
      <w:r w:rsidRPr="00A964EC">
        <w:rPr>
          <w:rFonts w:cstheme="minorHAnsi"/>
          <w:noProof/>
        </w:rPr>
        <mc:AlternateContent>
          <mc:Choice Requires="wpg">
            <w:drawing>
              <wp:anchor distT="0" distB="0" distL="114300" distR="114300" simplePos="0" relativeHeight="251658240" behindDoc="1" locked="1" layoutInCell="1" allowOverlap="1" wp14:anchorId="7D5D32A0" wp14:editId="132CD441">
                <wp:simplePos x="0" y="0"/>
                <wp:positionH relativeFrom="page">
                  <wp:align>right</wp:align>
                </wp:positionH>
                <wp:positionV relativeFrom="paragraph">
                  <wp:posOffset>-7015480</wp:posOffset>
                </wp:positionV>
                <wp:extent cx="7555865" cy="1744980"/>
                <wp:effectExtent l="0" t="0" r="6985" b="7620"/>
                <wp:wrapNone/>
                <wp:docPr id="16" name="Group 16"/>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7" name="Picture 17"/>
                          <pic:cNvPicPr>
                            <a:picLocks noChangeAspect="1"/>
                          </pic:cNvPicPr>
                        </pic:nvPicPr>
                        <pic:blipFill rotWithShape="1">
                          <a:blip r:embed="rId12"/>
                          <a:srcRect t="47505" b="2"/>
                          <a:stretch/>
                        </pic:blipFill>
                        <pic:spPr>
                          <a:xfrm>
                            <a:off x="0" y="4233"/>
                            <a:ext cx="7556500" cy="1739900"/>
                          </a:xfrm>
                          <a:prstGeom prst="rect">
                            <a:avLst/>
                          </a:prstGeom>
                        </pic:spPr>
                      </pic:pic>
                      <pic:pic xmlns:pic="http://schemas.openxmlformats.org/drawingml/2006/picture">
                        <pic:nvPicPr>
                          <pic:cNvPr id="18" name="Picture 9"/>
                          <pic:cNvPicPr>
                            <a:picLocks noChangeAspect="1"/>
                          </pic:cNvPicPr>
                        </pic:nvPicPr>
                        <pic:blipFill rotWithShape="1">
                          <a:blip r:embed="rId13">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C8EF02B" id="Group 16" o:spid="_x0000_s1026" style="position:absolute;margin-left:543.75pt;margin-top:-552.4pt;width:594.95pt;height:137.4pt;z-index:-251658240;mso-position-horizontal:right;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&#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0/pwmseGP30en8eC67x+fI0FywgUVxEo/mu3OY8Fyzjx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NK0en+bx4ZF5of9WLDc&#10;bnMeC5YRKK62Pf6MBXA7Tnw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">
                  <v:imagedata r:id="rId14"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">
                  <v:imagedata r:id="rId15" o:title="" cropbottom="1252f"/>
                </v:shape>
                <w10:wrap anchorx="page"/>
                <w10:anchorlock/>
              </v:group>
            </w:pict>
          </mc:Fallback>
        </mc:AlternateContent>
      </w:r>
    </w:p>
    <w:sdt>
      <w:sdtPr>
        <w:id w:val="-584301720"/>
        <w:docPartObj>
          <w:docPartGallery w:val="Table of Contents"/>
          <w:docPartUnique/>
        </w:docPartObj>
      </w:sdtPr>
      <w:sdtEndPr>
        <w:rPr>
          <w:rFonts w:eastAsiaTheme="minorHAnsi" w:cs="Arial"/>
          <w:b/>
          <w:bCs/>
          <w:noProof/>
          <w:color w:val="auto"/>
          <w:sz w:val="22"/>
          <w:szCs w:val="22"/>
          <w:lang w:val="en-AU"/>
        </w:rPr>
      </w:sdtEndPr>
      <w:sdtContent>
        <w:p w14:paraId="435F3355" w14:textId="74E33923" w:rsidR="00A744FD" w:rsidRPr="00E16769" w:rsidRDefault="00A744FD" w:rsidP="00D52C66">
          <w:pPr>
            <w:pStyle w:val="TOCHeading"/>
          </w:pPr>
          <w:r w:rsidRPr="00E16769">
            <w:t>Table of Contents</w:t>
          </w:r>
        </w:p>
        <w:p w14:paraId="2A1B6CC9" w14:textId="7ABCF9F5" w:rsidR="00CD26D4" w:rsidRPr="00CD26D4" w:rsidRDefault="00075917">
          <w:pPr>
            <w:pStyle w:val="TOC1"/>
            <w:rPr>
              <w:rFonts w:ascii="VIC" w:eastAsiaTheme="minorEastAsia" w:hAnsi="VIC" w:cstheme="minorBidi"/>
              <w:bCs w:val="0"/>
              <w:kern w:val="0"/>
              <w:lang w:eastAsia="en-AU"/>
            </w:rPr>
          </w:pPr>
          <w:r w:rsidRPr="00E16769">
            <w:rPr>
              <w:rFonts w:ascii="VIC" w:hAnsi="VIC"/>
              <w:sz w:val="24"/>
              <w:szCs w:val="24"/>
            </w:rPr>
            <w:fldChar w:fldCharType="begin"/>
          </w:r>
          <w:r w:rsidRPr="00E16769">
            <w:rPr>
              <w:rFonts w:ascii="VIC" w:hAnsi="VIC"/>
              <w:sz w:val="24"/>
              <w:szCs w:val="24"/>
            </w:rPr>
            <w:instrText xml:space="preserve"> TOC \o "1-3" \h \z \u </w:instrText>
          </w:r>
          <w:r w:rsidRPr="00E16769">
            <w:rPr>
              <w:rFonts w:ascii="VIC" w:hAnsi="VIC"/>
              <w:sz w:val="24"/>
              <w:szCs w:val="24"/>
            </w:rPr>
            <w:fldChar w:fldCharType="separate"/>
          </w:r>
          <w:hyperlink w:anchor="_Toc77249886" w:history="1">
            <w:r w:rsidR="00CD26D4" w:rsidRPr="00CD26D4">
              <w:rPr>
                <w:rStyle w:val="Hyperlink"/>
                <w:rFonts w:ascii="VIC" w:hAnsi="VIC"/>
              </w:rPr>
              <w:t>Introduction</w:t>
            </w:r>
            <w:r w:rsidR="00CD26D4" w:rsidRPr="00CD26D4">
              <w:rPr>
                <w:rFonts w:ascii="VIC" w:hAnsi="VIC"/>
                <w:webHidden/>
              </w:rPr>
              <w:tab/>
            </w:r>
            <w:r w:rsidR="00CD26D4" w:rsidRPr="00CD26D4">
              <w:rPr>
                <w:rFonts w:ascii="VIC" w:hAnsi="VIC"/>
                <w:webHidden/>
              </w:rPr>
              <w:fldChar w:fldCharType="begin"/>
            </w:r>
            <w:r w:rsidR="00CD26D4" w:rsidRPr="00CD26D4">
              <w:rPr>
                <w:rFonts w:ascii="VIC" w:hAnsi="VIC"/>
                <w:webHidden/>
              </w:rPr>
              <w:instrText xml:space="preserve"> PAGEREF _Toc77249886 \h </w:instrText>
            </w:r>
            <w:r w:rsidR="00CD26D4" w:rsidRPr="00CD26D4">
              <w:rPr>
                <w:rFonts w:ascii="VIC" w:hAnsi="VIC"/>
                <w:webHidden/>
              </w:rPr>
            </w:r>
            <w:r w:rsidR="00CD26D4" w:rsidRPr="00CD26D4">
              <w:rPr>
                <w:rFonts w:ascii="VIC" w:hAnsi="VIC"/>
                <w:webHidden/>
              </w:rPr>
              <w:fldChar w:fldCharType="separate"/>
            </w:r>
            <w:r w:rsidR="00CD26D4" w:rsidRPr="00CD26D4">
              <w:rPr>
                <w:rFonts w:ascii="VIC" w:hAnsi="VIC"/>
                <w:webHidden/>
              </w:rPr>
              <w:t>3</w:t>
            </w:r>
            <w:r w:rsidR="00CD26D4" w:rsidRPr="00CD26D4">
              <w:rPr>
                <w:rFonts w:ascii="VIC" w:hAnsi="VIC"/>
                <w:webHidden/>
              </w:rPr>
              <w:fldChar w:fldCharType="end"/>
            </w:r>
          </w:hyperlink>
        </w:p>
        <w:p w14:paraId="7929166F" w14:textId="5740F6EB" w:rsidR="00CD26D4" w:rsidRPr="00CD26D4" w:rsidRDefault="00CD26D4">
          <w:pPr>
            <w:pStyle w:val="TOC2"/>
            <w:rPr>
              <w:rFonts w:ascii="VIC" w:eastAsiaTheme="minorEastAsia" w:hAnsi="VIC" w:cstheme="minorBidi"/>
              <w:bCs w:val="0"/>
              <w:iCs w:val="0"/>
              <w:lang w:eastAsia="en-AU"/>
            </w:rPr>
          </w:pPr>
          <w:hyperlink w:anchor="_Toc77249887" w:history="1">
            <w:r w:rsidRPr="00CD26D4">
              <w:rPr>
                <w:rStyle w:val="Hyperlink"/>
                <w:rFonts w:ascii="VIC" w:eastAsia="Times" w:hAnsi="VIC"/>
              </w:rPr>
              <w:t>Obligations relating to workplace gender auditing for defined entities</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_Toc77249887 \h </w:instrText>
            </w:r>
            <w:r w:rsidRPr="00CD26D4">
              <w:rPr>
                <w:rFonts w:ascii="VIC" w:hAnsi="VIC"/>
                <w:webHidden/>
              </w:rPr>
            </w:r>
            <w:r w:rsidRPr="00CD26D4">
              <w:rPr>
                <w:rFonts w:ascii="VIC" w:hAnsi="VIC"/>
                <w:webHidden/>
              </w:rPr>
              <w:fldChar w:fldCharType="separate"/>
            </w:r>
            <w:r w:rsidRPr="00CD26D4">
              <w:rPr>
                <w:rFonts w:ascii="VIC" w:hAnsi="VIC"/>
                <w:webHidden/>
              </w:rPr>
              <w:t>4</w:t>
            </w:r>
            <w:r w:rsidRPr="00CD26D4">
              <w:rPr>
                <w:rFonts w:ascii="VIC" w:hAnsi="VIC"/>
                <w:webHidden/>
              </w:rPr>
              <w:fldChar w:fldCharType="end"/>
            </w:r>
          </w:hyperlink>
        </w:p>
        <w:p w14:paraId="384EA21A" w14:textId="78DAB542" w:rsidR="00CD26D4" w:rsidRPr="00CD26D4" w:rsidRDefault="00CD26D4">
          <w:pPr>
            <w:pStyle w:val="TOC2"/>
            <w:rPr>
              <w:rFonts w:ascii="VIC" w:eastAsiaTheme="minorEastAsia" w:hAnsi="VIC" w:cstheme="minorBidi"/>
              <w:bCs w:val="0"/>
              <w:iCs w:val="0"/>
              <w:lang w:eastAsia="en-AU"/>
            </w:rPr>
          </w:pPr>
          <w:hyperlink w:anchor="_Toc77249888" w:history="1">
            <w:r w:rsidRPr="00CD26D4">
              <w:rPr>
                <w:rStyle w:val="Hyperlink"/>
                <w:rFonts w:ascii="VIC" w:hAnsi="VIC"/>
              </w:rPr>
              <w:t>Gender-disaggregated and intersectional data</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_Toc77249888 \h </w:instrText>
            </w:r>
            <w:r w:rsidRPr="00CD26D4">
              <w:rPr>
                <w:rFonts w:ascii="VIC" w:hAnsi="VIC"/>
                <w:webHidden/>
              </w:rPr>
            </w:r>
            <w:r w:rsidRPr="00CD26D4">
              <w:rPr>
                <w:rFonts w:ascii="VIC" w:hAnsi="VIC"/>
                <w:webHidden/>
              </w:rPr>
              <w:fldChar w:fldCharType="separate"/>
            </w:r>
            <w:r w:rsidRPr="00CD26D4">
              <w:rPr>
                <w:rFonts w:ascii="VIC" w:hAnsi="VIC"/>
                <w:webHidden/>
              </w:rPr>
              <w:t>6</w:t>
            </w:r>
            <w:r w:rsidRPr="00CD26D4">
              <w:rPr>
                <w:rFonts w:ascii="VIC" w:hAnsi="VIC"/>
                <w:webHidden/>
              </w:rPr>
              <w:fldChar w:fldCharType="end"/>
            </w:r>
          </w:hyperlink>
        </w:p>
        <w:p w14:paraId="3BAD8A00" w14:textId="7BE02C56" w:rsidR="00CD26D4" w:rsidRPr="00CD26D4" w:rsidRDefault="00CD26D4">
          <w:pPr>
            <w:pStyle w:val="TOC1"/>
            <w:rPr>
              <w:rFonts w:ascii="VIC" w:eastAsiaTheme="minorEastAsia" w:hAnsi="VIC" w:cstheme="minorBidi"/>
              <w:bCs w:val="0"/>
              <w:kern w:val="0"/>
              <w:lang w:eastAsia="en-AU"/>
            </w:rPr>
          </w:pPr>
          <w:hyperlink w:anchor="_Toc77249889" w:history="1">
            <w:r w:rsidRPr="00CD26D4">
              <w:rPr>
                <w:rStyle w:val="Hyperlink"/>
                <w:rFonts w:ascii="VIC" w:hAnsi="VIC"/>
              </w:rPr>
              <w:t>Preparing for data collection</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_Toc77249889 \h </w:instrText>
            </w:r>
            <w:r w:rsidRPr="00CD26D4">
              <w:rPr>
                <w:rFonts w:ascii="VIC" w:hAnsi="VIC"/>
                <w:webHidden/>
              </w:rPr>
            </w:r>
            <w:r w:rsidRPr="00CD26D4">
              <w:rPr>
                <w:rFonts w:ascii="VIC" w:hAnsi="VIC"/>
                <w:webHidden/>
              </w:rPr>
              <w:fldChar w:fldCharType="separate"/>
            </w:r>
            <w:r w:rsidRPr="00CD26D4">
              <w:rPr>
                <w:rFonts w:ascii="VIC" w:hAnsi="VIC"/>
                <w:webHidden/>
              </w:rPr>
              <w:t>6</w:t>
            </w:r>
            <w:r w:rsidRPr="00CD26D4">
              <w:rPr>
                <w:rFonts w:ascii="VIC" w:hAnsi="VIC"/>
                <w:webHidden/>
              </w:rPr>
              <w:fldChar w:fldCharType="end"/>
            </w:r>
          </w:hyperlink>
        </w:p>
        <w:p w14:paraId="0B93F194" w14:textId="2BACF503" w:rsidR="00CD26D4" w:rsidRPr="00CD26D4" w:rsidRDefault="00CD26D4">
          <w:pPr>
            <w:pStyle w:val="TOC1"/>
            <w:rPr>
              <w:rFonts w:ascii="VIC" w:eastAsiaTheme="minorEastAsia" w:hAnsi="VIC" w:cstheme="minorBidi"/>
              <w:bCs w:val="0"/>
              <w:kern w:val="0"/>
              <w:lang w:eastAsia="en-AU"/>
            </w:rPr>
          </w:pPr>
          <w:hyperlink w:anchor="_Toc77249890" w:history="1">
            <w:r w:rsidRPr="00CD26D4">
              <w:rPr>
                <w:rStyle w:val="Hyperlink"/>
                <w:rFonts w:ascii="VIC" w:hAnsi="VIC"/>
              </w:rPr>
              <w:t>Workplace gender auditing process</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_Toc77249890 \h </w:instrText>
            </w:r>
            <w:r w:rsidRPr="00CD26D4">
              <w:rPr>
                <w:rFonts w:ascii="VIC" w:hAnsi="VIC"/>
                <w:webHidden/>
              </w:rPr>
            </w:r>
            <w:r w:rsidRPr="00CD26D4">
              <w:rPr>
                <w:rFonts w:ascii="VIC" w:hAnsi="VIC"/>
                <w:webHidden/>
              </w:rPr>
              <w:fldChar w:fldCharType="separate"/>
            </w:r>
            <w:r w:rsidRPr="00CD26D4">
              <w:rPr>
                <w:rFonts w:ascii="VIC" w:hAnsi="VIC"/>
                <w:webHidden/>
              </w:rPr>
              <w:t>7</w:t>
            </w:r>
            <w:r w:rsidRPr="00CD26D4">
              <w:rPr>
                <w:rFonts w:ascii="VIC" w:hAnsi="VIC"/>
                <w:webHidden/>
              </w:rPr>
              <w:fldChar w:fldCharType="end"/>
            </w:r>
          </w:hyperlink>
        </w:p>
        <w:p w14:paraId="45A76A7F" w14:textId="27863E56" w:rsidR="00CD26D4" w:rsidRPr="00CD26D4" w:rsidRDefault="00CD26D4">
          <w:pPr>
            <w:pStyle w:val="TOC2"/>
            <w:rPr>
              <w:rFonts w:ascii="VIC" w:eastAsiaTheme="minorEastAsia" w:hAnsi="VIC" w:cstheme="minorBidi"/>
              <w:bCs w:val="0"/>
              <w:iCs w:val="0"/>
              <w:lang w:eastAsia="en-AU"/>
            </w:rPr>
          </w:pPr>
          <w:hyperlink w:anchor="_Toc77249891" w:history="1">
            <w:r w:rsidRPr="00CD26D4">
              <w:rPr>
                <w:rStyle w:val="Hyperlink"/>
                <w:rFonts w:ascii="VIC" w:hAnsi="VIC"/>
                <w:lang w:eastAsia="en-AU"/>
              </w:rPr>
              <w:t>Stage 1 – Preparatory stage</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_Toc77249891 \h </w:instrText>
            </w:r>
            <w:r w:rsidRPr="00CD26D4">
              <w:rPr>
                <w:rFonts w:ascii="VIC" w:hAnsi="VIC"/>
                <w:webHidden/>
              </w:rPr>
            </w:r>
            <w:r w:rsidRPr="00CD26D4">
              <w:rPr>
                <w:rFonts w:ascii="VIC" w:hAnsi="VIC"/>
                <w:webHidden/>
              </w:rPr>
              <w:fldChar w:fldCharType="separate"/>
            </w:r>
            <w:r w:rsidRPr="00CD26D4">
              <w:rPr>
                <w:rFonts w:ascii="VIC" w:hAnsi="VIC"/>
                <w:webHidden/>
              </w:rPr>
              <w:t>7</w:t>
            </w:r>
            <w:r w:rsidRPr="00CD26D4">
              <w:rPr>
                <w:rFonts w:ascii="VIC" w:hAnsi="VIC"/>
                <w:webHidden/>
              </w:rPr>
              <w:fldChar w:fldCharType="end"/>
            </w:r>
          </w:hyperlink>
        </w:p>
        <w:p w14:paraId="42AD58A9" w14:textId="428E0F33" w:rsidR="00CD26D4" w:rsidRPr="00CD26D4" w:rsidRDefault="00CD26D4">
          <w:pPr>
            <w:pStyle w:val="TOC2"/>
            <w:rPr>
              <w:rFonts w:ascii="VIC" w:eastAsiaTheme="minorEastAsia" w:hAnsi="VIC" w:cstheme="minorBidi"/>
              <w:bCs w:val="0"/>
              <w:iCs w:val="0"/>
              <w:lang w:eastAsia="en-AU"/>
            </w:rPr>
          </w:pPr>
          <w:hyperlink w:anchor="_Toc77249892" w:history="1">
            <w:r w:rsidRPr="00CD26D4">
              <w:rPr>
                <w:rStyle w:val="Hyperlink"/>
                <w:rFonts w:ascii="VIC" w:hAnsi="VIC"/>
                <w:lang w:eastAsia="en-AU"/>
              </w:rPr>
              <w:t>Stage 2 – Data collection and analysis stage</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_Toc77249892 \h </w:instrText>
            </w:r>
            <w:r w:rsidRPr="00CD26D4">
              <w:rPr>
                <w:rFonts w:ascii="VIC" w:hAnsi="VIC"/>
                <w:webHidden/>
              </w:rPr>
            </w:r>
            <w:r w:rsidRPr="00CD26D4">
              <w:rPr>
                <w:rFonts w:ascii="VIC" w:hAnsi="VIC"/>
                <w:webHidden/>
              </w:rPr>
              <w:fldChar w:fldCharType="separate"/>
            </w:r>
            <w:r w:rsidRPr="00CD26D4">
              <w:rPr>
                <w:rFonts w:ascii="VIC" w:hAnsi="VIC"/>
                <w:webHidden/>
              </w:rPr>
              <w:t>8</w:t>
            </w:r>
            <w:r w:rsidRPr="00CD26D4">
              <w:rPr>
                <w:rFonts w:ascii="VIC" w:hAnsi="VIC"/>
                <w:webHidden/>
              </w:rPr>
              <w:fldChar w:fldCharType="end"/>
            </w:r>
          </w:hyperlink>
        </w:p>
        <w:p w14:paraId="0F2F3306" w14:textId="0A81D0A0" w:rsidR="00CD26D4" w:rsidRPr="00CD26D4" w:rsidRDefault="00CD26D4">
          <w:pPr>
            <w:pStyle w:val="TOC1"/>
            <w:rPr>
              <w:rFonts w:ascii="VIC" w:eastAsiaTheme="minorEastAsia" w:hAnsi="VIC" w:cstheme="minorBidi"/>
              <w:bCs w:val="0"/>
              <w:kern w:val="0"/>
              <w:lang w:eastAsia="en-AU"/>
            </w:rPr>
          </w:pPr>
          <w:hyperlink w:anchor="_Toc77249893" w:history="1">
            <w:r w:rsidRPr="00CD26D4">
              <w:rPr>
                <w:rStyle w:val="Hyperlink"/>
                <w:rFonts w:ascii="VIC" w:hAnsi="VIC"/>
              </w:rPr>
              <w:t>Workplace gender audit data measures</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_Toc77249893 \h </w:instrText>
            </w:r>
            <w:r w:rsidRPr="00CD26D4">
              <w:rPr>
                <w:rFonts w:ascii="VIC" w:hAnsi="VIC"/>
                <w:webHidden/>
              </w:rPr>
            </w:r>
            <w:r w:rsidRPr="00CD26D4">
              <w:rPr>
                <w:rFonts w:ascii="VIC" w:hAnsi="VIC"/>
                <w:webHidden/>
              </w:rPr>
              <w:fldChar w:fldCharType="separate"/>
            </w:r>
            <w:r w:rsidRPr="00CD26D4">
              <w:rPr>
                <w:rFonts w:ascii="VIC" w:hAnsi="VIC"/>
                <w:webHidden/>
              </w:rPr>
              <w:t>8</w:t>
            </w:r>
            <w:r w:rsidRPr="00CD26D4">
              <w:rPr>
                <w:rFonts w:ascii="VIC" w:hAnsi="VIC"/>
                <w:webHidden/>
              </w:rPr>
              <w:fldChar w:fldCharType="end"/>
            </w:r>
          </w:hyperlink>
        </w:p>
        <w:p w14:paraId="20C528AD" w14:textId="1C61AFA9" w:rsidR="00CD26D4" w:rsidRPr="00CD26D4" w:rsidRDefault="00CD26D4">
          <w:pPr>
            <w:pStyle w:val="TOC2"/>
            <w:rPr>
              <w:rFonts w:ascii="VIC" w:eastAsiaTheme="minorEastAsia" w:hAnsi="VIC" w:cstheme="minorBidi"/>
              <w:bCs w:val="0"/>
              <w:iCs w:val="0"/>
              <w:lang w:eastAsia="en-AU"/>
            </w:rPr>
          </w:pPr>
          <w:hyperlink w:anchor="_Toc77249894" w:history="1">
            <w:r w:rsidRPr="00CD26D4">
              <w:rPr>
                <w:rStyle w:val="Hyperlink"/>
                <w:rFonts w:ascii="VIC" w:hAnsi="VIC"/>
              </w:rPr>
              <w:t>Data measures</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_Toc77249894 \h </w:instrText>
            </w:r>
            <w:r w:rsidRPr="00CD26D4">
              <w:rPr>
                <w:rFonts w:ascii="VIC" w:hAnsi="VIC"/>
                <w:webHidden/>
              </w:rPr>
            </w:r>
            <w:r w:rsidRPr="00CD26D4">
              <w:rPr>
                <w:rFonts w:ascii="VIC" w:hAnsi="VIC"/>
                <w:webHidden/>
              </w:rPr>
              <w:fldChar w:fldCharType="separate"/>
            </w:r>
            <w:r w:rsidRPr="00CD26D4">
              <w:rPr>
                <w:rFonts w:ascii="VIC" w:hAnsi="VIC"/>
                <w:webHidden/>
              </w:rPr>
              <w:t>9</w:t>
            </w:r>
            <w:r w:rsidRPr="00CD26D4">
              <w:rPr>
                <w:rFonts w:ascii="VIC" w:hAnsi="VIC"/>
                <w:webHidden/>
              </w:rPr>
              <w:fldChar w:fldCharType="end"/>
            </w:r>
          </w:hyperlink>
        </w:p>
        <w:p w14:paraId="46B630DD" w14:textId="0883DCD7" w:rsidR="00CD26D4" w:rsidRPr="00CD26D4" w:rsidRDefault="00CD26D4">
          <w:pPr>
            <w:pStyle w:val="TOC1"/>
            <w:rPr>
              <w:rFonts w:ascii="VIC" w:eastAsiaTheme="minorEastAsia" w:hAnsi="VIC" w:cstheme="minorBidi"/>
              <w:bCs w:val="0"/>
              <w:kern w:val="0"/>
              <w:lang w:eastAsia="en-AU"/>
            </w:rPr>
          </w:pPr>
          <w:hyperlink w:anchor="_Toc77249895" w:history="1">
            <w:r w:rsidRPr="00CD26D4">
              <w:rPr>
                <w:rStyle w:val="Hyperlink"/>
                <w:rFonts w:ascii="VIC" w:hAnsi="VIC"/>
              </w:rPr>
              <w:t>Appendix 1: Definitions and instructions</w:t>
            </w:r>
            <w:r w:rsidRPr="00CD26D4">
              <w:rPr>
                <w:rFonts w:ascii="VIC" w:hAnsi="VIC"/>
                <w:webHidden/>
              </w:rPr>
              <w:tab/>
            </w:r>
            <w:r w:rsidRPr="00CD26D4">
              <w:rPr>
                <w:rFonts w:ascii="VIC" w:hAnsi="VIC"/>
                <w:webHidden/>
              </w:rPr>
              <w:fldChar w:fldCharType="begin"/>
            </w:r>
            <w:r w:rsidRPr="00CD26D4">
              <w:rPr>
                <w:rFonts w:ascii="VIC" w:hAnsi="VIC"/>
                <w:webHidden/>
              </w:rPr>
              <w:instrText xml:space="preserve"> PAGEREF _Toc77249895 \h </w:instrText>
            </w:r>
            <w:r w:rsidRPr="00CD26D4">
              <w:rPr>
                <w:rFonts w:ascii="VIC" w:hAnsi="VIC"/>
                <w:webHidden/>
              </w:rPr>
            </w:r>
            <w:r w:rsidRPr="00CD26D4">
              <w:rPr>
                <w:rFonts w:ascii="VIC" w:hAnsi="VIC"/>
                <w:webHidden/>
              </w:rPr>
              <w:fldChar w:fldCharType="separate"/>
            </w:r>
            <w:r w:rsidRPr="00CD26D4">
              <w:rPr>
                <w:rFonts w:ascii="VIC" w:hAnsi="VIC"/>
                <w:webHidden/>
              </w:rPr>
              <w:t>13</w:t>
            </w:r>
            <w:r w:rsidRPr="00CD26D4">
              <w:rPr>
                <w:rFonts w:ascii="VIC" w:hAnsi="VIC"/>
                <w:webHidden/>
              </w:rPr>
              <w:fldChar w:fldCharType="end"/>
            </w:r>
          </w:hyperlink>
        </w:p>
        <w:p w14:paraId="1E5FA6C1" w14:textId="567D7B14" w:rsidR="00075917" w:rsidRPr="00A67293" w:rsidRDefault="00075917" w:rsidP="00C9404A">
          <w:pPr>
            <w:rPr>
              <w:rFonts w:cs="Arial"/>
            </w:rPr>
          </w:pPr>
          <w:r w:rsidRPr="00E16769">
            <w:rPr>
              <w:rFonts w:cs="Arial"/>
              <w:b/>
              <w:bCs/>
              <w:noProof/>
              <w:sz w:val="24"/>
              <w:szCs w:val="24"/>
            </w:rPr>
            <w:fldChar w:fldCharType="end"/>
          </w:r>
        </w:p>
      </w:sdtContent>
    </w:sdt>
    <w:bookmarkEnd w:id="0" w:displacedByCustomXml="prev"/>
    <w:p w14:paraId="13D1A3BD" w14:textId="0713E5F6" w:rsidR="00A13EC5" w:rsidRPr="00A67293" w:rsidRDefault="00A13EC5" w:rsidP="00C9404A">
      <w:pPr>
        <w:spacing w:line="300" w:lineRule="atLeast"/>
        <w:rPr>
          <w:rFonts w:eastAsia="Times" w:cs="Arial"/>
          <w:color w:val="000000"/>
        </w:rPr>
      </w:pPr>
      <w:r w:rsidRPr="00A67293">
        <w:rPr>
          <w:rFonts w:eastAsia="Times" w:cs="Arial"/>
          <w:color w:val="000000"/>
        </w:rPr>
        <w:br w:type="page"/>
      </w:r>
    </w:p>
    <w:p w14:paraId="6C835470" w14:textId="26F9FD8E" w:rsidR="00A13EC5" w:rsidRPr="00A67293" w:rsidRDefault="00D30B3E" w:rsidP="00B16EC3">
      <w:pPr>
        <w:pStyle w:val="Heading1"/>
      </w:pPr>
      <w:bookmarkStart w:id="2" w:name="_Toc77249886"/>
      <w:r>
        <w:t>Introduction</w:t>
      </w:r>
      <w:bookmarkEnd w:id="2"/>
    </w:p>
    <w:p w14:paraId="208B2DA6" w14:textId="5896259B" w:rsidR="002B7EFB" w:rsidRPr="00C60809" w:rsidRDefault="002B7EFB" w:rsidP="00CA7ACC">
      <w:r w:rsidRPr="002B7EFB">
        <w:t xml:space="preserve">Workplace gender audits are </w:t>
      </w:r>
      <w:r w:rsidR="00CA7ACC">
        <w:t xml:space="preserve">an essential part of </w:t>
      </w:r>
      <w:r w:rsidR="00323E1F">
        <w:t xml:space="preserve">helping </w:t>
      </w:r>
      <w:r w:rsidRPr="00C60809">
        <w:t xml:space="preserve">your defined entity understand </w:t>
      </w:r>
      <w:r w:rsidR="00323E1F">
        <w:t>how it is performing in re</w:t>
      </w:r>
      <w:r w:rsidR="006325F6">
        <w:t>lation</w:t>
      </w:r>
      <w:r w:rsidR="00323E1F">
        <w:t xml:space="preserve"> to</w:t>
      </w:r>
      <w:r w:rsidRPr="00C60809">
        <w:t xml:space="preserve"> the systems, structures, policies and practices that promote workplace gender equality.</w:t>
      </w:r>
    </w:p>
    <w:p w14:paraId="2DF1F7E9" w14:textId="77777777" w:rsidR="002B7EFB" w:rsidRPr="00C60809" w:rsidRDefault="002B7EFB" w:rsidP="002B7EFB">
      <w:r w:rsidRPr="00C60809">
        <w:t>An initial workplace gender audit will establish baseline organisational data on gender equality from which your defined entity can:</w:t>
      </w:r>
    </w:p>
    <w:p w14:paraId="36C0737F" w14:textId="21A56835" w:rsidR="002B7EFB" w:rsidRPr="006F1CB7" w:rsidRDefault="002B7EFB" w:rsidP="002B7EFB">
      <w:pPr>
        <w:pStyle w:val="BodyVPSC"/>
        <w:numPr>
          <w:ilvl w:val="0"/>
          <w:numId w:val="40"/>
        </w:numPr>
        <w:rPr>
          <w:rFonts w:ascii="VIC" w:eastAsiaTheme="minorHAnsi" w:hAnsi="VIC" w:cs="Arial"/>
          <w:sz w:val="22"/>
          <w:szCs w:val="22"/>
        </w:rPr>
      </w:pPr>
      <w:r w:rsidRPr="00C60809">
        <w:rPr>
          <w:rFonts w:ascii="VIC" w:eastAsiaTheme="minorHAnsi" w:hAnsi="VIC" w:cs="Arial"/>
          <w:sz w:val="22"/>
          <w:szCs w:val="22"/>
        </w:rPr>
        <w:t xml:space="preserve">Identify </w:t>
      </w:r>
      <w:r w:rsidR="00323E1F">
        <w:rPr>
          <w:rFonts w:ascii="VIC" w:eastAsiaTheme="minorHAnsi" w:hAnsi="VIC" w:cs="Arial"/>
          <w:sz w:val="22"/>
          <w:szCs w:val="22"/>
        </w:rPr>
        <w:t xml:space="preserve">any </w:t>
      </w:r>
      <w:r w:rsidRPr="00C60809">
        <w:rPr>
          <w:rFonts w:ascii="VIC" w:eastAsiaTheme="minorHAnsi" w:hAnsi="VIC" w:cs="Arial"/>
          <w:sz w:val="22"/>
          <w:szCs w:val="22"/>
        </w:rPr>
        <w:t xml:space="preserve">critical gaps, areas for improvement and challenges to address in its </w:t>
      </w:r>
      <w:hyperlink r:id="rId16" w:history="1">
        <w:r w:rsidRPr="00C60809">
          <w:rPr>
            <w:rStyle w:val="Hyperlink"/>
            <w:rFonts w:ascii="VIC" w:eastAsiaTheme="minorHAnsi" w:hAnsi="VIC" w:cs="Arial"/>
            <w:sz w:val="22"/>
            <w:szCs w:val="22"/>
          </w:rPr>
          <w:t>Gender Equality Action Plan</w:t>
        </w:r>
      </w:hyperlink>
    </w:p>
    <w:p w14:paraId="101B9E6A" w14:textId="77777777" w:rsidR="002B7EFB" w:rsidRPr="00C60809" w:rsidRDefault="002B7EFB" w:rsidP="002B7EFB">
      <w:pPr>
        <w:pStyle w:val="BodyVPSC"/>
        <w:numPr>
          <w:ilvl w:val="0"/>
          <w:numId w:val="40"/>
        </w:numPr>
        <w:rPr>
          <w:rFonts w:ascii="VIC" w:eastAsiaTheme="minorHAnsi" w:hAnsi="VIC" w:cs="Arial"/>
          <w:sz w:val="22"/>
          <w:szCs w:val="22"/>
        </w:rPr>
      </w:pPr>
      <w:r w:rsidRPr="00C60809">
        <w:rPr>
          <w:rFonts w:ascii="VIC" w:eastAsiaTheme="minorHAnsi" w:hAnsi="VIC" w:cs="Arial"/>
          <w:sz w:val="22"/>
          <w:szCs w:val="22"/>
        </w:rPr>
        <w:t>Monitor and assess progress made in relation to workplace gender equality including whether strategies and measures are effective.</w:t>
      </w:r>
    </w:p>
    <w:p w14:paraId="0D4E3FD4" w14:textId="50E32EB9" w:rsidR="00E72CF1" w:rsidRPr="00C60809" w:rsidRDefault="008156DD">
      <w:r w:rsidRPr="00C60809">
        <w:t xml:space="preserve">This </w:t>
      </w:r>
      <w:r w:rsidR="0083271E" w:rsidRPr="00C60809">
        <w:t xml:space="preserve">document </w:t>
      </w:r>
      <w:r w:rsidRPr="00C60809">
        <w:t xml:space="preserve">contains guidance for conducting workplace gender audits under the </w:t>
      </w:r>
      <w:r w:rsidRPr="00E16769">
        <w:t xml:space="preserve">Gender Equality Act 2020 </w:t>
      </w:r>
      <w:r w:rsidRPr="00C60809">
        <w:t xml:space="preserve">(the Act). This guidance is issued under section 47 of the Act. This means defined entities must have regard to this guidance when complying with their obligations under the Act. </w:t>
      </w:r>
    </w:p>
    <w:p w14:paraId="63E6CA24" w14:textId="47633C8B" w:rsidR="00B26D9A" w:rsidRDefault="00550A36" w:rsidP="00C9404A">
      <w:bookmarkStart w:id="3" w:name="_Hlk56104798"/>
      <w:r w:rsidRPr="00C60809">
        <w:t xml:space="preserve">This guidance </w:t>
      </w:r>
      <w:r w:rsidR="00B21F8B" w:rsidRPr="00C60809">
        <w:t xml:space="preserve">sets out </w:t>
      </w:r>
      <w:r w:rsidR="00880A45" w:rsidRPr="00C60809">
        <w:t xml:space="preserve">how to </w:t>
      </w:r>
      <w:r w:rsidR="004B25CF" w:rsidRPr="00C60809">
        <w:t>conduct</w:t>
      </w:r>
      <w:r w:rsidR="00880A45" w:rsidRPr="00C60809">
        <w:t xml:space="preserve"> </w:t>
      </w:r>
      <w:r w:rsidR="004B25CF" w:rsidRPr="00C60809">
        <w:t>a workplace gender audit</w:t>
      </w:r>
      <w:r w:rsidR="00880A45" w:rsidRPr="00C60809">
        <w:t xml:space="preserve">, and </w:t>
      </w:r>
      <w:r w:rsidR="004B25CF" w:rsidRPr="00C60809">
        <w:t xml:space="preserve">the </w:t>
      </w:r>
      <w:r w:rsidR="00B21F8B" w:rsidRPr="00C60809">
        <w:t xml:space="preserve">data measures </w:t>
      </w:r>
      <w:r w:rsidR="00B06493" w:rsidRPr="00C60809">
        <w:t>to include in</w:t>
      </w:r>
      <w:r w:rsidR="009A3838" w:rsidRPr="00C60809">
        <w:t xml:space="preserve"> your </w:t>
      </w:r>
      <w:r w:rsidR="00DC5BF5" w:rsidRPr="00C60809">
        <w:t>entit</w:t>
      </w:r>
      <w:r w:rsidR="00DC5BF5">
        <w:t>y’s</w:t>
      </w:r>
      <w:r w:rsidR="00DC5BF5" w:rsidRPr="00C60809">
        <w:t xml:space="preserve"> </w:t>
      </w:r>
      <w:r w:rsidR="009A3838" w:rsidRPr="00C60809">
        <w:t>workplace gender audit</w:t>
      </w:r>
      <w:r w:rsidR="009A3838" w:rsidRPr="00C5517C">
        <w:t xml:space="preserve">. </w:t>
      </w:r>
      <w:r w:rsidR="00B26D9A" w:rsidRPr="00C60809">
        <w:t xml:space="preserve">The guidance should be read in conjunction with the </w:t>
      </w:r>
      <w:r w:rsidR="00644900">
        <w:rPr>
          <w:b/>
          <w:bCs/>
        </w:rPr>
        <w:t>workforce</w:t>
      </w:r>
      <w:r w:rsidR="00644900" w:rsidRPr="007E6336">
        <w:rPr>
          <w:b/>
          <w:bCs/>
        </w:rPr>
        <w:t xml:space="preserve"> </w:t>
      </w:r>
      <w:r w:rsidR="00B26D9A" w:rsidRPr="007E6336">
        <w:rPr>
          <w:b/>
          <w:bCs/>
        </w:rPr>
        <w:t xml:space="preserve">reporting template in </w:t>
      </w:r>
      <w:r w:rsidR="00DC5BF5">
        <w:rPr>
          <w:b/>
          <w:bCs/>
        </w:rPr>
        <w:t>E</w:t>
      </w:r>
      <w:r w:rsidR="00B26D9A" w:rsidRPr="007E6336">
        <w:rPr>
          <w:b/>
          <w:bCs/>
        </w:rPr>
        <w:t>xcel format</w:t>
      </w:r>
      <w:r w:rsidR="00C60CAC" w:rsidRPr="00E16769">
        <w:t>.</w:t>
      </w:r>
    </w:p>
    <w:p w14:paraId="260F3D98" w14:textId="63F9BDB2" w:rsidR="00B26D9A" w:rsidRDefault="00B26D9A" w:rsidP="00E16769">
      <w:pPr>
        <w:pStyle w:val="Calloutbox"/>
        <w:framePr w:wrap="notBeside"/>
      </w:pPr>
      <w:r>
        <w:t xml:space="preserve">Tip: </w:t>
      </w:r>
      <w:r w:rsidR="00B50173" w:rsidRPr="00B26D9A">
        <w:rPr>
          <w:b/>
          <w:bCs/>
        </w:rPr>
        <w:t xml:space="preserve">Definitions </w:t>
      </w:r>
      <w:r w:rsidR="00880A45" w:rsidRPr="00B26D9A">
        <w:rPr>
          <w:b/>
          <w:bCs/>
        </w:rPr>
        <w:t xml:space="preserve">and instructions </w:t>
      </w:r>
      <w:r w:rsidR="00C5517C" w:rsidRPr="00B26D9A">
        <w:t>to</w:t>
      </w:r>
      <w:r w:rsidR="00C5517C">
        <w:rPr>
          <w:b/>
          <w:bCs/>
        </w:rPr>
        <w:t xml:space="preserve"> </w:t>
      </w:r>
      <w:r w:rsidR="00C5517C">
        <w:t xml:space="preserve">support this guide </w:t>
      </w:r>
      <w:r w:rsidR="00B50173" w:rsidRPr="00C5517C">
        <w:t xml:space="preserve">are included </w:t>
      </w:r>
      <w:r w:rsidR="00880A45" w:rsidRPr="00C5517C">
        <w:t xml:space="preserve">in </w:t>
      </w:r>
      <w:hyperlink w:anchor="_Appendix_1:_Definitions" w:history="1">
        <w:r w:rsidR="00880A45" w:rsidRPr="00C5517C">
          <w:rPr>
            <w:rStyle w:val="Hyperlink"/>
          </w:rPr>
          <w:t>Appendix 1</w:t>
        </w:r>
      </w:hyperlink>
      <w:r w:rsidR="00B50173" w:rsidRPr="00C5517C">
        <w:t>.</w:t>
      </w:r>
    </w:p>
    <w:p w14:paraId="6374B7FC" w14:textId="77777777" w:rsidR="003210E6" w:rsidRDefault="003210E6" w:rsidP="007E6336">
      <w:pPr>
        <w:pStyle w:val="BodyVPSC"/>
        <w:rPr>
          <w:rFonts w:ascii="VIC" w:hAnsi="VIC"/>
          <w:sz w:val="22"/>
          <w:szCs w:val="22"/>
        </w:rPr>
      </w:pPr>
    </w:p>
    <w:p w14:paraId="39197CE9" w14:textId="57AB58A6" w:rsidR="002B7EFB" w:rsidRDefault="002B7EFB" w:rsidP="007E6336">
      <w:pPr>
        <w:pStyle w:val="BodyVPSC"/>
      </w:pPr>
      <w:r w:rsidRPr="005558DA">
        <w:rPr>
          <w:rFonts w:ascii="VIC" w:hAnsi="VIC"/>
          <w:sz w:val="22"/>
          <w:szCs w:val="22"/>
        </w:rPr>
        <w:t>There are two categories of data for your workplace gender audit</w:t>
      </w:r>
      <w:r w:rsidR="00323E1F">
        <w:rPr>
          <w:rFonts w:ascii="VIC" w:hAnsi="VIC"/>
          <w:sz w:val="22"/>
          <w:szCs w:val="22"/>
        </w:rPr>
        <w:t xml:space="preserve"> - </w:t>
      </w:r>
      <w:r w:rsidRPr="005558DA">
        <w:rPr>
          <w:rFonts w:ascii="VIC" w:hAnsi="VIC"/>
          <w:b/>
          <w:sz w:val="22"/>
          <w:szCs w:val="22"/>
        </w:rPr>
        <w:t>workforce</w:t>
      </w:r>
      <w:r w:rsidRPr="005558DA">
        <w:rPr>
          <w:rFonts w:ascii="VIC" w:hAnsi="VIC"/>
          <w:sz w:val="22"/>
          <w:szCs w:val="22"/>
        </w:rPr>
        <w:t xml:space="preserve"> data and </w:t>
      </w:r>
      <w:r w:rsidRPr="005558DA">
        <w:rPr>
          <w:rFonts w:ascii="VIC" w:hAnsi="VIC"/>
          <w:b/>
          <w:sz w:val="22"/>
          <w:szCs w:val="22"/>
        </w:rPr>
        <w:t>employee experience</w:t>
      </w:r>
      <w:r w:rsidRPr="005558DA">
        <w:rPr>
          <w:rFonts w:ascii="VIC" w:hAnsi="VIC"/>
          <w:sz w:val="22"/>
          <w:szCs w:val="22"/>
        </w:rPr>
        <w:t xml:space="preserve"> data. The </w:t>
      </w:r>
      <w:r w:rsidRPr="005558DA">
        <w:rPr>
          <w:rFonts w:ascii="VIC" w:hAnsi="VIC"/>
          <w:b/>
          <w:sz w:val="22"/>
          <w:szCs w:val="22"/>
        </w:rPr>
        <w:t xml:space="preserve">workforce </w:t>
      </w:r>
      <w:r w:rsidRPr="005558DA">
        <w:rPr>
          <w:rFonts w:ascii="VIC" w:hAnsi="VIC"/>
          <w:sz w:val="22"/>
          <w:szCs w:val="22"/>
        </w:rPr>
        <w:t xml:space="preserve">data should be extracted from your internal data collection systems. </w:t>
      </w:r>
      <w:r w:rsidRPr="005558DA">
        <w:rPr>
          <w:rFonts w:ascii="VIC" w:hAnsi="VIC"/>
          <w:b/>
          <w:sz w:val="22"/>
          <w:szCs w:val="22"/>
        </w:rPr>
        <w:t>Employee experience</w:t>
      </w:r>
      <w:r w:rsidRPr="005558DA">
        <w:rPr>
          <w:rFonts w:ascii="VIC" w:hAnsi="VIC"/>
          <w:sz w:val="22"/>
          <w:szCs w:val="22"/>
        </w:rPr>
        <w:t xml:space="preserve"> data will complement your workforce data to help you better understand gender inequality in your defined entity</w:t>
      </w:r>
      <w:r w:rsidR="00C5517C">
        <w:rPr>
          <w:rFonts w:ascii="VIC" w:hAnsi="VIC"/>
          <w:sz w:val="22"/>
          <w:szCs w:val="22"/>
        </w:rPr>
        <w:t>.</w:t>
      </w:r>
    </w:p>
    <w:bookmarkEnd w:id="3"/>
    <w:p w14:paraId="032289D7" w14:textId="77777777" w:rsidR="00580B6E" w:rsidRDefault="00580B6E">
      <w:pPr>
        <w:rPr>
          <w:rFonts w:eastAsia="MS Gothic" w:cs="Arial"/>
          <w:bCs/>
          <w:iCs/>
          <w:color w:val="0072CE"/>
          <w:sz w:val="36"/>
          <w:szCs w:val="36"/>
        </w:rPr>
      </w:pPr>
      <w:r>
        <w:br w:type="page"/>
      </w:r>
    </w:p>
    <w:p w14:paraId="7469AE4B" w14:textId="19AC5416" w:rsidR="008156DD" w:rsidRPr="00C13827" w:rsidRDefault="008C330C" w:rsidP="00C9404A">
      <w:pPr>
        <w:pStyle w:val="Heading2"/>
        <w:rPr>
          <w:rFonts w:eastAsia="Times"/>
        </w:rPr>
      </w:pPr>
      <w:hyperlink r:id="rId17" w:history="1"/>
      <w:bookmarkStart w:id="4" w:name="_Toc54705216"/>
      <w:bookmarkStart w:id="5" w:name="_Toc77249887"/>
      <w:r w:rsidR="008156DD" w:rsidRPr="00C13827">
        <w:rPr>
          <w:rFonts w:eastAsia="Times"/>
        </w:rPr>
        <w:t xml:space="preserve">Obligations </w:t>
      </w:r>
      <w:r w:rsidR="008156DD">
        <w:rPr>
          <w:rFonts w:eastAsia="Times"/>
        </w:rPr>
        <w:t>relating to</w:t>
      </w:r>
      <w:r w:rsidR="00AD4090">
        <w:rPr>
          <w:rFonts w:eastAsia="Times"/>
        </w:rPr>
        <w:t xml:space="preserve"> workplace gender audit</w:t>
      </w:r>
      <w:r w:rsidR="00B50173">
        <w:rPr>
          <w:rFonts w:eastAsia="Times"/>
        </w:rPr>
        <w:t>ing</w:t>
      </w:r>
      <w:r w:rsidR="008156DD">
        <w:rPr>
          <w:rFonts w:eastAsia="Times"/>
        </w:rPr>
        <w:t xml:space="preserve"> for defined </w:t>
      </w:r>
      <w:r w:rsidR="008156DD" w:rsidRPr="00C13827">
        <w:rPr>
          <w:rFonts w:eastAsia="Times"/>
        </w:rPr>
        <w:t>entities</w:t>
      </w:r>
      <w:bookmarkEnd w:id="4"/>
      <w:bookmarkEnd w:id="5"/>
      <w:r w:rsidR="008156DD" w:rsidRPr="00C13827">
        <w:rPr>
          <w:rFonts w:eastAsia="Times"/>
        </w:rPr>
        <w:t xml:space="preserve"> </w:t>
      </w:r>
    </w:p>
    <w:p w14:paraId="04C17FB7" w14:textId="579B0076" w:rsidR="00C17190" w:rsidRDefault="00EC0301" w:rsidP="0098624E">
      <w:pPr>
        <w:pStyle w:val="BodyVPSC"/>
        <w:rPr>
          <w:rFonts w:ascii="VIC" w:eastAsiaTheme="minorHAnsi" w:hAnsi="VIC" w:cs="Arial"/>
          <w:color w:val="auto"/>
          <w:sz w:val="22"/>
          <w:szCs w:val="22"/>
          <w:lang w:eastAsia="en-US"/>
        </w:rPr>
      </w:pPr>
      <w:r>
        <w:rPr>
          <w:rFonts w:ascii="VIC" w:eastAsiaTheme="minorHAnsi" w:hAnsi="VIC" w:cs="Arial"/>
          <w:color w:val="auto"/>
          <w:sz w:val="22"/>
          <w:szCs w:val="22"/>
          <w:lang w:eastAsia="en-US"/>
        </w:rPr>
        <w:t>Under the Act, a</w:t>
      </w:r>
      <w:r w:rsidR="00EC7AE1">
        <w:rPr>
          <w:rFonts w:ascii="VIC" w:eastAsiaTheme="minorHAnsi" w:hAnsi="VIC" w:cs="Arial"/>
          <w:color w:val="auto"/>
          <w:sz w:val="22"/>
          <w:szCs w:val="22"/>
          <w:lang w:eastAsia="en-US"/>
        </w:rPr>
        <w:t xml:space="preserve"> defined entity must use the</w:t>
      </w:r>
      <w:r w:rsidR="00917B15">
        <w:rPr>
          <w:rFonts w:ascii="VIC" w:eastAsiaTheme="minorHAnsi" w:hAnsi="VIC" w:cs="Arial"/>
          <w:color w:val="auto"/>
          <w:sz w:val="22"/>
          <w:szCs w:val="22"/>
          <w:lang w:eastAsia="en-US"/>
        </w:rPr>
        <w:t xml:space="preserve"> workplace gender audit </w:t>
      </w:r>
      <w:r w:rsidR="00EC7AE1">
        <w:rPr>
          <w:rFonts w:ascii="VIC" w:eastAsiaTheme="minorHAnsi" w:hAnsi="VIC" w:cs="Arial"/>
          <w:color w:val="auto"/>
          <w:sz w:val="22"/>
          <w:szCs w:val="22"/>
          <w:lang w:eastAsia="en-US"/>
        </w:rPr>
        <w:t>to</w:t>
      </w:r>
      <w:r w:rsidR="00917B15">
        <w:rPr>
          <w:rFonts w:ascii="VIC" w:eastAsiaTheme="minorHAnsi" w:hAnsi="VIC" w:cs="Arial"/>
          <w:color w:val="auto"/>
          <w:sz w:val="22"/>
          <w:szCs w:val="22"/>
          <w:lang w:eastAsia="en-US"/>
        </w:rPr>
        <w:t xml:space="preserve"> assess the state and nature of gender inequality in </w:t>
      </w:r>
      <w:r w:rsidR="0083271E">
        <w:rPr>
          <w:rFonts w:ascii="VIC" w:eastAsiaTheme="minorHAnsi" w:hAnsi="VIC" w:cs="Arial"/>
          <w:color w:val="auto"/>
          <w:sz w:val="22"/>
          <w:szCs w:val="22"/>
          <w:lang w:eastAsia="en-US"/>
        </w:rPr>
        <w:t xml:space="preserve">its </w:t>
      </w:r>
      <w:r w:rsidR="00917B15">
        <w:rPr>
          <w:rFonts w:ascii="VIC" w:eastAsiaTheme="minorHAnsi" w:hAnsi="VIC" w:cs="Arial"/>
          <w:color w:val="auto"/>
          <w:sz w:val="22"/>
          <w:szCs w:val="22"/>
          <w:lang w:eastAsia="en-US"/>
        </w:rPr>
        <w:t>workplace as at 30 June in the Gender Equality Action Plan reporting year</w:t>
      </w:r>
      <w:r w:rsidR="00BD7AE2">
        <w:rPr>
          <w:rFonts w:ascii="VIC" w:eastAsiaTheme="minorHAnsi" w:hAnsi="VIC" w:cs="Arial"/>
          <w:color w:val="auto"/>
          <w:sz w:val="22"/>
          <w:szCs w:val="22"/>
          <w:lang w:eastAsia="en-US"/>
        </w:rPr>
        <w:t xml:space="preserve"> (s11)</w:t>
      </w:r>
      <w:r w:rsidR="00917B15">
        <w:rPr>
          <w:rFonts w:ascii="VIC" w:eastAsiaTheme="minorHAnsi" w:hAnsi="VIC" w:cs="Arial"/>
          <w:color w:val="auto"/>
          <w:sz w:val="22"/>
          <w:szCs w:val="22"/>
          <w:lang w:eastAsia="en-US"/>
        </w:rPr>
        <w:t xml:space="preserve">. </w:t>
      </w:r>
      <w:bookmarkStart w:id="6" w:name="_Toc41936676"/>
      <w:r w:rsidR="0083271E">
        <w:rPr>
          <w:rFonts w:ascii="VIC" w:eastAsiaTheme="minorHAnsi" w:hAnsi="VIC" w:cs="Arial"/>
          <w:color w:val="auto"/>
          <w:sz w:val="22"/>
          <w:szCs w:val="22"/>
          <w:lang w:eastAsia="en-US"/>
        </w:rPr>
        <w:t>The first reporting year i</w:t>
      </w:r>
      <w:r w:rsidR="007C6859">
        <w:rPr>
          <w:rFonts w:ascii="VIC" w:eastAsiaTheme="minorHAnsi" w:hAnsi="VIC" w:cs="Arial"/>
          <w:color w:val="auto"/>
          <w:sz w:val="22"/>
          <w:szCs w:val="22"/>
          <w:lang w:eastAsia="en-US"/>
        </w:rPr>
        <w:t>s</w:t>
      </w:r>
      <w:r w:rsidR="0083271E">
        <w:rPr>
          <w:rFonts w:ascii="VIC" w:eastAsiaTheme="minorHAnsi" w:hAnsi="VIC" w:cs="Arial"/>
          <w:color w:val="auto"/>
          <w:sz w:val="22"/>
          <w:szCs w:val="22"/>
          <w:lang w:eastAsia="en-US"/>
        </w:rPr>
        <w:t xml:space="preserve"> 2021.</w:t>
      </w:r>
    </w:p>
    <w:p w14:paraId="29053905" w14:textId="744CF393" w:rsidR="002A14A7" w:rsidRPr="002A14A7" w:rsidRDefault="00EC0301" w:rsidP="002A14A7">
      <w:pPr>
        <w:pStyle w:val="BodyVPSC"/>
        <w:rPr>
          <w:rFonts w:ascii="VIC" w:eastAsia="Times" w:hAnsi="VIC" w:cs="Arial"/>
          <w:sz w:val="22"/>
          <w:szCs w:val="22"/>
        </w:rPr>
      </w:pPr>
      <w:r>
        <w:rPr>
          <w:rFonts w:ascii="VIC" w:eastAsia="Times" w:hAnsi="VIC" w:cs="Arial"/>
          <w:sz w:val="22"/>
          <w:szCs w:val="22"/>
        </w:rPr>
        <w:t xml:space="preserve">The </w:t>
      </w:r>
      <w:r w:rsidR="007C1F72">
        <w:rPr>
          <w:rFonts w:ascii="VIC" w:eastAsia="Times" w:hAnsi="VIC" w:cs="Arial"/>
          <w:sz w:val="22"/>
          <w:szCs w:val="22"/>
        </w:rPr>
        <w:t xml:space="preserve">Act </w:t>
      </w:r>
      <w:r w:rsidR="0083271E">
        <w:rPr>
          <w:rFonts w:ascii="VIC" w:eastAsia="Times" w:hAnsi="VIC" w:cs="Arial"/>
          <w:sz w:val="22"/>
          <w:szCs w:val="22"/>
        </w:rPr>
        <w:t>states</w:t>
      </w:r>
      <w:r>
        <w:rPr>
          <w:rFonts w:ascii="VIC" w:eastAsia="Times" w:hAnsi="VIC" w:cs="Arial"/>
          <w:sz w:val="22"/>
          <w:szCs w:val="22"/>
        </w:rPr>
        <w:t xml:space="preserve"> that</w:t>
      </w:r>
      <w:r w:rsidR="002A14A7" w:rsidRPr="405A44CF">
        <w:rPr>
          <w:rFonts w:ascii="VIC" w:eastAsia="Times" w:hAnsi="VIC" w:cs="Arial"/>
          <w:sz w:val="22"/>
          <w:szCs w:val="22"/>
        </w:rPr>
        <w:t xml:space="preserve"> defined entities </w:t>
      </w:r>
      <w:r w:rsidR="058B7878" w:rsidRPr="405A44CF">
        <w:rPr>
          <w:rFonts w:ascii="VIC" w:eastAsia="Times" w:hAnsi="VIC" w:cs="Arial"/>
          <w:sz w:val="22"/>
          <w:szCs w:val="22"/>
        </w:rPr>
        <w:t>are</w:t>
      </w:r>
      <w:r w:rsidR="002A14A7" w:rsidRPr="405A44CF">
        <w:rPr>
          <w:rFonts w:ascii="VIC" w:eastAsia="Times" w:hAnsi="VIC" w:cs="Arial"/>
          <w:sz w:val="22"/>
          <w:szCs w:val="22"/>
        </w:rPr>
        <w:t xml:space="preserve"> required to undertake a workplace gender audit having regard to the following</w:t>
      </w:r>
      <w:r w:rsidR="00452400" w:rsidRPr="405A44CF">
        <w:rPr>
          <w:rFonts w:ascii="VIC" w:eastAsia="Times" w:hAnsi="VIC" w:cs="Arial"/>
          <w:sz w:val="22"/>
          <w:szCs w:val="22"/>
        </w:rPr>
        <w:t xml:space="preserve"> (s11(2))</w:t>
      </w:r>
      <w:r w:rsidR="002A14A7" w:rsidRPr="405A44CF">
        <w:rPr>
          <w:rFonts w:ascii="VIC" w:eastAsia="Times" w:hAnsi="VIC" w:cs="Arial"/>
          <w:sz w:val="22"/>
          <w:szCs w:val="22"/>
        </w:rPr>
        <w:t>:</w:t>
      </w:r>
    </w:p>
    <w:p w14:paraId="486933FB" w14:textId="65808845" w:rsidR="002A14A7" w:rsidRDefault="002A14A7" w:rsidP="00600280">
      <w:pPr>
        <w:pStyle w:val="BodyVPSC"/>
        <w:numPr>
          <w:ilvl w:val="0"/>
          <w:numId w:val="40"/>
        </w:numPr>
        <w:spacing w:after="0"/>
        <w:ind w:left="360"/>
        <w:rPr>
          <w:rFonts w:ascii="VIC" w:eastAsiaTheme="minorHAnsi" w:hAnsi="VIC" w:cs="Arial"/>
          <w:sz w:val="22"/>
          <w:szCs w:val="22"/>
        </w:rPr>
      </w:pPr>
      <w:r w:rsidRPr="002A14A7">
        <w:rPr>
          <w:rFonts w:ascii="VIC" w:eastAsiaTheme="minorHAnsi" w:hAnsi="VIC" w:cs="Arial"/>
          <w:sz w:val="22"/>
          <w:szCs w:val="22"/>
        </w:rPr>
        <w:t>The workplace gender equality indicators</w:t>
      </w:r>
      <w:r w:rsidR="00B870D7">
        <w:rPr>
          <w:rFonts w:ascii="VIC" w:eastAsiaTheme="minorHAnsi" w:hAnsi="VIC" w:cs="Arial"/>
          <w:sz w:val="22"/>
          <w:szCs w:val="22"/>
        </w:rPr>
        <w:t xml:space="preserve">, namely: </w:t>
      </w:r>
    </w:p>
    <w:p w14:paraId="604E7862"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Gender composition of all levels of the workforce</w:t>
      </w:r>
    </w:p>
    <w:p w14:paraId="3D6D384B"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Gender composition of governing bodies</w:t>
      </w:r>
    </w:p>
    <w:p w14:paraId="22157648"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 xml:space="preserve">Equal remuneration for work of equal or comparable value across all levels of the workforce, irrespective of gender </w:t>
      </w:r>
    </w:p>
    <w:p w14:paraId="2C676440"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Sexual harassment in the workplace</w:t>
      </w:r>
    </w:p>
    <w:p w14:paraId="157DB8A7"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Recruitment and promotion practices in the workplace</w:t>
      </w:r>
    </w:p>
    <w:p w14:paraId="1321AA80"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Availability and utilisation of terms, conditions and practices relating to family violence leave, flexible working arrangements and working arrangements supporting workers with family or caring responsibilities</w:t>
      </w:r>
    </w:p>
    <w:p w14:paraId="0D969D16" w14:textId="77777777" w:rsidR="00394BE9" w:rsidRPr="00C15DA4" w:rsidRDefault="00394BE9" w:rsidP="00600280">
      <w:pPr>
        <w:pStyle w:val="ListParagraph"/>
        <w:numPr>
          <w:ilvl w:val="1"/>
          <w:numId w:val="51"/>
        </w:numPr>
        <w:ind w:left="1080"/>
        <w:rPr>
          <w:rFonts w:ascii="VIC" w:hAnsi="VIC" w:cs="Arial"/>
        </w:rPr>
      </w:pPr>
      <w:r w:rsidRPr="00C15DA4">
        <w:rPr>
          <w:rFonts w:ascii="VIC" w:hAnsi="VIC" w:cs="Arial"/>
        </w:rPr>
        <w:t>Gendered segregation within the workplace</w:t>
      </w:r>
    </w:p>
    <w:p w14:paraId="06FC02BF" w14:textId="1038493B" w:rsidR="002A14A7" w:rsidRPr="002A14A7" w:rsidRDefault="002A14A7" w:rsidP="00600280">
      <w:pPr>
        <w:pStyle w:val="BodyVPSC"/>
        <w:numPr>
          <w:ilvl w:val="0"/>
          <w:numId w:val="40"/>
        </w:numPr>
        <w:spacing w:after="0"/>
        <w:ind w:left="360"/>
        <w:rPr>
          <w:rFonts w:ascii="VIC" w:eastAsiaTheme="minorHAnsi" w:hAnsi="VIC" w:cs="Arial"/>
          <w:sz w:val="22"/>
          <w:szCs w:val="22"/>
        </w:rPr>
      </w:pPr>
      <w:r w:rsidRPr="002A14A7">
        <w:rPr>
          <w:rFonts w:ascii="VIC" w:eastAsiaTheme="minorHAnsi" w:hAnsi="VIC" w:cs="Arial"/>
          <w:sz w:val="22"/>
          <w:szCs w:val="22"/>
        </w:rPr>
        <w:t>Any prescribed gender equality targets or gender equality quotas in relation to the entity</w:t>
      </w:r>
      <w:r w:rsidR="00F72783">
        <w:rPr>
          <w:rStyle w:val="FootnoteReference"/>
          <w:rFonts w:ascii="VIC" w:eastAsiaTheme="minorHAnsi" w:hAnsi="VIC" w:cs="Arial"/>
          <w:sz w:val="22"/>
          <w:szCs w:val="22"/>
        </w:rPr>
        <w:footnoteReference w:id="2"/>
      </w:r>
    </w:p>
    <w:p w14:paraId="0D0215B5" w14:textId="47293CD9" w:rsidR="002A14A7" w:rsidRPr="002A14A7" w:rsidRDefault="002A14A7" w:rsidP="00600280">
      <w:pPr>
        <w:pStyle w:val="BodyVPSC"/>
        <w:numPr>
          <w:ilvl w:val="0"/>
          <w:numId w:val="40"/>
        </w:numPr>
        <w:spacing w:after="0"/>
        <w:ind w:left="360"/>
        <w:rPr>
          <w:rFonts w:ascii="VIC" w:eastAsiaTheme="minorHAnsi" w:hAnsi="VIC" w:cs="Arial"/>
          <w:sz w:val="22"/>
          <w:szCs w:val="22"/>
        </w:rPr>
      </w:pPr>
      <w:r w:rsidRPr="002A14A7">
        <w:rPr>
          <w:rFonts w:ascii="VIC" w:eastAsiaTheme="minorHAnsi" w:hAnsi="VIC" w:cs="Arial"/>
          <w:sz w:val="22"/>
          <w:szCs w:val="22"/>
        </w:rPr>
        <w:t xml:space="preserve">The compounded disadvantage or discrimination a person may experience </w:t>
      </w:r>
      <w:r w:rsidR="00CB5AB7" w:rsidRPr="002A14A7">
        <w:rPr>
          <w:rFonts w:ascii="VIC" w:eastAsiaTheme="minorHAnsi" w:hAnsi="VIC" w:cs="Arial"/>
          <w:sz w:val="22"/>
          <w:szCs w:val="22"/>
        </w:rPr>
        <w:t>based on</w:t>
      </w:r>
      <w:r w:rsidRPr="002A14A7">
        <w:rPr>
          <w:rFonts w:ascii="VIC" w:eastAsiaTheme="minorHAnsi" w:hAnsi="VIC" w:cs="Arial"/>
          <w:sz w:val="22"/>
          <w:szCs w:val="22"/>
        </w:rPr>
        <w:t xml:space="preserve"> Aboriginality; age; disability; ethnicity; gender identity; race; religion; or sexual orientation</w:t>
      </w:r>
      <w:r w:rsidR="00394BE9">
        <w:rPr>
          <w:rFonts w:ascii="VIC" w:eastAsiaTheme="minorHAnsi" w:hAnsi="VIC" w:cs="Arial"/>
          <w:sz w:val="22"/>
          <w:szCs w:val="22"/>
        </w:rPr>
        <w:t>, in addition to gender</w:t>
      </w:r>
    </w:p>
    <w:p w14:paraId="24077CB3" w14:textId="35A291BA" w:rsidR="002A14A7" w:rsidRPr="002A14A7" w:rsidRDefault="002A14A7" w:rsidP="00600280">
      <w:pPr>
        <w:pStyle w:val="BodyVPSC"/>
        <w:numPr>
          <w:ilvl w:val="0"/>
          <w:numId w:val="40"/>
        </w:numPr>
        <w:spacing w:after="0"/>
        <w:ind w:left="360"/>
        <w:rPr>
          <w:rFonts w:ascii="VIC" w:eastAsiaTheme="minorHAnsi" w:hAnsi="VIC" w:cs="Arial"/>
          <w:sz w:val="22"/>
          <w:szCs w:val="22"/>
        </w:rPr>
      </w:pPr>
      <w:r w:rsidRPr="002A14A7">
        <w:rPr>
          <w:rFonts w:ascii="VIC" w:eastAsiaTheme="minorHAnsi" w:hAnsi="VIC" w:cs="Arial"/>
          <w:sz w:val="22"/>
          <w:szCs w:val="22"/>
        </w:rPr>
        <w:t>Any other matters that the defined entity considers relevant</w:t>
      </w:r>
    </w:p>
    <w:p w14:paraId="4E479E7E" w14:textId="19102F1B" w:rsidR="002A14A7" w:rsidRPr="002A14A7" w:rsidRDefault="002A14A7" w:rsidP="00600280">
      <w:pPr>
        <w:pStyle w:val="BodyVPSC"/>
        <w:numPr>
          <w:ilvl w:val="0"/>
          <w:numId w:val="40"/>
        </w:numPr>
        <w:spacing w:after="0"/>
        <w:ind w:left="360"/>
        <w:rPr>
          <w:rFonts w:ascii="VIC" w:eastAsiaTheme="minorHAnsi" w:hAnsi="VIC" w:cs="Arial"/>
          <w:sz w:val="22"/>
          <w:szCs w:val="22"/>
        </w:rPr>
      </w:pPr>
      <w:r w:rsidRPr="002A14A7">
        <w:rPr>
          <w:rFonts w:ascii="VIC" w:eastAsiaTheme="minorHAnsi" w:hAnsi="VIC" w:cs="Arial"/>
          <w:sz w:val="22"/>
          <w:szCs w:val="22"/>
        </w:rPr>
        <w:t xml:space="preserve">Any </w:t>
      </w:r>
      <w:r w:rsidR="00CB5AB7">
        <w:rPr>
          <w:rFonts w:ascii="VIC" w:eastAsiaTheme="minorHAnsi" w:hAnsi="VIC" w:cs="Arial"/>
          <w:sz w:val="22"/>
          <w:szCs w:val="22"/>
        </w:rPr>
        <w:t xml:space="preserve">other </w:t>
      </w:r>
      <w:r w:rsidRPr="002A14A7">
        <w:rPr>
          <w:rFonts w:ascii="VIC" w:eastAsiaTheme="minorHAnsi" w:hAnsi="VIC" w:cs="Arial"/>
          <w:sz w:val="22"/>
          <w:szCs w:val="22"/>
        </w:rPr>
        <w:t>prescribed matters</w:t>
      </w:r>
      <w:r w:rsidR="00F72783">
        <w:rPr>
          <w:rStyle w:val="FootnoteReference"/>
          <w:rFonts w:ascii="VIC" w:eastAsiaTheme="minorHAnsi" w:hAnsi="VIC" w:cs="Arial"/>
          <w:sz w:val="22"/>
          <w:szCs w:val="22"/>
        </w:rPr>
        <w:footnoteReference w:id="3"/>
      </w:r>
      <w:r w:rsidRPr="002A14A7">
        <w:rPr>
          <w:rFonts w:ascii="VIC" w:eastAsiaTheme="minorHAnsi" w:hAnsi="VIC" w:cs="Arial"/>
          <w:sz w:val="22"/>
          <w:szCs w:val="22"/>
        </w:rPr>
        <w:t>.</w:t>
      </w:r>
    </w:p>
    <w:p w14:paraId="4C802D82" w14:textId="77777777" w:rsidR="00600280" w:rsidRDefault="00600280" w:rsidP="00600280">
      <w:pPr>
        <w:pStyle w:val="IntenseQuote"/>
        <w:framePr w:h="2568" w:hRule="exact" w:wrap="notBeside" w:y="1346"/>
        <w:spacing w:after="0"/>
        <w:ind w:left="142" w:right="232"/>
      </w:pPr>
      <w:r w:rsidRPr="00E16769">
        <w:rPr>
          <w:b/>
          <w:bCs/>
        </w:rPr>
        <w:t>Intersectional gender inequality</w:t>
      </w:r>
      <w:r w:rsidRPr="00967F26">
        <w:t xml:space="preserve"> </w:t>
      </w:r>
      <w:r>
        <w:br/>
      </w:r>
      <w:r w:rsidRPr="00967F26">
        <w:t>Section 6(8) of the Act outlines that gender inequality may be compounded by other forms of disadvantage or discrimination that a person may experience based on Aboriginality, age, disability, ethnicity, gender identity, race, religion, sexual orientation and other attributes. For the purposes of this guidance, the Commission refers to this concept as “</w:t>
      </w:r>
      <w:r w:rsidRPr="00E16769">
        <w:rPr>
          <w:b/>
          <w:bCs/>
        </w:rPr>
        <w:t>intersectional gender inequality</w:t>
      </w:r>
      <w:r w:rsidRPr="00967F26">
        <w:t xml:space="preserve">”.  </w:t>
      </w:r>
    </w:p>
    <w:p w14:paraId="127DED3D" w14:textId="5F9F6D8B" w:rsidR="00BD7AE2" w:rsidRDefault="00EC7AE1" w:rsidP="405A44CF">
      <w:pPr>
        <w:pStyle w:val="BodyVPSC"/>
        <w:rPr>
          <w:rFonts w:ascii="VIC" w:eastAsiaTheme="minorEastAsia" w:hAnsi="VIC"/>
          <w:color w:val="auto"/>
          <w:sz w:val="22"/>
          <w:szCs w:val="22"/>
        </w:rPr>
      </w:pPr>
      <w:r w:rsidRPr="405A44CF">
        <w:rPr>
          <w:rFonts w:ascii="VIC" w:eastAsiaTheme="minorEastAsia" w:hAnsi="VIC" w:cs="Arial"/>
          <w:color w:val="auto"/>
          <w:sz w:val="22"/>
          <w:szCs w:val="22"/>
          <w:lang w:eastAsia="en-US"/>
        </w:rPr>
        <w:t xml:space="preserve">Your </w:t>
      </w:r>
      <w:r w:rsidR="00E62844">
        <w:rPr>
          <w:rFonts w:ascii="VIC" w:eastAsiaTheme="minorEastAsia" w:hAnsi="VIC" w:cs="Arial"/>
          <w:color w:val="auto"/>
          <w:sz w:val="22"/>
          <w:szCs w:val="22"/>
          <w:lang w:eastAsia="en-US"/>
        </w:rPr>
        <w:t>defined entity</w:t>
      </w:r>
      <w:r w:rsidR="00B870D7">
        <w:rPr>
          <w:rFonts w:ascii="VIC" w:eastAsiaTheme="minorEastAsia" w:hAnsi="VIC" w:cs="Arial"/>
          <w:color w:val="auto"/>
          <w:sz w:val="22"/>
          <w:szCs w:val="22"/>
          <w:lang w:eastAsia="en-US"/>
        </w:rPr>
        <w:t xml:space="preserve">’s </w:t>
      </w:r>
      <w:r w:rsidRPr="405A44CF">
        <w:rPr>
          <w:rFonts w:ascii="VIC" w:eastAsiaTheme="minorEastAsia" w:hAnsi="VIC" w:cs="Arial"/>
          <w:color w:val="auto"/>
          <w:sz w:val="22"/>
          <w:szCs w:val="22"/>
          <w:lang w:eastAsia="en-US"/>
        </w:rPr>
        <w:t>first</w:t>
      </w:r>
      <w:r w:rsidR="00BD7AE2" w:rsidRPr="405A44CF">
        <w:rPr>
          <w:rFonts w:ascii="VIC" w:eastAsiaTheme="minorEastAsia" w:hAnsi="VIC" w:cs="Arial"/>
          <w:color w:val="auto"/>
          <w:sz w:val="22"/>
          <w:szCs w:val="22"/>
          <w:lang w:eastAsia="en-US"/>
        </w:rPr>
        <w:t xml:space="preserve"> workplace gender audit must be based on gender-disag</w:t>
      </w:r>
      <w:r w:rsidR="00DD3330" w:rsidRPr="405A44CF">
        <w:rPr>
          <w:rFonts w:ascii="VIC" w:eastAsiaTheme="minorEastAsia" w:hAnsi="VIC" w:cs="Arial"/>
          <w:color w:val="auto"/>
          <w:sz w:val="22"/>
          <w:szCs w:val="22"/>
          <w:lang w:eastAsia="en-US"/>
        </w:rPr>
        <w:t>gregated data as at 30 June 2021</w:t>
      </w:r>
      <w:r w:rsidR="00612A49" w:rsidRPr="405A44CF">
        <w:rPr>
          <w:rFonts w:ascii="VIC" w:eastAsiaTheme="minorEastAsia" w:hAnsi="VIC" w:cs="Arial"/>
          <w:color w:val="auto"/>
          <w:sz w:val="22"/>
          <w:szCs w:val="22"/>
          <w:lang w:eastAsia="en-US"/>
        </w:rPr>
        <w:t xml:space="preserve"> (s11(3)(a))</w:t>
      </w:r>
      <w:r w:rsidR="00DD3330" w:rsidRPr="405A44CF">
        <w:rPr>
          <w:rFonts w:ascii="VIC" w:eastAsiaTheme="minorEastAsia" w:hAnsi="VIC" w:cs="Arial"/>
          <w:color w:val="auto"/>
          <w:sz w:val="22"/>
          <w:szCs w:val="22"/>
          <w:lang w:eastAsia="en-US"/>
        </w:rPr>
        <w:t xml:space="preserve">. If available, the workplace gender audit must also be based on data about Aboriginality, age, disability, ethnicity, gender identity, race, religion and sexual </w:t>
      </w:r>
      <w:r w:rsidR="00DD3330" w:rsidRPr="001A63DB">
        <w:rPr>
          <w:rFonts w:ascii="VIC" w:eastAsiaTheme="minorEastAsia" w:hAnsi="VIC" w:cs="Arial"/>
          <w:color w:val="auto"/>
          <w:sz w:val="22"/>
          <w:szCs w:val="22"/>
          <w:lang w:eastAsia="en-US"/>
        </w:rPr>
        <w:t>orientation</w:t>
      </w:r>
      <w:r w:rsidR="1E2992E5" w:rsidRPr="001A63DB">
        <w:rPr>
          <w:rFonts w:ascii="VIC" w:eastAsiaTheme="minorEastAsia" w:hAnsi="VIC" w:cs="Arial"/>
          <w:color w:val="auto"/>
          <w:sz w:val="22"/>
          <w:szCs w:val="22"/>
          <w:lang w:eastAsia="en-US"/>
        </w:rPr>
        <w:t xml:space="preserve"> </w:t>
      </w:r>
      <w:r w:rsidR="00612A49" w:rsidRPr="001A63DB">
        <w:rPr>
          <w:rFonts w:ascii="VIC" w:eastAsiaTheme="minorEastAsia" w:hAnsi="VIC"/>
          <w:color w:val="auto"/>
          <w:sz w:val="22"/>
          <w:szCs w:val="22"/>
        </w:rPr>
        <w:t>(s11(3)(b))</w:t>
      </w:r>
      <w:r w:rsidR="59C20112" w:rsidRPr="001A63DB">
        <w:rPr>
          <w:rFonts w:ascii="VIC" w:eastAsiaTheme="minorEastAsia" w:hAnsi="VIC"/>
          <w:color w:val="auto"/>
          <w:sz w:val="22"/>
          <w:szCs w:val="22"/>
        </w:rPr>
        <w:t>.</w:t>
      </w:r>
    </w:p>
    <w:p w14:paraId="5F5D86AE" w14:textId="77777777" w:rsidR="00967F26" w:rsidRPr="00420D8F" w:rsidRDefault="00967F26" w:rsidP="00E16769"/>
    <w:p w14:paraId="0E4D4283" w14:textId="030A1CFF" w:rsidR="00C17190" w:rsidRPr="006F1CB7" w:rsidRDefault="007E6336" w:rsidP="006F1CB7">
      <w:pPr>
        <w:pStyle w:val="DPCbody"/>
        <w:rPr>
          <w:rFonts w:ascii="VIC" w:eastAsiaTheme="minorEastAsia" w:hAnsi="VIC"/>
          <w:color w:val="auto"/>
          <w:lang w:eastAsia="en-AU"/>
        </w:rPr>
      </w:pPr>
      <w:r>
        <w:rPr>
          <w:rFonts w:ascii="VIC" w:eastAsiaTheme="minorEastAsia" w:hAnsi="VIC"/>
          <w:color w:val="auto"/>
          <w:lang w:eastAsia="en-AU"/>
        </w:rPr>
        <w:t>The r</w:t>
      </w:r>
      <w:r w:rsidR="0098624E" w:rsidRPr="5E548FB1">
        <w:rPr>
          <w:rFonts w:ascii="VIC" w:eastAsiaTheme="minorEastAsia" w:hAnsi="VIC"/>
          <w:color w:val="auto"/>
          <w:lang w:eastAsia="en-AU"/>
        </w:rPr>
        <w:t xml:space="preserve">esults of a workplace gender audit must be included in </w:t>
      </w:r>
      <w:r w:rsidR="00B870D7" w:rsidRPr="5E548FB1">
        <w:rPr>
          <w:rFonts w:ascii="VIC" w:eastAsiaTheme="minorEastAsia" w:hAnsi="VIC"/>
          <w:color w:val="auto"/>
          <w:lang w:eastAsia="en-AU"/>
        </w:rPr>
        <w:t>your</w:t>
      </w:r>
      <w:r w:rsidR="0098624E" w:rsidRPr="5E548FB1">
        <w:rPr>
          <w:rFonts w:ascii="VIC" w:eastAsiaTheme="minorEastAsia" w:hAnsi="VIC"/>
          <w:color w:val="auto"/>
          <w:lang w:eastAsia="en-AU"/>
        </w:rPr>
        <w:t xml:space="preserve"> Gender Equality Action Plan (GEAP)</w:t>
      </w:r>
      <w:r w:rsidR="00C17190" w:rsidRPr="5E548FB1">
        <w:rPr>
          <w:rFonts w:ascii="VIC" w:eastAsiaTheme="minorEastAsia" w:hAnsi="VIC"/>
          <w:color w:val="auto"/>
          <w:lang w:eastAsia="en-AU"/>
        </w:rPr>
        <w:t xml:space="preserve"> </w:t>
      </w:r>
      <w:r w:rsidR="001C5608" w:rsidRPr="5E548FB1">
        <w:rPr>
          <w:rFonts w:ascii="VIC" w:eastAsiaTheme="minorEastAsia" w:hAnsi="VIC"/>
          <w:color w:val="auto"/>
          <w:lang w:eastAsia="en-AU"/>
        </w:rPr>
        <w:t>(s</w:t>
      </w:r>
      <w:r w:rsidR="004B2ED8" w:rsidRPr="5E548FB1">
        <w:rPr>
          <w:rFonts w:ascii="VIC" w:eastAsiaTheme="minorEastAsia" w:hAnsi="VIC"/>
          <w:color w:val="auto"/>
          <w:lang w:eastAsia="en-AU"/>
        </w:rPr>
        <w:t xml:space="preserve">10(1)(a)). </w:t>
      </w:r>
      <w:r w:rsidR="006F1CB7">
        <w:rPr>
          <w:rFonts w:ascii="VIC" w:hAnsi="VIC"/>
        </w:rPr>
        <w:t xml:space="preserve">For further details </w:t>
      </w:r>
      <w:r w:rsidR="00C223E8">
        <w:rPr>
          <w:rFonts w:ascii="VIC" w:hAnsi="VIC"/>
        </w:rPr>
        <w:t>on how to include the results of your workplace gender audit in your GEAP</w:t>
      </w:r>
      <w:r w:rsidR="00640B24">
        <w:rPr>
          <w:rFonts w:ascii="VIC" w:hAnsi="VIC"/>
        </w:rPr>
        <w:t>, see</w:t>
      </w:r>
      <w:r w:rsidR="00531D98">
        <w:rPr>
          <w:rFonts w:ascii="VIC" w:hAnsi="VIC"/>
        </w:rPr>
        <w:t xml:space="preserve"> </w:t>
      </w:r>
      <w:r w:rsidR="008E3AA3">
        <w:rPr>
          <w:rFonts w:ascii="VIC" w:hAnsi="VIC"/>
        </w:rPr>
        <w:t xml:space="preserve">the GEAP guidance on </w:t>
      </w:r>
      <w:hyperlink r:id="rId18" w:history="1">
        <w:r w:rsidR="00531D98" w:rsidRPr="00531D98">
          <w:rPr>
            <w:rStyle w:val="Hyperlink"/>
            <w:rFonts w:ascii="VIC" w:hAnsi="VIC"/>
          </w:rPr>
          <w:t>our website</w:t>
        </w:r>
      </w:hyperlink>
      <w:r w:rsidR="00C223E8">
        <w:rPr>
          <w:rFonts w:ascii="VIC" w:hAnsi="VIC"/>
        </w:rPr>
        <w:t>.</w:t>
      </w:r>
      <w:r w:rsidR="006F1CB7">
        <w:rPr>
          <w:rFonts w:ascii="VIC" w:hAnsi="VIC"/>
        </w:rPr>
        <w:t xml:space="preserve"> </w:t>
      </w:r>
    </w:p>
    <w:p w14:paraId="62F1DD09" w14:textId="77777777" w:rsidR="004738BA" w:rsidRDefault="005D7324" w:rsidP="006F1CB7">
      <w:pPr>
        <w:pStyle w:val="DPCbody"/>
        <w:rPr>
          <w:rFonts w:ascii="VIC" w:eastAsiaTheme="minorEastAsia" w:hAnsi="VIC"/>
          <w:color w:val="auto"/>
          <w:lang w:eastAsia="en-AU"/>
        </w:rPr>
      </w:pPr>
      <w:r w:rsidRPr="006F1CB7">
        <w:rPr>
          <w:rFonts w:ascii="VIC" w:eastAsiaTheme="minorEastAsia" w:hAnsi="VIC"/>
          <w:color w:val="auto"/>
          <w:lang w:eastAsia="en-AU"/>
        </w:rPr>
        <w:t xml:space="preserve">Before publishing </w:t>
      </w:r>
      <w:r w:rsidR="00F973A7" w:rsidRPr="006F1CB7">
        <w:rPr>
          <w:rFonts w:ascii="VIC" w:eastAsiaTheme="minorEastAsia" w:hAnsi="VIC"/>
          <w:color w:val="auto"/>
          <w:lang w:eastAsia="en-AU"/>
        </w:rPr>
        <w:t>the GEAP</w:t>
      </w:r>
      <w:r w:rsidR="4627F48A" w:rsidRPr="006F1CB7">
        <w:rPr>
          <w:rFonts w:ascii="VIC" w:eastAsiaTheme="minorEastAsia" w:hAnsi="VIC"/>
          <w:color w:val="auto"/>
          <w:lang w:eastAsia="en-AU"/>
        </w:rPr>
        <w:t>,</w:t>
      </w:r>
      <w:r w:rsidR="00F973A7" w:rsidRPr="006F1CB7">
        <w:rPr>
          <w:rFonts w:ascii="VIC" w:eastAsiaTheme="minorEastAsia" w:hAnsi="VIC"/>
          <w:color w:val="auto"/>
          <w:lang w:eastAsia="en-AU"/>
        </w:rPr>
        <w:t xml:space="preserve"> including workplace gender audit data, a defined entity must remove any personal information</w:t>
      </w:r>
      <w:r w:rsidR="00D00DB8" w:rsidRPr="007E6336">
        <w:rPr>
          <w:rFonts w:ascii="VIC" w:eastAsiaTheme="minorEastAsia" w:hAnsi="VIC"/>
          <w:color w:val="auto"/>
          <w:vertAlign w:val="superscript"/>
          <w:lang w:eastAsia="en-AU"/>
        </w:rPr>
        <w:footnoteReference w:id="4"/>
      </w:r>
      <w:r w:rsidR="00F973A7" w:rsidRPr="006F1CB7">
        <w:rPr>
          <w:rFonts w:ascii="VIC" w:eastAsiaTheme="minorEastAsia" w:hAnsi="VIC"/>
          <w:color w:val="auto"/>
          <w:lang w:eastAsia="en-AU"/>
        </w:rPr>
        <w:t xml:space="preserve"> (s51</w:t>
      </w:r>
      <w:r w:rsidR="00F54821" w:rsidRPr="006F1CB7">
        <w:rPr>
          <w:rFonts w:ascii="VIC" w:eastAsiaTheme="minorEastAsia" w:hAnsi="VIC"/>
          <w:color w:val="auto"/>
          <w:lang w:eastAsia="en-AU"/>
        </w:rPr>
        <w:t>(1)</w:t>
      </w:r>
      <w:r w:rsidR="00F973A7" w:rsidRPr="006F1CB7">
        <w:rPr>
          <w:rFonts w:ascii="VIC" w:eastAsiaTheme="minorEastAsia" w:hAnsi="VIC"/>
          <w:color w:val="auto"/>
          <w:lang w:eastAsia="en-AU"/>
        </w:rPr>
        <w:t>).</w:t>
      </w:r>
      <w:r w:rsidR="008F120A">
        <w:rPr>
          <w:rFonts w:ascii="VIC" w:eastAsiaTheme="minorEastAsia" w:hAnsi="VIC"/>
          <w:color w:val="auto"/>
          <w:lang w:eastAsia="en-AU"/>
        </w:rPr>
        <w:t xml:space="preserve"> </w:t>
      </w:r>
    </w:p>
    <w:p w14:paraId="62E0959C" w14:textId="53F42097" w:rsidR="00EC7940" w:rsidRDefault="004738BA" w:rsidP="006F1CB7">
      <w:pPr>
        <w:pStyle w:val="DPCbody"/>
        <w:rPr>
          <w:rFonts w:ascii="VIC" w:eastAsiaTheme="minorEastAsia" w:hAnsi="VIC"/>
          <w:color w:val="auto"/>
          <w:lang w:eastAsia="en-AU"/>
        </w:rPr>
      </w:pPr>
      <w:r w:rsidRPr="004738BA">
        <w:rPr>
          <w:rFonts w:ascii="VIC" w:eastAsiaTheme="minorEastAsia" w:hAnsi="VIC"/>
          <w:color w:val="auto"/>
          <w:lang w:eastAsia="en-AU"/>
        </w:rPr>
        <w:t xml:space="preserve">It is important to ensure the privacy and confidentiality of your workforce are maintained throughout the workplace gender audit process. </w:t>
      </w:r>
      <w:r>
        <w:rPr>
          <w:rFonts w:ascii="VIC" w:eastAsiaTheme="minorEastAsia" w:hAnsi="VIC"/>
          <w:color w:val="auto"/>
          <w:lang w:eastAsia="en-AU"/>
        </w:rPr>
        <w:t>I</w:t>
      </w:r>
      <w:r w:rsidRPr="004738BA">
        <w:rPr>
          <w:rFonts w:ascii="VIC" w:eastAsiaTheme="minorEastAsia" w:hAnsi="VIC"/>
          <w:color w:val="auto"/>
          <w:lang w:eastAsia="en-AU"/>
        </w:rPr>
        <w:t xml:space="preserve">nformation </w:t>
      </w:r>
      <w:r>
        <w:rPr>
          <w:rFonts w:ascii="VIC" w:eastAsiaTheme="minorEastAsia" w:hAnsi="VIC"/>
          <w:color w:val="auto"/>
          <w:lang w:eastAsia="en-AU"/>
        </w:rPr>
        <w:t xml:space="preserve">provided to the </w:t>
      </w:r>
      <w:r w:rsidRPr="004738BA">
        <w:rPr>
          <w:rFonts w:ascii="VIC" w:eastAsiaTheme="minorEastAsia" w:hAnsi="VIC"/>
          <w:color w:val="auto"/>
          <w:lang w:eastAsia="en-AU"/>
        </w:rPr>
        <w:t xml:space="preserve">Commission for Gender Equality in the Public Sector </w:t>
      </w:r>
      <w:r>
        <w:rPr>
          <w:rFonts w:ascii="VIC" w:eastAsiaTheme="minorEastAsia" w:hAnsi="VIC"/>
          <w:color w:val="auto"/>
          <w:lang w:eastAsia="en-AU"/>
        </w:rPr>
        <w:t xml:space="preserve">will be </w:t>
      </w:r>
      <w:r w:rsidRPr="004738BA">
        <w:rPr>
          <w:rFonts w:ascii="VIC" w:eastAsiaTheme="minorEastAsia" w:hAnsi="VIC"/>
          <w:color w:val="auto"/>
          <w:lang w:eastAsia="en-AU"/>
        </w:rPr>
        <w:t>manage</w:t>
      </w:r>
      <w:r>
        <w:rPr>
          <w:rFonts w:ascii="VIC" w:eastAsiaTheme="minorEastAsia" w:hAnsi="VIC"/>
          <w:color w:val="auto"/>
          <w:lang w:eastAsia="en-AU"/>
        </w:rPr>
        <w:t>d</w:t>
      </w:r>
      <w:r w:rsidRPr="004738BA">
        <w:rPr>
          <w:rFonts w:ascii="VIC" w:eastAsiaTheme="minorEastAsia" w:hAnsi="VIC"/>
          <w:color w:val="auto"/>
          <w:lang w:eastAsia="en-AU"/>
        </w:rPr>
        <w:t xml:space="preserve"> in line with relevant privacy laws. Defined entities are responsible for their own compliance with relevant privacy laws, including the </w:t>
      </w:r>
      <w:r w:rsidRPr="00E16769">
        <w:rPr>
          <w:rFonts w:ascii="VIC" w:eastAsiaTheme="minorEastAsia" w:hAnsi="VIC"/>
          <w:i/>
          <w:iCs/>
          <w:color w:val="auto"/>
          <w:lang w:eastAsia="en-AU"/>
        </w:rPr>
        <w:t>Privacy and Data Protection Act 2014</w:t>
      </w:r>
      <w:r w:rsidRPr="004738BA">
        <w:rPr>
          <w:rFonts w:ascii="VIC" w:eastAsiaTheme="minorEastAsia" w:hAnsi="VIC"/>
          <w:color w:val="auto"/>
          <w:lang w:eastAsia="en-AU"/>
        </w:rPr>
        <w:t xml:space="preserve"> (Vic) (PDP Act).  The Information Principles (IPPs) that are contained in Schedule 1 of the PDP Act set out the minimum standards for how Victorian public sector bodies should manage personal information.</w:t>
      </w:r>
      <w:r>
        <w:rPr>
          <w:rFonts w:ascii="VIC" w:eastAsiaTheme="minorEastAsia" w:hAnsi="VIC"/>
          <w:color w:val="auto"/>
          <w:lang w:eastAsia="en-AU"/>
        </w:rPr>
        <w:t xml:space="preserve"> </w:t>
      </w:r>
    </w:p>
    <w:p w14:paraId="03F271B7" w14:textId="4EA58621" w:rsidR="008F120A" w:rsidRPr="00420D8F" w:rsidRDefault="008F120A" w:rsidP="00E16769">
      <w:pPr>
        <w:pStyle w:val="Body"/>
      </w:pPr>
      <w:r w:rsidRPr="00E16769">
        <w:rPr>
          <w:b/>
          <w:bCs/>
        </w:rPr>
        <w:t xml:space="preserve">Other </w:t>
      </w:r>
      <w:r w:rsidR="00323E1F" w:rsidRPr="00E16769">
        <w:rPr>
          <w:b/>
          <w:bCs/>
        </w:rPr>
        <w:t xml:space="preserve">relevant </w:t>
      </w:r>
      <w:r w:rsidRPr="00E16769">
        <w:rPr>
          <w:b/>
          <w:bCs/>
        </w:rPr>
        <w:t>Victorian and Commonwealth</w:t>
      </w:r>
      <w:r w:rsidRPr="00420D8F">
        <w:t xml:space="preserve"> </w:t>
      </w:r>
      <w:r w:rsidRPr="00E16769">
        <w:rPr>
          <w:b/>
          <w:bCs/>
        </w:rPr>
        <w:t>laws</w:t>
      </w:r>
      <w:r w:rsidRPr="00420D8F">
        <w:t xml:space="preserve"> </w:t>
      </w:r>
    </w:p>
    <w:p w14:paraId="07011BF4" w14:textId="15613F49" w:rsidR="008F120A" w:rsidRPr="009D079E" w:rsidRDefault="008F120A" w:rsidP="00E16769">
      <w:pPr>
        <w:pStyle w:val="Body"/>
      </w:pPr>
      <w:r w:rsidRPr="009D079E">
        <w:t xml:space="preserve">When </w:t>
      </w:r>
      <w:r>
        <w:t>conducting a workplace gender audit</w:t>
      </w:r>
      <w:r w:rsidRPr="009D079E">
        <w:t>, defined entities must have regard to their legal obligations under relevant Commonwealth and State legislation and industrial instruments</w:t>
      </w:r>
      <w:r>
        <w:t xml:space="preserve">, </w:t>
      </w:r>
      <w:r w:rsidRPr="009D079E">
        <w:t>including</w:t>
      </w:r>
      <w:r>
        <w:t xml:space="preserve"> but not limited to</w:t>
      </w:r>
      <w:r w:rsidRPr="009D079E">
        <w:t>:</w:t>
      </w:r>
    </w:p>
    <w:p w14:paraId="509A0208" w14:textId="77777777" w:rsidR="008F120A" w:rsidRDefault="008F120A" w:rsidP="00E16769">
      <w:pPr>
        <w:pStyle w:val="Body"/>
        <w:numPr>
          <w:ilvl w:val="0"/>
          <w:numId w:val="58"/>
        </w:numPr>
      </w:pPr>
      <w:r w:rsidRPr="009D079E">
        <w:t xml:space="preserve">The </w:t>
      </w:r>
      <w:r w:rsidRPr="009D079E">
        <w:rPr>
          <w:i/>
          <w:iCs/>
        </w:rPr>
        <w:t>Fair Work Act 2009</w:t>
      </w:r>
      <w:r w:rsidRPr="009D079E">
        <w:t xml:space="preserve"> </w:t>
      </w:r>
      <w:r>
        <w:t>(</w:t>
      </w:r>
      <w:proofErr w:type="spellStart"/>
      <w:r>
        <w:t>Cth</w:t>
      </w:r>
      <w:proofErr w:type="spellEnd"/>
      <w:r>
        <w:t xml:space="preserve">) </w:t>
      </w:r>
      <w:r w:rsidRPr="009D079E">
        <w:t>and other Commonwealth workplace relations legislation</w:t>
      </w:r>
    </w:p>
    <w:p w14:paraId="3F4CD50F" w14:textId="57931A2B" w:rsidR="008F120A" w:rsidRDefault="008F120A" w:rsidP="00E16769">
      <w:pPr>
        <w:pStyle w:val="Body"/>
        <w:numPr>
          <w:ilvl w:val="0"/>
          <w:numId w:val="58"/>
        </w:numPr>
      </w:pPr>
      <w:r>
        <w:t xml:space="preserve">The </w:t>
      </w:r>
      <w:r w:rsidRPr="00E16769">
        <w:rPr>
          <w:i/>
        </w:rPr>
        <w:t>Equal Opportunity Act 2010</w:t>
      </w:r>
      <w:r w:rsidRPr="009F2B10">
        <w:t xml:space="preserve"> (Vic)</w:t>
      </w:r>
      <w:r>
        <w:t xml:space="preserve"> and the </w:t>
      </w:r>
      <w:r w:rsidRPr="00E16769">
        <w:rPr>
          <w:i/>
        </w:rPr>
        <w:t xml:space="preserve">Charter of Human </w:t>
      </w:r>
      <w:r w:rsidR="009F2B10" w:rsidRPr="00E16769">
        <w:rPr>
          <w:i/>
        </w:rPr>
        <w:t>R</w:t>
      </w:r>
      <w:r w:rsidRPr="00E16769">
        <w:rPr>
          <w:i/>
        </w:rPr>
        <w:t>ights and Responsibilities Act 2006</w:t>
      </w:r>
      <w:r>
        <w:t xml:space="preserve"> (Vic)</w:t>
      </w:r>
    </w:p>
    <w:p w14:paraId="6DDD2F65" w14:textId="30421AD2" w:rsidR="007839BD" w:rsidRDefault="007839BD" w:rsidP="00E16769">
      <w:pPr>
        <w:pStyle w:val="Body"/>
        <w:numPr>
          <w:ilvl w:val="0"/>
          <w:numId w:val="58"/>
        </w:numPr>
      </w:pPr>
      <w:r>
        <w:t xml:space="preserve">The </w:t>
      </w:r>
      <w:r w:rsidRPr="00E16769">
        <w:rPr>
          <w:i/>
        </w:rPr>
        <w:t>Sex Discrimination Act 1984</w:t>
      </w:r>
      <w:r>
        <w:rPr>
          <w:iCs/>
        </w:rPr>
        <w:t xml:space="preserve"> </w:t>
      </w:r>
      <w:r>
        <w:t>(</w:t>
      </w:r>
      <w:proofErr w:type="spellStart"/>
      <w:r>
        <w:t>Cth</w:t>
      </w:r>
      <w:proofErr w:type="spellEnd"/>
      <w:r>
        <w:t xml:space="preserve">) and the </w:t>
      </w:r>
      <w:r w:rsidRPr="00E16769">
        <w:rPr>
          <w:i/>
        </w:rPr>
        <w:t>Workplace Gender Equality Act 2</w:t>
      </w:r>
      <w:r w:rsidR="00B146A9" w:rsidRPr="00E16769">
        <w:rPr>
          <w:i/>
        </w:rPr>
        <w:t>012</w:t>
      </w:r>
      <w:r>
        <w:rPr>
          <w:iCs/>
        </w:rPr>
        <w:t xml:space="preserve"> (</w:t>
      </w:r>
      <w:proofErr w:type="spellStart"/>
      <w:r>
        <w:rPr>
          <w:iCs/>
        </w:rPr>
        <w:t>Cth</w:t>
      </w:r>
      <w:proofErr w:type="spellEnd"/>
      <w:r>
        <w:rPr>
          <w:iCs/>
        </w:rPr>
        <w:t>)</w:t>
      </w:r>
    </w:p>
    <w:p w14:paraId="0196665D" w14:textId="6B1D1D39" w:rsidR="008F120A" w:rsidRDefault="008F120A">
      <w:pPr>
        <w:pStyle w:val="Body"/>
        <w:numPr>
          <w:ilvl w:val="0"/>
          <w:numId w:val="58"/>
        </w:numPr>
      </w:pPr>
      <w:r>
        <w:t xml:space="preserve">The </w:t>
      </w:r>
      <w:r w:rsidRPr="00E16769">
        <w:rPr>
          <w:i/>
          <w:iCs/>
        </w:rPr>
        <w:t>Occupational Health and Safety Act 2004</w:t>
      </w:r>
      <w:r>
        <w:t xml:space="preserve"> (Vic) (OHS Act)</w:t>
      </w:r>
    </w:p>
    <w:p w14:paraId="56F704C6" w14:textId="067B579A" w:rsidR="003C3683" w:rsidRDefault="003C3683" w:rsidP="00E16769">
      <w:pPr>
        <w:pStyle w:val="Body"/>
        <w:numPr>
          <w:ilvl w:val="0"/>
          <w:numId w:val="58"/>
        </w:numPr>
      </w:pPr>
      <w:r>
        <w:rPr>
          <w:rFonts w:eastAsiaTheme="minorEastAsia"/>
          <w:lang w:eastAsia="en-AU"/>
        </w:rPr>
        <w:t>T</w:t>
      </w:r>
      <w:r w:rsidRPr="004738BA">
        <w:rPr>
          <w:rFonts w:eastAsiaTheme="minorEastAsia"/>
          <w:lang w:eastAsia="en-AU"/>
        </w:rPr>
        <w:t xml:space="preserve">he </w:t>
      </w:r>
      <w:r w:rsidRPr="007E6BCF">
        <w:rPr>
          <w:rFonts w:eastAsiaTheme="minorEastAsia"/>
          <w:i/>
          <w:iCs/>
          <w:lang w:eastAsia="en-AU"/>
        </w:rPr>
        <w:t>Privacy and Data Protection Act 2014</w:t>
      </w:r>
      <w:r w:rsidRPr="004738BA">
        <w:rPr>
          <w:rFonts w:eastAsiaTheme="minorEastAsia"/>
          <w:lang w:eastAsia="en-AU"/>
        </w:rPr>
        <w:t xml:space="preserve"> (Vic)</w:t>
      </w:r>
    </w:p>
    <w:p w14:paraId="01E19CF6" w14:textId="19CDB88D" w:rsidR="008F120A" w:rsidRPr="009D079E" w:rsidRDefault="008F120A" w:rsidP="00E16769">
      <w:pPr>
        <w:pStyle w:val="Body"/>
        <w:numPr>
          <w:ilvl w:val="0"/>
          <w:numId w:val="58"/>
        </w:numPr>
      </w:pPr>
      <w:r w:rsidRPr="009D079E">
        <w:t>Enterprise agreements</w:t>
      </w:r>
      <w:r>
        <w:t>, workplace determination</w:t>
      </w:r>
      <w:r w:rsidR="005558DA">
        <w:t>s</w:t>
      </w:r>
      <w:r w:rsidRPr="009D079E">
        <w:t xml:space="preserve"> and modern awards </w:t>
      </w:r>
    </w:p>
    <w:p w14:paraId="4F70C5FF" w14:textId="77777777" w:rsidR="008A3B7A" w:rsidRDefault="008A3B7A">
      <w:pPr>
        <w:rPr>
          <w:rFonts w:eastAsiaTheme="majorEastAsia" w:cstheme="majorBidi"/>
          <w:color w:val="5C308D"/>
          <w:sz w:val="36"/>
          <w:szCs w:val="26"/>
        </w:rPr>
      </w:pPr>
      <w:r>
        <w:br w:type="page"/>
      </w:r>
    </w:p>
    <w:p w14:paraId="53DDB4D9" w14:textId="3C060EC1" w:rsidR="006D267F" w:rsidRPr="006F1CB7" w:rsidRDefault="004C175C" w:rsidP="007E6336">
      <w:pPr>
        <w:pStyle w:val="Heading2"/>
      </w:pPr>
      <w:bookmarkStart w:id="7" w:name="_Toc77249888"/>
      <w:r>
        <w:t>Gender-disaggregated and intersectional</w:t>
      </w:r>
      <w:r w:rsidR="006D267F" w:rsidRPr="007E6336">
        <w:t xml:space="preserve"> data</w:t>
      </w:r>
      <w:bookmarkEnd w:id="7"/>
    </w:p>
    <w:p w14:paraId="7B6FCCC8" w14:textId="0F4DE77A" w:rsidR="006D267F" w:rsidRDefault="006D267F" w:rsidP="006D267F">
      <w:pPr>
        <w:rPr>
          <w:rFonts w:eastAsia="Times" w:cs="Arial"/>
        </w:rPr>
      </w:pPr>
      <w:r w:rsidRPr="00E27DD8">
        <w:rPr>
          <w:rFonts w:eastAsia="Times" w:cs="Arial"/>
          <w:b/>
          <w:bCs/>
        </w:rPr>
        <w:t>Gender</w:t>
      </w:r>
      <w:r>
        <w:rPr>
          <w:rFonts w:eastAsia="Times" w:cs="Arial"/>
          <w:b/>
          <w:bCs/>
        </w:rPr>
        <w:t>-</w:t>
      </w:r>
      <w:r w:rsidRPr="00E27DD8">
        <w:rPr>
          <w:rFonts w:eastAsia="Times" w:cs="Arial"/>
          <w:b/>
          <w:bCs/>
        </w:rPr>
        <w:t>disaggregated data</w:t>
      </w:r>
      <w:r>
        <w:rPr>
          <w:rFonts w:eastAsia="Times" w:cs="Arial"/>
        </w:rPr>
        <w:t xml:space="preserve"> is data</w:t>
      </w:r>
      <w:r w:rsidRPr="00E27DD8">
        <w:rPr>
          <w:rFonts w:eastAsia="Times" w:cs="Arial"/>
        </w:rPr>
        <w:t xml:space="preserve"> that is </w:t>
      </w:r>
      <w:r w:rsidR="004C175C">
        <w:rPr>
          <w:rFonts w:eastAsia="Times" w:cs="Arial"/>
        </w:rPr>
        <w:t>separated</w:t>
      </w:r>
      <w:r w:rsidRPr="00E27DD8">
        <w:rPr>
          <w:rFonts w:eastAsia="Times" w:cs="Arial"/>
        </w:rPr>
        <w:t xml:space="preserve"> for </w:t>
      </w:r>
      <w:r>
        <w:rPr>
          <w:rFonts w:eastAsia="Times" w:cs="Arial"/>
        </w:rPr>
        <w:t>people of different genders, for example, women, men and people of self-described gender</w:t>
      </w:r>
      <w:r w:rsidR="004C175C">
        <w:rPr>
          <w:rStyle w:val="FootnoteReference"/>
          <w:rFonts w:eastAsia="Times" w:cs="Arial"/>
        </w:rPr>
        <w:footnoteReference w:id="5"/>
      </w:r>
      <w:r w:rsidRPr="00E27DD8">
        <w:rPr>
          <w:rFonts w:eastAsia="Times" w:cs="Arial"/>
        </w:rPr>
        <w:t xml:space="preserve">. </w:t>
      </w:r>
    </w:p>
    <w:p w14:paraId="0B1020B3" w14:textId="7229B255" w:rsidR="006D267F" w:rsidRDefault="00E160F7" w:rsidP="006D267F">
      <w:pPr>
        <w:rPr>
          <w:rFonts w:eastAsia="Times" w:cs="Arial"/>
        </w:rPr>
      </w:pPr>
      <w:r w:rsidRPr="00E160F7">
        <w:rPr>
          <w:rFonts w:eastAsia="Times" w:cs="Arial"/>
        </w:rPr>
        <w:t>Your workplace gender audit must be based on gender-disaggregated data (s11(3)(a)), as this data is critical to assess the state and nature of gender inequality in the workplace and to develop evidence-based strategies and measures to address gender inequality</w:t>
      </w:r>
      <w:r w:rsidR="006D267F" w:rsidRPr="00E27DD8">
        <w:rPr>
          <w:rFonts w:eastAsia="Times" w:cs="Arial"/>
        </w:rPr>
        <w:t xml:space="preserve">. </w:t>
      </w:r>
    </w:p>
    <w:p w14:paraId="04C3393D" w14:textId="1DED6AE5" w:rsidR="006D267F" w:rsidRPr="002304F5" w:rsidRDefault="006D267F" w:rsidP="006D267F">
      <w:pPr>
        <w:spacing w:line="300" w:lineRule="atLeast"/>
        <w:rPr>
          <w:rFonts w:eastAsia="Times" w:cs="Arial"/>
          <w:color w:val="000000"/>
        </w:rPr>
      </w:pPr>
      <w:r w:rsidRPr="002304F5">
        <w:rPr>
          <w:rFonts w:eastAsia="Times" w:cs="Arial"/>
          <w:b/>
          <w:bCs/>
          <w:color w:val="000000"/>
        </w:rPr>
        <w:t>Intersectional data</w:t>
      </w:r>
      <w:r>
        <w:rPr>
          <w:rFonts w:eastAsia="Times" w:cs="Arial"/>
          <w:b/>
          <w:bCs/>
          <w:color w:val="000000"/>
        </w:rPr>
        <w:t xml:space="preserve"> </w:t>
      </w:r>
      <w:r>
        <w:rPr>
          <w:rFonts w:eastAsia="Times" w:cs="Arial"/>
          <w:color w:val="000000"/>
        </w:rPr>
        <w:t>(</w:t>
      </w:r>
      <w:r w:rsidRPr="00A85C71">
        <w:rPr>
          <w:rFonts w:eastAsia="Times" w:cs="Arial"/>
          <w:color w:val="000000"/>
        </w:rPr>
        <w:t>in this context</w:t>
      </w:r>
      <w:r>
        <w:rPr>
          <w:rFonts w:eastAsia="Times" w:cs="Arial"/>
          <w:color w:val="000000"/>
        </w:rPr>
        <w:t>)</w:t>
      </w:r>
      <w:r>
        <w:rPr>
          <w:rFonts w:eastAsia="Times" w:cs="Arial"/>
          <w:b/>
          <w:bCs/>
          <w:color w:val="000000"/>
        </w:rPr>
        <w:t xml:space="preserve"> </w:t>
      </w:r>
      <w:r>
        <w:rPr>
          <w:rFonts w:eastAsia="Times" w:cs="Arial"/>
          <w:color w:val="000000"/>
        </w:rPr>
        <w:t xml:space="preserve">is data that is </w:t>
      </w:r>
      <w:r w:rsidR="004C175C">
        <w:rPr>
          <w:rFonts w:eastAsia="Times" w:cs="Arial"/>
          <w:color w:val="000000"/>
        </w:rPr>
        <w:t>separated</w:t>
      </w:r>
      <w:r>
        <w:rPr>
          <w:rFonts w:eastAsia="Times" w:cs="Arial"/>
          <w:color w:val="000000"/>
        </w:rPr>
        <w:t xml:space="preserve"> by gender as well as attributes other than gender, such as </w:t>
      </w:r>
      <w:r w:rsidR="00831408" w:rsidRPr="002A14A7">
        <w:rPr>
          <w:rFonts w:cs="Arial"/>
        </w:rPr>
        <w:t xml:space="preserve">Aboriginality; age; disability; ethnicity; gender identity; race; religion; or sexual </w:t>
      </w:r>
      <w:r w:rsidR="00967D18" w:rsidRPr="002A14A7">
        <w:rPr>
          <w:rFonts w:cs="Arial"/>
        </w:rPr>
        <w:t>orientation</w:t>
      </w:r>
      <w:r w:rsidR="00967D18">
        <w:rPr>
          <w:rFonts w:cs="Arial"/>
        </w:rPr>
        <w:t>.</w:t>
      </w:r>
    </w:p>
    <w:p w14:paraId="50779434" w14:textId="06A2356A" w:rsidR="006D267F" w:rsidRDefault="006D267F" w:rsidP="006D267F">
      <w:pPr>
        <w:spacing w:line="300" w:lineRule="atLeast"/>
        <w:rPr>
          <w:rFonts w:eastAsia="Times" w:cs="Arial"/>
          <w:color w:val="000000" w:themeColor="text1"/>
        </w:rPr>
      </w:pPr>
      <w:r>
        <w:rPr>
          <w:rFonts w:eastAsia="Times" w:cs="Arial"/>
          <w:color w:val="000000"/>
        </w:rPr>
        <w:t xml:space="preserve">Looking at data in this way is important. It helps us understand how someone’s experience of </w:t>
      </w:r>
      <w:r w:rsidRPr="00A67293">
        <w:rPr>
          <w:rFonts w:eastAsia="Times" w:cs="Arial"/>
          <w:color w:val="000000"/>
        </w:rPr>
        <w:t xml:space="preserve">gender inequality </w:t>
      </w:r>
      <w:r>
        <w:rPr>
          <w:rFonts w:eastAsia="Times" w:cs="Arial"/>
          <w:color w:val="000000"/>
        </w:rPr>
        <w:t>might</w:t>
      </w:r>
      <w:r w:rsidRPr="00A67293">
        <w:rPr>
          <w:rFonts w:eastAsia="Times" w:cs="Arial"/>
          <w:color w:val="000000"/>
        </w:rPr>
        <w:t xml:space="preserve"> be compounded by </w:t>
      </w:r>
      <w:r>
        <w:rPr>
          <w:rFonts w:eastAsia="Times" w:cs="Arial"/>
          <w:color w:val="000000"/>
        </w:rPr>
        <w:t xml:space="preserve">the </w:t>
      </w:r>
      <w:r w:rsidRPr="00A67293">
        <w:rPr>
          <w:rFonts w:eastAsia="Times" w:cs="Arial"/>
          <w:color w:val="000000"/>
        </w:rPr>
        <w:t xml:space="preserve">discrimination or disadvantage </w:t>
      </w:r>
      <w:r>
        <w:rPr>
          <w:rFonts w:eastAsia="Times" w:cs="Arial"/>
          <w:color w:val="000000"/>
        </w:rPr>
        <w:t>they</w:t>
      </w:r>
      <w:r w:rsidRPr="00A67293">
        <w:rPr>
          <w:rFonts w:eastAsia="Times" w:cs="Arial"/>
          <w:color w:val="000000"/>
        </w:rPr>
        <w:t xml:space="preserve"> may experience </w:t>
      </w:r>
      <w:r w:rsidR="00967D18">
        <w:rPr>
          <w:rFonts w:eastAsia="Times" w:cs="Arial"/>
          <w:color w:val="000000"/>
        </w:rPr>
        <w:t>based on</w:t>
      </w:r>
      <w:r w:rsidRPr="00A67293">
        <w:rPr>
          <w:rFonts w:eastAsia="Times" w:cs="Arial"/>
          <w:color w:val="000000"/>
        </w:rPr>
        <w:t xml:space="preserve"> </w:t>
      </w:r>
      <w:r>
        <w:rPr>
          <w:rFonts w:eastAsia="Times" w:cs="Arial"/>
          <w:color w:val="000000"/>
        </w:rPr>
        <w:t>other attributes</w:t>
      </w:r>
      <w:r w:rsidRPr="00A67293">
        <w:rPr>
          <w:rFonts w:eastAsia="Times" w:cs="Arial"/>
          <w:color w:val="000000"/>
        </w:rPr>
        <w:t>.</w:t>
      </w:r>
    </w:p>
    <w:p w14:paraId="167D6DD4" w14:textId="33D203C4" w:rsidR="006D267F" w:rsidRDefault="006D267F" w:rsidP="006D267F">
      <w:pPr>
        <w:spacing w:before="160" w:line="300" w:lineRule="atLeast"/>
        <w:rPr>
          <w:rFonts w:eastAsia="Times" w:cs="Arial"/>
          <w:color w:val="000000" w:themeColor="text1"/>
        </w:rPr>
      </w:pPr>
      <w:r>
        <w:rPr>
          <w:rFonts w:eastAsia="Times" w:cs="Arial"/>
          <w:color w:val="000000" w:themeColor="text1"/>
        </w:rPr>
        <w:t xml:space="preserve">This concept, </w:t>
      </w:r>
      <w:r w:rsidR="00377A32">
        <w:rPr>
          <w:rFonts w:eastAsia="Times" w:cs="Arial"/>
          <w:color w:val="000000"/>
        </w:rPr>
        <w:t>referred to in this guide</w:t>
      </w:r>
      <w:r w:rsidRPr="00A67293">
        <w:rPr>
          <w:rFonts w:eastAsia="Times" w:cs="Arial"/>
          <w:color w:val="000000"/>
        </w:rPr>
        <w:t xml:space="preserve"> as </w:t>
      </w:r>
      <w:r w:rsidRPr="00E16769">
        <w:rPr>
          <w:rFonts w:eastAsia="Times" w:cs="Arial"/>
          <w:b/>
          <w:color w:val="000000"/>
        </w:rPr>
        <w:t>intersectional</w:t>
      </w:r>
      <w:r w:rsidR="00C6363F" w:rsidRPr="00E16769">
        <w:rPr>
          <w:rFonts w:eastAsia="Times" w:cs="Arial"/>
          <w:b/>
          <w:color w:val="000000"/>
        </w:rPr>
        <w:t xml:space="preserve"> gender inequality</w:t>
      </w:r>
      <w:r w:rsidRPr="00E16769">
        <w:rPr>
          <w:rFonts w:eastAsia="Times" w:cs="Arial"/>
          <w:bCs/>
          <w:color w:val="000000"/>
        </w:rPr>
        <w:t>,</w:t>
      </w:r>
      <w:r>
        <w:rPr>
          <w:rFonts w:eastAsia="Times" w:cs="Arial"/>
          <w:color w:val="000000" w:themeColor="text1"/>
        </w:rPr>
        <w:t xml:space="preserve"> recognises that t</w:t>
      </w:r>
      <w:r w:rsidRPr="405A44CF">
        <w:rPr>
          <w:rFonts w:eastAsia="Times" w:cs="Arial"/>
          <w:color w:val="000000" w:themeColor="text1"/>
        </w:rPr>
        <w:t xml:space="preserve">he experiences of </w:t>
      </w:r>
      <w:r>
        <w:rPr>
          <w:rFonts w:eastAsia="Times" w:cs="Arial"/>
          <w:color w:val="000000" w:themeColor="text1"/>
        </w:rPr>
        <w:t>an</w:t>
      </w:r>
      <w:r w:rsidRPr="405A44CF">
        <w:rPr>
          <w:rFonts w:eastAsia="Times" w:cs="Arial"/>
          <w:color w:val="000000" w:themeColor="text1"/>
        </w:rPr>
        <w:t xml:space="preserve"> employee </w:t>
      </w:r>
      <w:r>
        <w:rPr>
          <w:rFonts w:eastAsia="Times" w:cs="Arial"/>
          <w:color w:val="000000" w:themeColor="text1"/>
        </w:rPr>
        <w:t>who is, for example, an</w:t>
      </w:r>
      <w:r w:rsidRPr="405A44CF">
        <w:rPr>
          <w:rFonts w:eastAsia="Times" w:cs="Arial"/>
          <w:color w:val="000000" w:themeColor="text1"/>
        </w:rPr>
        <w:t xml:space="preserve"> Aboriginal woman</w:t>
      </w:r>
      <w:r w:rsidR="00AC06BE">
        <w:rPr>
          <w:rFonts w:eastAsia="Times" w:cs="Arial"/>
          <w:color w:val="000000" w:themeColor="text1"/>
        </w:rPr>
        <w:t>, may differ from a non-Aboriginal woman</w:t>
      </w:r>
      <w:r w:rsidR="006B58FB">
        <w:rPr>
          <w:rFonts w:eastAsia="Times" w:cs="Arial"/>
          <w:color w:val="000000" w:themeColor="text1"/>
        </w:rPr>
        <w:t xml:space="preserve"> or a woman with disability</w:t>
      </w:r>
      <w:r w:rsidR="00AC06BE">
        <w:rPr>
          <w:rFonts w:eastAsia="Times" w:cs="Arial"/>
          <w:color w:val="000000" w:themeColor="text1"/>
        </w:rPr>
        <w:t>. Similarly, the experiences of an Aboriginal woman</w:t>
      </w:r>
      <w:r w:rsidRPr="405A44CF">
        <w:rPr>
          <w:rFonts w:eastAsia="Times" w:cs="Arial"/>
          <w:color w:val="000000" w:themeColor="text1"/>
        </w:rPr>
        <w:t xml:space="preserve"> with disability</w:t>
      </w:r>
      <w:r>
        <w:rPr>
          <w:rFonts w:eastAsia="Times" w:cs="Arial"/>
          <w:color w:val="000000" w:themeColor="text1"/>
        </w:rPr>
        <w:t>,</w:t>
      </w:r>
      <w:r w:rsidRPr="405A44CF">
        <w:rPr>
          <w:rFonts w:eastAsia="Times" w:cs="Arial"/>
          <w:color w:val="000000" w:themeColor="text1"/>
        </w:rPr>
        <w:t xml:space="preserve"> </w:t>
      </w:r>
      <w:r w:rsidR="00AC06BE">
        <w:rPr>
          <w:rFonts w:eastAsia="Times" w:cs="Arial"/>
          <w:color w:val="000000" w:themeColor="text1"/>
        </w:rPr>
        <w:t>may</w:t>
      </w:r>
      <w:r w:rsidR="00AC06BE" w:rsidRPr="405A44CF">
        <w:rPr>
          <w:rFonts w:eastAsia="Times" w:cs="Arial"/>
          <w:color w:val="000000" w:themeColor="text1"/>
        </w:rPr>
        <w:t xml:space="preserve"> </w:t>
      </w:r>
      <w:r w:rsidRPr="405A44CF">
        <w:rPr>
          <w:rFonts w:eastAsia="Times" w:cs="Arial"/>
          <w:color w:val="000000" w:themeColor="text1"/>
        </w:rPr>
        <w:t xml:space="preserve">differ from a non-Aboriginal woman without disability. </w:t>
      </w:r>
    </w:p>
    <w:p w14:paraId="64EB16CF" w14:textId="4A59FD78" w:rsidR="006D267F" w:rsidRPr="00A67293" w:rsidRDefault="006D267F" w:rsidP="006D267F">
      <w:pPr>
        <w:spacing w:before="160" w:line="300" w:lineRule="atLeast"/>
        <w:rPr>
          <w:rFonts w:eastAsia="Times" w:cs="Arial"/>
          <w:color w:val="000000"/>
        </w:rPr>
      </w:pPr>
      <w:r>
        <w:rPr>
          <w:rFonts w:eastAsia="Times" w:cs="Arial"/>
          <w:color w:val="000000"/>
        </w:rPr>
        <w:t xml:space="preserve">If available, </w:t>
      </w:r>
      <w:r>
        <w:rPr>
          <w:rFonts w:eastAsia="Times" w:cs="Arial"/>
          <w:b/>
          <w:bCs/>
          <w:color w:val="000000"/>
        </w:rPr>
        <w:t xml:space="preserve">intersectional data </w:t>
      </w:r>
      <w:r w:rsidR="00193CD0">
        <w:rPr>
          <w:rFonts w:eastAsia="Times" w:cs="Arial"/>
          <w:color w:val="000000"/>
        </w:rPr>
        <w:t>must</w:t>
      </w:r>
      <w:r>
        <w:rPr>
          <w:rFonts w:eastAsia="Times" w:cs="Arial"/>
          <w:color w:val="000000"/>
        </w:rPr>
        <w:t xml:space="preserve"> also be used for your workplace gender audit</w:t>
      </w:r>
      <w:r w:rsidR="00193CD0">
        <w:rPr>
          <w:rFonts w:eastAsia="Times" w:cs="Arial"/>
          <w:color w:val="000000"/>
        </w:rPr>
        <w:t xml:space="preserve"> (</w:t>
      </w:r>
      <w:r w:rsidR="001C4082">
        <w:rPr>
          <w:rFonts w:eastAsia="Times" w:cs="Arial"/>
          <w:color w:val="000000"/>
        </w:rPr>
        <w:t>s11(3)(b))</w:t>
      </w:r>
      <w:r>
        <w:rPr>
          <w:rFonts w:eastAsia="Times" w:cs="Arial"/>
          <w:color w:val="000000"/>
        </w:rPr>
        <w:t xml:space="preserve">. </w:t>
      </w:r>
      <w:bookmarkStart w:id="8" w:name="_Hlk57752141"/>
      <w:r w:rsidR="007F49F1" w:rsidRPr="007F49F1">
        <w:rPr>
          <w:rFonts w:eastAsia="Times" w:cs="Arial"/>
          <w:color w:val="000000"/>
        </w:rPr>
        <w:t xml:space="preserve">If </w:t>
      </w:r>
      <w:r w:rsidR="006A7323">
        <w:rPr>
          <w:rFonts w:eastAsia="Times" w:cs="Arial"/>
          <w:color w:val="000000"/>
        </w:rPr>
        <w:t>this</w:t>
      </w:r>
      <w:r w:rsidR="007F49F1" w:rsidRPr="007F49F1">
        <w:rPr>
          <w:rFonts w:eastAsia="Times" w:cs="Arial"/>
          <w:color w:val="000000"/>
        </w:rPr>
        <w:t xml:space="preserve"> data</w:t>
      </w:r>
      <w:r w:rsidR="006A7323">
        <w:rPr>
          <w:rFonts w:eastAsia="Times" w:cs="Arial"/>
          <w:color w:val="000000"/>
        </w:rPr>
        <w:t xml:space="preserve"> is not yet available</w:t>
      </w:r>
      <w:r w:rsidR="007F49F1" w:rsidRPr="007F49F1">
        <w:rPr>
          <w:rFonts w:eastAsia="Times" w:cs="Arial"/>
          <w:color w:val="000000"/>
        </w:rPr>
        <w:t>, you should consider how you can collect this in the future and include this as an action in your Gender Equality Action Plan</w:t>
      </w:r>
      <w:r w:rsidR="00323E1F">
        <w:rPr>
          <w:rFonts w:eastAsia="Times" w:cs="Arial"/>
          <w:color w:val="000000"/>
        </w:rPr>
        <w:t xml:space="preserve"> (GEAP)</w:t>
      </w:r>
      <w:r w:rsidR="007F49F1" w:rsidRPr="007F49F1">
        <w:rPr>
          <w:rFonts w:eastAsia="Times" w:cs="Arial"/>
          <w:color w:val="000000"/>
        </w:rPr>
        <w:t>.</w:t>
      </w:r>
    </w:p>
    <w:bookmarkEnd w:id="8"/>
    <w:p w14:paraId="29D6F744" w14:textId="511AD758" w:rsidR="006D267F" w:rsidRPr="00A67293" w:rsidRDefault="006D267F" w:rsidP="006D267F">
      <w:pPr>
        <w:spacing w:line="300" w:lineRule="atLeast"/>
        <w:rPr>
          <w:rFonts w:eastAsia="Times" w:cs="Arial"/>
          <w:color w:val="FF0000"/>
        </w:rPr>
      </w:pPr>
      <w:r w:rsidRPr="405A44CF">
        <w:rPr>
          <w:rFonts w:eastAsia="Times" w:cs="Arial"/>
          <w:color w:val="000000" w:themeColor="text1"/>
        </w:rPr>
        <w:t xml:space="preserve">Collecting </w:t>
      </w:r>
      <w:r>
        <w:rPr>
          <w:rFonts w:eastAsia="Times" w:cs="Arial"/>
          <w:color w:val="000000" w:themeColor="text1"/>
        </w:rPr>
        <w:t xml:space="preserve">and analysing </w:t>
      </w:r>
      <w:r w:rsidRPr="405A44CF">
        <w:rPr>
          <w:rFonts w:eastAsia="Times" w:cs="Arial"/>
          <w:color w:val="000000" w:themeColor="text1"/>
        </w:rPr>
        <w:t xml:space="preserve">this information in your workplace gender audit will help you prepare your GEAP in a way that considers the different systemic barriers that exist in your </w:t>
      </w:r>
      <w:r w:rsidR="00E62844">
        <w:rPr>
          <w:rFonts w:eastAsia="Times" w:cs="Arial"/>
          <w:color w:val="000000" w:themeColor="text1"/>
        </w:rPr>
        <w:t>defined entity</w:t>
      </w:r>
      <w:r w:rsidRPr="405A44CF">
        <w:rPr>
          <w:rFonts w:eastAsia="Times" w:cs="Arial"/>
          <w:color w:val="000000" w:themeColor="text1"/>
        </w:rPr>
        <w:t xml:space="preserve">. </w:t>
      </w:r>
    </w:p>
    <w:p w14:paraId="2862081B" w14:textId="24FC2914" w:rsidR="006D267F" w:rsidRPr="00B50173" w:rsidRDefault="006D267F" w:rsidP="00B50173">
      <w:pPr>
        <w:spacing w:line="300" w:lineRule="atLeast"/>
        <w:rPr>
          <w:rFonts w:eastAsia="Times"/>
          <w:color w:val="FF0000"/>
        </w:rPr>
      </w:pPr>
      <w:r w:rsidRPr="405A44CF">
        <w:rPr>
          <w:rFonts w:eastAsia="Times" w:cs="Arial"/>
          <w:color w:val="000000" w:themeColor="text1"/>
        </w:rPr>
        <w:t>In collecting</w:t>
      </w:r>
      <w:r w:rsidR="006B58FB">
        <w:rPr>
          <w:rFonts w:eastAsia="Times" w:cs="Arial"/>
          <w:color w:val="000000" w:themeColor="text1"/>
        </w:rPr>
        <w:t>, analysing and reporting</w:t>
      </w:r>
      <w:r w:rsidR="007F49F1">
        <w:rPr>
          <w:rFonts w:eastAsia="Times" w:cs="Arial"/>
          <w:color w:val="000000" w:themeColor="text1"/>
        </w:rPr>
        <w:t xml:space="preserve"> </w:t>
      </w:r>
      <w:r w:rsidRPr="405A44CF">
        <w:rPr>
          <w:rFonts w:eastAsia="Times" w:cs="Arial"/>
          <w:color w:val="000000" w:themeColor="text1"/>
        </w:rPr>
        <w:t>this data, you</w:t>
      </w:r>
      <w:r w:rsidR="00323E1F">
        <w:rPr>
          <w:rFonts w:eastAsia="Times" w:cs="Arial"/>
          <w:color w:val="000000" w:themeColor="text1"/>
        </w:rPr>
        <w:t>r defined entity</w:t>
      </w:r>
      <w:r w:rsidRPr="405A44CF">
        <w:rPr>
          <w:rFonts w:eastAsia="Times" w:cs="Arial"/>
          <w:color w:val="000000" w:themeColor="text1"/>
        </w:rPr>
        <w:t xml:space="preserve"> will need to be sensitive to </w:t>
      </w:r>
      <w:r w:rsidR="0049006B">
        <w:rPr>
          <w:rFonts w:eastAsia="Times" w:cs="Arial"/>
          <w:color w:val="000000" w:themeColor="text1"/>
        </w:rPr>
        <w:t xml:space="preserve">employee safety, </w:t>
      </w:r>
      <w:hyperlink r:id="rId19" w:history="1">
        <w:r w:rsidRPr="004966A0">
          <w:rPr>
            <w:rStyle w:val="Hyperlink"/>
            <w:rFonts w:eastAsia="Times" w:cs="Arial"/>
          </w:rPr>
          <w:t>privacy considerations</w:t>
        </w:r>
      </w:hyperlink>
      <w:r w:rsidRPr="405A44CF">
        <w:rPr>
          <w:rFonts w:eastAsia="Times" w:cs="Arial"/>
          <w:color w:val="000000" w:themeColor="text1"/>
        </w:rPr>
        <w:t xml:space="preserve"> and allow employees the discretion to self-identify.</w:t>
      </w:r>
      <w:r w:rsidR="00EB456C">
        <w:rPr>
          <w:rFonts w:eastAsia="Times" w:cs="Arial"/>
          <w:color w:val="000000" w:themeColor="text1"/>
        </w:rPr>
        <w:t xml:space="preserve"> </w:t>
      </w:r>
    </w:p>
    <w:p w14:paraId="725F4CC7" w14:textId="5F1D4B1B" w:rsidR="006D3080" w:rsidRPr="00D876D4" w:rsidRDefault="00E05B44" w:rsidP="0096427A">
      <w:pPr>
        <w:pStyle w:val="Heading1"/>
      </w:pPr>
      <w:bookmarkStart w:id="9" w:name="_Toc77249889"/>
      <w:r w:rsidRPr="00D876D4">
        <w:t>Preparing for data coll</w:t>
      </w:r>
      <w:r w:rsidRPr="0096427A">
        <w:rPr>
          <w:rStyle w:val="Heading1Char"/>
        </w:rPr>
        <w:t>ectio</w:t>
      </w:r>
      <w:r w:rsidRPr="00D876D4">
        <w:t>n</w:t>
      </w:r>
      <w:bookmarkEnd w:id="9"/>
      <w:r w:rsidRPr="00D876D4">
        <w:t xml:space="preserve"> </w:t>
      </w:r>
    </w:p>
    <w:p w14:paraId="2E41FAA1" w14:textId="6BFA4160" w:rsidR="00DE6220" w:rsidRPr="000234C1" w:rsidRDefault="00C452DB" w:rsidP="00514B86">
      <w:pPr>
        <w:rPr>
          <w:lang w:eastAsia="en-AU"/>
        </w:rPr>
      </w:pPr>
      <w:r>
        <w:rPr>
          <w:lang w:eastAsia="en-AU"/>
        </w:rPr>
        <w:t>Conducting</w:t>
      </w:r>
      <w:r w:rsidR="00E05B44" w:rsidRPr="00E05B44">
        <w:rPr>
          <w:lang w:eastAsia="en-AU"/>
        </w:rPr>
        <w:t xml:space="preserve"> a</w:t>
      </w:r>
      <w:r w:rsidR="00817CA9">
        <w:rPr>
          <w:lang w:eastAsia="en-AU"/>
        </w:rPr>
        <w:t xml:space="preserve"> workplace gender audit</w:t>
      </w:r>
      <w:r w:rsidR="00E05B44" w:rsidRPr="00E05B44">
        <w:rPr>
          <w:lang w:eastAsia="en-AU"/>
        </w:rPr>
        <w:t xml:space="preserve"> </w:t>
      </w:r>
      <w:r>
        <w:rPr>
          <w:lang w:eastAsia="en-AU"/>
        </w:rPr>
        <w:t xml:space="preserve">requires </w:t>
      </w:r>
      <w:r w:rsidR="00506707">
        <w:rPr>
          <w:lang w:eastAsia="en-AU"/>
        </w:rPr>
        <w:t xml:space="preserve">working closely with </w:t>
      </w:r>
      <w:r w:rsidR="00F37F37">
        <w:rPr>
          <w:lang w:eastAsia="en-AU"/>
        </w:rPr>
        <w:t xml:space="preserve">data custodians </w:t>
      </w:r>
      <w:r w:rsidR="00323E1F" w:rsidRPr="00612A49">
        <w:rPr>
          <w:lang w:eastAsia="en-AU"/>
        </w:rPr>
        <w:t xml:space="preserve">to gather data from various systems or parts of your </w:t>
      </w:r>
      <w:r w:rsidR="00E62844">
        <w:rPr>
          <w:lang w:eastAsia="en-AU"/>
        </w:rPr>
        <w:t>defined entity</w:t>
      </w:r>
      <w:r w:rsidR="00E05B44" w:rsidRPr="00E05B44">
        <w:rPr>
          <w:lang w:eastAsia="en-AU"/>
        </w:rPr>
        <w:t xml:space="preserve">. </w:t>
      </w:r>
      <w:r w:rsidR="00EF3DB0" w:rsidRPr="00612A49">
        <w:rPr>
          <w:lang w:eastAsia="en-AU"/>
        </w:rPr>
        <w:t>For example</w:t>
      </w:r>
      <w:r w:rsidR="00612A49">
        <w:rPr>
          <w:lang w:eastAsia="en-AU"/>
        </w:rPr>
        <w:t>,</w:t>
      </w:r>
      <w:r w:rsidR="00847657">
        <w:rPr>
          <w:lang w:eastAsia="en-AU"/>
        </w:rPr>
        <w:t xml:space="preserve"> HR data,</w:t>
      </w:r>
      <w:r w:rsidR="00EF3DB0" w:rsidRPr="00612A49">
        <w:rPr>
          <w:lang w:eastAsia="en-AU"/>
        </w:rPr>
        <w:t xml:space="preserve"> recruitment data </w:t>
      </w:r>
      <w:r w:rsidR="00847657">
        <w:rPr>
          <w:lang w:eastAsia="en-AU"/>
        </w:rPr>
        <w:t xml:space="preserve">and payroll data </w:t>
      </w:r>
      <w:r w:rsidR="00612A49">
        <w:rPr>
          <w:lang w:eastAsia="en-AU"/>
        </w:rPr>
        <w:t xml:space="preserve">may </w:t>
      </w:r>
      <w:r w:rsidR="00FF7501">
        <w:rPr>
          <w:lang w:eastAsia="en-AU"/>
        </w:rPr>
        <w:t>all have</w:t>
      </w:r>
      <w:r w:rsidR="00847657">
        <w:rPr>
          <w:lang w:eastAsia="en-AU"/>
        </w:rPr>
        <w:t xml:space="preserve"> separate processes to extract the required information for </w:t>
      </w:r>
      <w:r w:rsidR="004857E4">
        <w:rPr>
          <w:lang w:eastAsia="en-AU"/>
        </w:rPr>
        <w:t xml:space="preserve">the </w:t>
      </w:r>
      <w:r w:rsidR="00847657">
        <w:rPr>
          <w:lang w:eastAsia="en-AU"/>
        </w:rPr>
        <w:t xml:space="preserve">workplace gender audit. </w:t>
      </w:r>
      <w:r w:rsidR="00FF7501">
        <w:rPr>
          <w:lang w:eastAsia="en-AU"/>
        </w:rPr>
        <w:t xml:space="preserve">We recommend </w:t>
      </w:r>
      <w:r w:rsidR="00847657">
        <w:rPr>
          <w:lang w:eastAsia="en-AU"/>
        </w:rPr>
        <w:t>engag</w:t>
      </w:r>
      <w:r w:rsidR="00FF7501">
        <w:rPr>
          <w:lang w:eastAsia="en-AU"/>
        </w:rPr>
        <w:t xml:space="preserve">ing </w:t>
      </w:r>
      <w:r w:rsidR="00847657">
        <w:rPr>
          <w:lang w:eastAsia="en-AU"/>
        </w:rPr>
        <w:t xml:space="preserve">the teams or people </w:t>
      </w:r>
      <w:r w:rsidR="00944662">
        <w:rPr>
          <w:lang w:eastAsia="en-AU"/>
        </w:rPr>
        <w:t xml:space="preserve">across your </w:t>
      </w:r>
      <w:r w:rsidR="00E62844">
        <w:rPr>
          <w:lang w:eastAsia="en-AU"/>
        </w:rPr>
        <w:t>defined entity</w:t>
      </w:r>
      <w:r w:rsidR="00944662">
        <w:rPr>
          <w:lang w:eastAsia="en-AU"/>
        </w:rPr>
        <w:t xml:space="preserve"> who will be able to assist </w:t>
      </w:r>
      <w:r w:rsidR="00506707">
        <w:rPr>
          <w:lang w:eastAsia="en-AU"/>
        </w:rPr>
        <w:t xml:space="preserve">you </w:t>
      </w:r>
      <w:r w:rsidR="00944662">
        <w:rPr>
          <w:lang w:eastAsia="en-AU"/>
        </w:rPr>
        <w:t xml:space="preserve">with data collection as early as possible. </w:t>
      </w:r>
    </w:p>
    <w:p w14:paraId="5DFF05A7" w14:textId="61A2C3C1" w:rsidR="74B051A7" w:rsidRDefault="74B051A7" w:rsidP="42431986">
      <w:pPr>
        <w:rPr>
          <w:lang w:eastAsia="en-AU"/>
        </w:rPr>
      </w:pPr>
      <w:r w:rsidRPr="42431986">
        <w:rPr>
          <w:lang w:eastAsia="en-AU"/>
        </w:rPr>
        <w:t xml:space="preserve">It is important that everyone involved in the data collection process is aware of the sensitivities of </w:t>
      </w:r>
      <w:r w:rsidR="27C994D9" w:rsidRPr="42431986">
        <w:rPr>
          <w:lang w:eastAsia="en-AU"/>
        </w:rPr>
        <w:t>collecting gender-</w:t>
      </w:r>
      <w:r w:rsidR="009661F9" w:rsidRPr="42431986">
        <w:rPr>
          <w:lang w:eastAsia="en-AU"/>
        </w:rPr>
        <w:t>disaggregated</w:t>
      </w:r>
      <w:r w:rsidR="27C994D9" w:rsidRPr="42431986">
        <w:rPr>
          <w:lang w:eastAsia="en-AU"/>
        </w:rPr>
        <w:t xml:space="preserve"> and intersectional data.</w:t>
      </w:r>
      <w:r w:rsidR="001901EB">
        <w:rPr>
          <w:lang w:eastAsia="en-AU"/>
        </w:rPr>
        <w:t xml:space="preserve"> For more information on how to maintain your employees’ privacy, please visit </w:t>
      </w:r>
      <w:hyperlink r:id="rId20" w:history="1">
        <w:r w:rsidR="001901EB" w:rsidRPr="001901EB">
          <w:rPr>
            <w:rStyle w:val="Hyperlink"/>
            <w:lang w:eastAsia="en-AU"/>
          </w:rPr>
          <w:t>our website</w:t>
        </w:r>
      </w:hyperlink>
      <w:r w:rsidR="001901EB">
        <w:rPr>
          <w:lang w:eastAsia="en-AU"/>
        </w:rPr>
        <w:t xml:space="preserve">.  </w:t>
      </w:r>
    </w:p>
    <w:p w14:paraId="6E8EBA8A" w14:textId="139F535E" w:rsidR="008E72D3" w:rsidRDefault="003B66E6" w:rsidP="006802FE">
      <w:pPr>
        <w:rPr>
          <w:lang w:eastAsia="en-AU"/>
        </w:rPr>
      </w:pPr>
      <w:r>
        <w:rPr>
          <w:lang w:eastAsia="en-AU"/>
        </w:rPr>
        <w:t xml:space="preserve">We recommend allocating at least </w:t>
      </w:r>
      <w:r w:rsidR="00A00AD6">
        <w:rPr>
          <w:lang w:eastAsia="en-AU"/>
        </w:rPr>
        <w:t>16-20</w:t>
      </w:r>
      <w:r w:rsidRPr="006802FE">
        <w:rPr>
          <w:lang w:eastAsia="en-AU"/>
        </w:rPr>
        <w:t xml:space="preserve"> working days</w:t>
      </w:r>
      <w:r>
        <w:rPr>
          <w:rStyle w:val="FootnoteReference"/>
          <w:lang w:eastAsia="en-AU"/>
        </w:rPr>
        <w:footnoteReference w:id="6"/>
      </w:r>
      <w:r>
        <w:rPr>
          <w:lang w:eastAsia="en-AU"/>
        </w:rPr>
        <w:t xml:space="preserve"> to c</w:t>
      </w:r>
      <w:r w:rsidR="00E03449">
        <w:rPr>
          <w:lang w:eastAsia="en-AU"/>
        </w:rPr>
        <w:t xml:space="preserve">onduct </w:t>
      </w:r>
      <w:r w:rsidR="008A1A2A">
        <w:rPr>
          <w:lang w:eastAsia="en-AU"/>
        </w:rPr>
        <w:t>a workplace gender</w:t>
      </w:r>
      <w:r w:rsidR="00E03449">
        <w:rPr>
          <w:lang w:eastAsia="en-AU"/>
        </w:rPr>
        <w:t xml:space="preserve"> </w:t>
      </w:r>
      <w:r w:rsidR="006802FE" w:rsidRPr="006802FE">
        <w:rPr>
          <w:lang w:eastAsia="en-AU"/>
        </w:rPr>
        <w:t>audit</w:t>
      </w:r>
      <w:r w:rsidR="00C03A06">
        <w:rPr>
          <w:lang w:eastAsia="en-AU"/>
        </w:rPr>
        <w:t>.</w:t>
      </w:r>
      <w:r w:rsidR="00C96E9B">
        <w:rPr>
          <w:lang w:eastAsia="en-AU"/>
        </w:rPr>
        <w:t xml:space="preserve"> </w:t>
      </w:r>
    </w:p>
    <w:p w14:paraId="653386F6" w14:textId="714516E8" w:rsidR="008E72D3" w:rsidRPr="00B50173" w:rsidRDefault="002D343F" w:rsidP="0096427A">
      <w:pPr>
        <w:pStyle w:val="Heading1"/>
      </w:pPr>
      <w:bookmarkStart w:id="10" w:name="_Toc77249890"/>
      <w:r w:rsidRPr="00B50173">
        <w:t>Workplace gender a</w:t>
      </w:r>
      <w:r w:rsidR="004F4291" w:rsidRPr="00B50173">
        <w:t>udit</w:t>
      </w:r>
      <w:r w:rsidR="00B50173">
        <w:t>ing</w:t>
      </w:r>
      <w:r w:rsidR="004F4291" w:rsidRPr="00B50173">
        <w:t xml:space="preserve"> process</w:t>
      </w:r>
      <w:bookmarkEnd w:id="10"/>
    </w:p>
    <w:p w14:paraId="2FBA40E9" w14:textId="09F03DA6" w:rsidR="00AF0C35" w:rsidRDefault="004857E4" w:rsidP="006802FE">
      <w:pPr>
        <w:rPr>
          <w:lang w:eastAsia="en-AU"/>
        </w:rPr>
      </w:pPr>
      <w:r>
        <w:rPr>
          <w:lang w:eastAsia="en-AU"/>
        </w:rPr>
        <w:t xml:space="preserve">We recommend the following process is undertaken to </w:t>
      </w:r>
      <w:r w:rsidR="002D343F">
        <w:rPr>
          <w:lang w:eastAsia="en-AU"/>
        </w:rPr>
        <w:t>complete your workplace gender audit</w:t>
      </w:r>
      <w:r>
        <w:rPr>
          <w:lang w:eastAsia="en-AU"/>
        </w:rPr>
        <w:t xml:space="preserve">. </w:t>
      </w:r>
    </w:p>
    <w:p w14:paraId="72ABBC88" w14:textId="64620C67" w:rsidR="00C507E6" w:rsidRPr="004B51F1" w:rsidRDefault="007F49F1" w:rsidP="004B51F1">
      <w:pPr>
        <w:pStyle w:val="Heading2"/>
        <w:rPr>
          <w:lang w:eastAsia="en-AU"/>
        </w:rPr>
      </w:pPr>
      <w:bookmarkStart w:id="11" w:name="_Toc77249891"/>
      <w:r>
        <w:rPr>
          <w:lang w:eastAsia="en-AU"/>
        </w:rPr>
        <w:t xml:space="preserve">Stage 1 </w:t>
      </w:r>
      <w:r w:rsidR="008211BD">
        <w:rPr>
          <w:lang w:eastAsia="en-AU"/>
        </w:rPr>
        <w:t>–</w:t>
      </w:r>
      <w:r>
        <w:rPr>
          <w:lang w:eastAsia="en-AU"/>
        </w:rPr>
        <w:t xml:space="preserve"> </w:t>
      </w:r>
      <w:r w:rsidR="00C507E6" w:rsidRPr="00845162">
        <w:rPr>
          <w:lang w:eastAsia="en-AU"/>
        </w:rPr>
        <w:t>Preparatory stage</w:t>
      </w:r>
      <w:bookmarkEnd w:id="11"/>
      <w:r w:rsidR="002F1DA1">
        <w:rPr>
          <w:lang w:eastAsia="en-AU"/>
        </w:rPr>
        <w:t xml:space="preserve"> </w:t>
      </w:r>
    </w:p>
    <w:p w14:paraId="1A0705D7" w14:textId="5EBFCB01" w:rsidR="00BE21D3" w:rsidRPr="00967D18" w:rsidRDefault="009D1273" w:rsidP="009D1273">
      <w:pPr>
        <w:pStyle w:val="ListParagraph"/>
        <w:numPr>
          <w:ilvl w:val="0"/>
          <w:numId w:val="41"/>
        </w:numPr>
        <w:rPr>
          <w:rFonts w:asciiTheme="minorHAnsi" w:eastAsiaTheme="minorEastAsia" w:hAnsiTheme="minorHAnsi" w:cstheme="minorBidi"/>
          <w:lang w:eastAsia="en-AU"/>
        </w:rPr>
      </w:pPr>
      <w:r>
        <w:rPr>
          <w:rFonts w:ascii="VIC" w:hAnsi="VIC"/>
          <w:lang w:eastAsia="en-AU"/>
        </w:rPr>
        <w:t xml:space="preserve">Nominate a responsible </w:t>
      </w:r>
      <w:r w:rsidR="004857E4">
        <w:rPr>
          <w:rFonts w:ascii="VIC" w:hAnsi="VIC"/>
          <w:lang w:eastAsia="en-AU"/>
        </w:rPr>
        <w:t xml:space="preserve">gender equality audit </w:t>
      </w:r>
      <w:r>
        <w:rPr>
          <w:rFonts w:ascii="VIC" w:hAnsi="VIC"/>
          <w:lang w:eastAsia="en-AU"/>
        </w:rPr>
        <w:t xml:space="preserve">data custodian </w:t>
      </w:r>
      <w:r w:rsidR="002E635A">
        <w:rPr>
          <w:rFonts w:ascii="VIC" w:hAnsi="VIC"/>
          <w:lang w:eastAsia="en-AU"/>
        </w:rPr>
        <w:t>with</w:t>
      </w:r>
      <w:r>
        <w:rPr>
          <w:rFonts w:ascii="VIC" w:hAnsi="VIC"/>
          <w:lang w:eastAsia="en-AU"/>
        </w:rPr>
        <w:t xml:space="preserve">in your </w:t>
      </w:r>
      <w:r w:rsidR="00E62844">
        <w:rPr>
          <w:rFonts w:ascii="VIC" w:hAnsi="VIC"/>
          <w:lang w:eastAsia="en-AU"/>
        </w:rPr>
        <w:t>defined entity</w:t>
      </w:r>
      <w:r>
        <w:rPr>
          <w:rFonts w:ascii="VIC" w:hAnsi="VIC"/>
          <w:lang w:eastAsia="en-AU"/>
        </w:rPr>
        <w:t xml:space="preserve"> and ensure </w:t>
      </w:r>
      <w:r w:rsidR="007B6CED">
        <w:rPr>
          <w:rFonts w:ascii="VIC" w:hAnsi="VIC"/>
          <w:lang w:eastAsia="en-AU"/>
        </w:rPr>
        <w:t xml:space="preserve">you have </w:t>
      </w:r>
      <w:r w:rsidR="004857E4">
        <w:rPr>
          <w:rFonts w:ascii="VIC" w:hAnsi="VIC"/>
          <w:lang w:eastAsia="en-AU"/>
        </w:rPr>
        <w:t xml:space="preserve">appropriate </w:t>
      </w:r>
      <w:r>
        <w:rPr>
          <w:rFonts w:ascii="VIC" w:hAnsi="VIC"/>
          <w:lang w:eastAsia="en-AU"/>
        </w:rPr>
        <w:t>filing systems and data security for storing the data in advance of uploading it to the Commission’s reporting platform</w:t>
      </w:r>
      <w:r w:rsidR="00BE21D3">
        <w:rPr>
          <w:rFonts w:ascii="VIC" w:hAnsi="VIC"/>
          <w:lang w:eastAsia="en-AU"/>
        </w:rPr>
        <w:t>.</w:t>
      </w:r>
    </w:p>
    <w:p w14:paraId="419E2F9C" w14:textId="24D79915" w:rsidR="009D1273" w:rsidRPr="004F0C50" w:rsidRDefault="002F1DA1" w:rsidP="009D1273">
      <w:pPr>
        <w:pStyle w:val="ListParagraph"/>
        <w:numPr>
          <w:ilvl w:val="0"/>
          <w:numId w:val="41"/>
        </w:numPr>
        <w:rPr>
          <w:rFonts w:asciiTheme="minorHAnsi" w:eastAsiaTheme="minorEastAsia" w:hAnsiTheme="minorHAnsi" w:cstheme="minorBidi"/>
          <w:lang w:eastAsia="en-AU"/>
        </w:rPr>
      </w:pPr>
      <w:r>
        <w:rPr>
          <w:rFonts w:ascii="VIC" w:hAnsi="VIC"/>
          <w:lang w:eastAsia="en-AU"/>
        </w:rPr>
        <w:t>Communicate with</w:t>
      </w:r>
      <w:r w:rsidR="00BE21D3">
        <w:rPr>
          <w:rFonts w:ascii="VIC" w:hAnsi="VIC"/>
          <w:lang w:eastAsia="en-AU"/>
        </w:rPr>
        <w:t xml:space="preserve"> your workforce </w:t>
      </w:r>
      <w:r w:rsidR="004857E4">
        <w:rPr>
          <w:rFonts w:ascii="VIC" w:hAnsi="VIC"/>
          <w:lang w:eastAsia="en-AU"/>
        </w:rPr>
        <w:t xml:space="preserve">about </w:t>
      </w:r>
      <w:r w:rsidR="00BE21D3">
        <w:rPr>
          <w:rFonts w:ascii="VIC" w:hAnsi="VIC"/>
          <w:lang w:eastAsia="en-AU"/>
        </w:rPr>
        <w:t xml:space="preserve">why you are undertaking </w:t>
      </w:r>
      <w:r w:rsidR="004857E4">
        <w:rPr>
          <w:rFonts w:ascii="VIC" w:hAnsi="VIC"/>
          <w:lang w:eastAsia="en-AU"/>
        </w:rPr>
        <w:t xml:space="preserve">a </w:t>
      </w:r>
      <w:r w:rsidR="00BE21D3">
        <w:rPr>
          <w:rFonts w:ascii="VIC" w:hAnsi="VIC"/>
          <w:lang w:eastAsia="en-AU"/>
        </w:rPr>
        <w:t xml:space="preserve">workplace gender audit process, </w:t>
      </w:r>
      <w:r w:rsidR="004857E4">
        <w:rPr>
          <w:rFonts w:ascii="VIC" w:hAnsi="VIC"/>
          <w:lang w:eastAsia="en-AU"/>
        </w:rPr>
        <w:t>how you will be going about it</w:t>
      </w:r>
      <w:r>
        <w:rPr>
          <w:rFonts w:ascii="VIC" w:hAnsi="VIC"/>
          <w:lang w:eastAsia="en-AU"/>
        </w:rPr>
        <w:t xml:space="preserve"> and </w:t>
      </w:r>
      <w:r w:rsidR="00BE21D3">
        <w:rPr>
          <w:rFonts w:ascii="VIC" w:hAnsi="VIC"/>
          <w:lang w:eastAsia="en-AU"/>
        </w:rPr>
        <w:t>anticipated timeframes</w:t>
      </w:r>
      <w:r w:rsidR="008211BD">
        <w:rPr>
          <w:rFonts w:ascii="VIC" w:hAnsi="VIC"/>
          <w:lang w:eastAsia="en-AU"/>
        </w:rPr>
        <w:t>.</w:t>
      </w:r>
      <w:r w:rsidR="00BE21D3">
        <w:rPr>
          <w:rFonts w:ascii="VIC" w:hAnsi="VIC"/>
          <w:lang w:eastAsia="en-AU"/>
        </w:rPr>
        <w:t xml:space="preserve"> </w:t>
      </w:r>
      <w:r w:rsidR="009D6192">
        <w:rPr>
          <w:rFonts w:ascii="VIC" w:hAnsi="VIC"/>
          <w:lang w:eastAsia="en-AU"/>
        </w:rPr>
        <w:t>Also explain that</w:t>
      </w:r>
      <w:r w:rsidR="00BE21D3">
        <w:rPr>
          <w:rFonts w:ascii="VIC" w:hAnsi="VIC"/>
          <w:lang w:eastAsia="en-AU"/>
        </w:rPr>
        <w:t xml:space="preserve"> you will be undertaking a consultation </w:t>
      </w:r>
      <w:r>
        <w:rPr>
          <w:rFonts w:ascii="VIC" w:hAnsi="VIC"/>
          <w:lang w:eastAsia="en-AU"/>
        </w:rPr>
        <w:t xml:space="preserve">process </w:t>
      </w:r>
      <w:r w:rsidR="00BE21D3">
        <w:rPr>
          <w:rFonts w:ascii="VIC" w:hAnsi="VIC"/>
          <w:lang w:eastAsia="en-AU"/>
        </w:rPr>
        <w:t xml:space="preserve">following the audit </w:t>
      </w:r>
      <w:r w:rsidR="1B005664">
        <w:rPr>
          <w:rFonts w:ascii="VIC" w:hAnsi="VIC"/>
          <w:lang w:eastAsia="en-AU"/>
        </w:rPr>
        <w:t>to help inform the development of your GEAP</w:t>
      </w:r>
      <w:r w:rsidR="00BE21D3">
        <w:rPr>
          <w:rFonts w:ascii="VIC" w:hAnsi="VIC"/>
          <w:lang w:eastAsia="en-AU"/>
        </w:rPr>
        <w:t>.</w:t>
      </w:r>
      <w:r w:rsidR="00BE21D3">
        <w:rPr>
          <w:rStyle w:val="FootnoteReference"/>
          <w:rFonts w:ascii="VIC" w:hAnsi="VIC"/>
          <w:lang w:eastAsia="en-AU"/>
        </w:rPr>
        <w:footnoteReference w:id="7"/>
      </w:r>
    </w:p>
    <w:p w14:paraId="346C684A" w14:textId="5A9EE3D3" w:rsidR="00944662" w:rsidRPr="004F0C50" w:rsidRDefault="00826AC2" w:rsidP="00F002FD">
      <w:pPr>
        <w:pStyle w:val="ListParagraph"/>
        <w:numPr>
          <w:ilvl w:val="0"/>
          <w:numId w:val="41"/>
        </w:numPr>
        <w:rPr>
          <w:rFonts w:ascii="VIC" w:hAnsi="VIC"/>
          <w:lang w:eastAsia="en-AU"/>
        </w:rPr>
      </w:pPr>
      <w:r>
        <w:rPr>
          <w:rFonts w:ascii="VIC" w:hAnsi="VIC"/>
          <w:lang w:eastAsia="en-AU"/>
        </w:rPr>
        <w:t xml:space="preserve">Using the table of data measures </w:t>
      </w:r>
      <w:r w:rsidR="003849FD">
        <w:rPr>
          <w:rFonts w:ascii="VIC" w:hAnsi="VIC"/>
          <w:lang w:eastAsia="en-AU"/>
        </w:rPr>
        <w:t>below</w:t>
      </w:r>
      <w:r>
        <w:rPr>
          <w:rFonts w:ascii="VIC" w:hAnsi="VIC"/>
          <w:lang w:eastAsia="en-AU"/>
        </w:rPr>
        <w:t xml:space="preserve">, </w:t>
      </w:r>
      <w:r w:rsidR="00256CD3">
        <w:rPr>
          <w:rFonts w:ascii="VIC" w:hAnsi="VIC"/>
          <w:lang w:eastAsia="en-AU"/>
        </w:rPr>
        <w:t>map</w:t>
      </w:r>
      <w:r w:rsidR="00944662" w:rsidRPr="405A44CF">
        <w:rPr>
          <w:rFonts w:ascii="VIC" w:hAnsi="VIC"/>
          <w:lang w:eastAsia="en-AU"/>
        </w:rPr>
        <w:t xml:space="preserve"> </w:t>
      </w:r>
      <w:r w:rsidR="00575794">
        <w:rPr>
          <w:rFonts w:ascii="VIC" w:hAnsi="VIC"/>
          <w:lang w:eastAsia="en-AU"/>
        </w:rPr>
        <w:t xml:space="preserve">each data measure with an </w:t>
      </w:r>
      <w:r w:rsidR="00EC4E1D">
        <w:rPr>
          <w:rFonts w:ascii="VIC" w:hAnsi="VIC"/>
          <w:lang w:eastAsia="en-AU"/>
        </w:rPr>
        <w:t xml:space="preserve">associated </w:t>
      </w:r>
      <w:r w:rsidR="00944662" w:rsidRPr="405A44CF">
        <w:rPr>
          <w:rFonts w:ascii="VIC" w:hAnsi="VIC"/>
          <w:lang w:eastAsia="en-AU"/>
        </w:rPr>
        <w:t xml:space="preserve">data source </w:t>
      </w:r>
      <w:r w:rsidR="00251638">
        <w:rPr>
          <w:rFonts w:ascii="VIC" w:hAnsi="VIC"/>
          <w:lang w:eastAsia="en-AU"/>
        </w:rPr>
        <w:t>from</w:t>
      </w:r>
      <w:r w:rsidR="00944662" w:rsidRPr="405A44CF">
        <w:rPr>
          <w:rFonts w:ascii="VIC" w:hAnsi="VIC"/>
          <w:lang w:eastAsia="en-AU"/>
        </w:rPr>
        <w:t xml:space="preserve"> across your </w:t>
      </w:r>
      <w:r w:rsidR="00E62844">
        <w:rPr>
          <w:rFonts w:ascii="VIC" w:hAnsi="VIC"/>
          <w:lang w:eastAsia="en-AU"/>
        </w:rPr>
        <w:t>defined entity</w:t>
      </w:r>
      <w:r w:rsidR="00927652">
        <w:rPr>
          <w:rStyle w:val="FootnoteReference"/>
          <w:rFonts w:ascii="VIC" w:hAnsi="VIC"/>
          <w:lang w:eastAsia="en-AU"/>
        </w:rPr>
        <w:footnoteReference w:id="8"/>
      </w:r>
      <w:r w:rsidR="00944662" w:rsidRPr="405A44CF">
        <w:rPr>
          <w:rFonts w:ascii="VIC" w:hAnsi="VIC"/>
          <w:lang w:eastAsia="en-AU"/>
        </w:rPr>
        <w:t xml:space="preserve"> </w:t>
      </w:r>
      <w:r w:rsidR="0DF34C0B" w:rsidRPr="405A44CF">
        <w:rPr>
          <w:rFonts w:ascii="VIC" w:hAnsi="VIC"/>
          <w:lang w:eastAsia="en-AU"/>
        </w:rPr>
        <w:t>(</w:t>
      </w:r>
      <w:r w:rsidR="0754C35D" w:rsidRPr="405A44CF">
        <w:rPr>
          <w:rFonts w:ascii="VIC" w:hAnsi="VIC"/>
          <w:lang w:eastAsia="en-AU"/>
        </w:rPr>
        <w:t xml:space="preserve">suggested time commitment: </w:t>
      </w:r>
      <w:r w:rsidR="008211BD">
        <w:rPr>
          <w:rFonts w:ascii="VIC" w:hAnsi="VIC"/>
          <w:lang w:eastAsia="en-AU"/>
        </w:rPr>
        <w:t>3</w:t>
      </w:r>
      <w:r w:rsidR="00C507E6">
        <w:rPr>
          <w:rFonts w:ascii="VIC" w:hAnsi="VIC"/>
          <w:lang w:eastAsia="en-AU"/>
        </w:rPr>
        <w:t xml:space="preserve"> days</w:t>
      </w:r>
      <w:r w:rsidR="0DF34C0B" w:rsidRPr="405A44CF">
        <w:rPr>
          <w:rFonts w:ascii="VIC" w:hAnsi="VIC"/>
          <w:lang w:eastAsia="en-AU"/>
        </w:rPr>
        <w:t>)</w:t>
      </w:r>
      <w:r w:rsidR="00EE1CB3">
        <w:rPr>
          <w:rFonts w:ascii="VIC" w:hAnsi="VIC"/>
          <w:lang w:eastAsia="en-AU"/>
        </w:rPr>
        <w:t>. Where data is unavailable, consider whether</w:t>
      </w:r>
      <w:r w:rsidR="00FB51E0">
        <w:rPr>
          <w:rFonts w:ascii="VIC" w:hAnsi="VIC"/>
          <w:lang w:eastAsia="en-AU"/>
        </w:rPr>
        <w:t xml:space="preserve"> you can establish </w:t>
      </w:r>
      <w:r w:rsidR="00E6470D">
        <w:rPr>
          <w:rFonts w:ascii="VIC" w:hAnsi="VIC"/>
          <w:lang w:eastAsia="en-AU"/>
        </w:rPr>
        <w:t xml:space="preserve">a </w:t>
      </w:r>
      <w:r w:rsidR="00272810">
        <w:rPr>
          <w:rFonts w:ascii="VIC" w:hAnsi="VIC"/>
          <w:lang w:eastAsia="en-AU"/>
        </w:rPr>
        <w:t xml:space="preserve">new </w:t>
      </w:r>
      <w:r w:rsidR="003849FD">
        <w:rPr>
          <w:rFonts w:ascii="VIC" w:hAnsi="VIC"/>
          <w:lang w:eastAsia="en-AU"/>
        </w:rPr>
        <w:t>method</w:t>
      </w:r>
      <w:r w:rsidR="007E3368">
        <w:rPr>
          <w:rFonts w:ascii="VIC" w:hAnsi="VIC"/>
          <w:lang w:eastAsia="en-AU"/>
        </w:rPr>
        <w:t xml:space="preserve"> of collecting that data</w:t>
      </w:r>
      <w:r w:rsidR="00412D88">
        <w:rPr>
          <w:rFonts w:ascii="VIC" w:hAnsi="VIC"/>
          <w:lang w:eastAsia="en-AU"/>
        </w:rPr>
        <w:t xml:space="preserve"> ahead of the audit </w:t>
      </w:r>
      <w:r w:rsidR="00AB268F">
        <w:rPr>
          <w:rFonts w:ascii="VIC" w:hAnsi="VIC"/>
          <w:lang w:eastAsia="en-AU"/>
        </w:rPr>
        <w:t xml:space="preserve">data capture date </w:t>
      </w:r>
      <w:r w:rsidR="00F74C02">
        <w:rPr>
          <w:rFonts w:ascii="VIC" w:hAnsi="VIC"/>
          <w:lang w:eastAsia="en-AU"/>
        </w:rPr>
        <w:t>of 30 June</w:t>
      </w:r>
      <w:r w:rsidR="009D6192">
        <w:rPr>
          <w:rFonts w:ascii="VIC" w:hAnsi="VIC"/>
          <w:lang w:eastAsia="en-AU"/>
        </w:rPr>
        <w:t xml:space="preserve"> 2021. If not,</w:t>
      </w:r>
      <w:r w:rsidR="00256BD8">
        <w:rPr>
          <w:rFonts w:ascii="VIC" w:hAnsi="VIC"/>
          <w:lang w:eastAsia="en-AU"/>
        </w:rPr>
        <w:t xml:space="preserve"> consider</w:t>
      </w:r>
      <w:r w:rsidR="00F74C02">
        <w:rPr>
          <w:rFonts w:ascii="VIC" w:hAnsi="VIC"/>
          <w:lang w:eastAsia="en-AU"/>
        </w:rPr>
        <w:t xml:space="preserve"> </w:t>
      </w:r>
      <w:r w:rsidR="00F74C02" w:rsidRPr="00F74C02">
        <w:rPr>
          <w:rFonts w:ascii="VIC" w:hAnsi="VIC"/>
          <w:lang w:eastAsia="en-AU"/>
        </w:rPr>
        <w:t>includ</w:t>
      </w:r>
      <w:r w:rsidR="00256BD8">
        <w:rPr>
          <w:rFonts w:ascii="VIC" w:hAnsi="VIC"/>
          <w:lang w:eastAsia="en-AU"/>
        </w:rPr>
        <w:t>ing</w:t>
      </w:r>
      <w:r w:rsidR="00F74C02" w:rsidRPr="00F74C02">
        <w:rPr>
          <w:rFonts w:ascii="VIC" w:hAnsi="VIC"/>
          <w:lang w:eastAsia="en-AU"/>
        </w:rPr>
        <w:t xml:space="preserve"> this as an action in your </w:t>
      </w:r>
      <w:r w:rsidR="009D6192">
        <w:rPr>
          <w:rFonts w:ascii="VIC" w:hAnsi="VIC"/>
          <w:lang w:eastAsia="en-AU"/>
        </w:rPr>
        <w:t>GEAP</w:t>
      </w:r>
      <w:r w:rsidR="00F74C02">
        <w:rPr>
          <w:rFonts w:ascii="VIC" w:hAnsi="VIC"/>
          <w:lang w:eastAsia="en-AU"/>
        </w:rPr>
        <w:t>.</w:t>
      </w:r>
    </w:p>
    <w:p w14:paraId="135F5ECE" w14:textId="7FF8FA16" w:rsidR="00F002FD" w:rsidRPr="00B50173" w:rsidRDefault="00F002FD" w:rsidP="405A44CF">
      <w:pPr>
        <w:pStyle w:val="ListParagraph"/>
        <w:numPr>
          <w:ilvl w:val="0"/>
          <w:numId w:val="41"/>
        </w:numPr>
        <w:rPr>
          <w:rFonts w:asciiTheme="minorHAnsi" w:eastAsiaTheme="minorEastAsia" w:hAnsiTheme="minorHAnsi" w:cstheme="minorBidi"/>
          <w:lang w:eastAsia="en-AU"/>
        </w:rPr>
      </w:pPr>
      <w:r w:rsidRPr="405A44CF">
        <w:rPr>
          <w:rFonts w:ascii="VIC" w:hAnsi="VIC"/>
          <w:lang w:eastAsia="en-AU"/>
        </w:rPr>
        <w:t>Speak with</w:t>
      </w:r>
      <w:r w:rsidR="00956977" w:rsidRPr="405A44CF">
        <w:rPr>
          <w:rFonts w:ascii="VIC" w:hAnsi="VIC"/>
          <w:lang w:eastAsia="en-AU"/>
        </w:rPr>
        <w:t xml:space="preserve"> the</w:t>
      </w:r>
      <w:r w:rsidRPr="405A44CF">
        <w:rPr>
          <w:rFonts w:ascii="VIC" w:hAnsi="VIC"/>
          <w:lang w:eastAsia="en-AU"/>
        </w:rPr>
        <w:t xml:space="preserve"> people </w:t>
      </w:r>
      <w:r w:rsidR="00956977" w:rsidRPr="405A44CF">
        <w:rPr>
          <w:rFonts w:ascii="VIC" w:hAnsi="VIC"/>
          <w:lang w:eastAsia="en-AU"/>
        </w:rPr>
        <w:t xml:space="preserve">or teams </w:t>
      </w:r>
      <w:r w:rsidRPr="405A44CF">
        <w:rPr>
          <w:rFonts w:ascii="VIC" w:hAnsi="VIC"/>
          <w:lang w:eastAsia="en-AU"/>
        </w:rPr>
        <w:t xml:space="preserve">who can </w:t>
      </w:r>
      <w:r w:rsidR="00944662" w:rsidRPr="405A44CF">
        <w:rPr>
          <w:rFonts w:ascii="VIC" w:hAnsi="VIC"/>
          <w:lang w:eastAsia="en-AU"/>
        </w:rPr>
        <w:t xml:space="preserve">help </w:t>
      </w:r>
      <w:r w:rsidRPr="405A44CF">
        <w:rPr>
          <w:rFonts w:ascii="VIC" w:hAnsi="VIC"/>
          <w:lang w:eastAsia="en-AU"/>
        </w:rPr>
        <w:t>extract data from</w:t>
      </w:r>
      <w:r w:rsidR="00944662" w:rsidRPr="405A44CF">
        <w:rPr>
          <w:rFonts w:ascii="VIC" w:hAnsi="VIC"/>
          <w:lang w:eastAsia="en-AU"/>
        </w:rPr>
        <w:t xml:space="preserve"> relevant</w:t>
      </w:r>
      <w:r w:rsidRPr="405A44CF">
        <w:rPr>
          <w:rFonts w:ascii="VIC" w:hAnsi="VIC"/>
          <w:lang w:eastAsia="en-AU"/>
        </w:rPr>
        <w:t xml:space="preserve"> systems </w:t>
      </w:r>
      <w:r w:rsidR="00944662" w:rsidRPr="405A44CF">
        <w:rPr>
          <w:rFonts w:ascii="VIC" w:hAnsi="VIC"/>
          <w:lang w:eastAsia="en-AU"/>
        </w:rPr>
        <w:t>or files</w:t>
      </w:r>
      <w:r w:rsidR="0077287A" w:rsidRPr="405A44CF">
        <w:rPr>
          <w:rFonts w:ascii="VIC" w:hAnsi="VIC"/>
          <w:lang w:eastAsia="en-AU"/>
        </w:rPr>
        <w:t>, to establish a process and timeline for data collection</w:t>
      </w:r>
      <w:r w:rsidR="6445F22E" w:rsidRPr="405A44CF">
        <w:rPr>
          <w:rFonts w:ascii="VIC" w:hAnsi="VIC"/>
          <w:lang w:eastAsia="en-AU"/>
        </w:rPr>
        <w:t xml:space="preserve"> (</w:t>
      </w:r>
      <w:r w:rsidR="0E3FE874" w:rsidRPr="405A44CF">
        <w:rPr>
          <w:rFonts w:ascii="VIC" w:hAnsi="VIC"/>
          <w:lang w:eastAsia="en-AU"/>
        </w:rPr>
        <w:t xml:space="preserve">suggested time commitment: </w:t>
      </w:r>
      <w:r w:rsidR="008211BD">
        <w:rPr>
          <w:rFonts w:ascii="VIC" w:hAnsi="VIC"/>
          <w:lang w:eastAsia="en-AU"/>
        </w:rPr>
        <w:t>2</w:t>
      </w:r>
      <w:r w:rsidR="00C507E6">
        <w:rPr>
          <w:rFonts w:ascii="VIC" w:hAnsi="VIC"/>
          <w:lang w:eastAsia="en-AU"/>
        </w:rPr>
        <w:t xml:space="preserve"> </w:t>
      </w:r>
      <w:r w:rsidR="6445F22E" w:rsidRPr="405A44CF">
        <w:rPr>
          <w:rFonts w:ascii="VIC" w:hAnsi="VIC"/>
          <w:lang w:eastAsia="en-AU"/>
        </w:rPr>
        <w:t>days)</w:t>
      </w:r>
      <w:r w:rsidR="007F49F1">
        <w:rPr>
          <w:rFonts w:ascii="VIC" w:hAnsi="VIC"/>
          <w:lang w:eastAsia="en-AU"/>
        </w:rPr>
        <w:t>.</w:t>
      </w:r>
      <w:r w:rsidR="00F74C02">
        <w:rPr>
          <w:rFonts w:ascii="VIC" w:hAnsi="VIC"/>
          <w:lang w:eastAsia="en-AU"/>
        </w:rPr>
        <w:t xml:space="preserve"> This may </w:t>
      </w:r>
      <w:r w:rsidR="007F49F1">
        <w:rPr>
          <w:rFonts w:ascii="VIC" w:hAnsi="VIC"/>
          <w:lang w:eastAsia="en-AU"/>
        </w:rPr>
        <w:t xml:space="preserve">include workforce data, recruitment data, training data, payroll data and employee experience survey data. </w:t>
      </w:r>
    </w:p>
    <w:p w14:paraId="480162F6" w14:textId="63F3E488" w:rsidR="00F002FD" w:rsidRPr="00023E71" w:rsidRDefault="00416CEB" w:rsidP="405A44CF">
      <w:pPr>
        <w:pStyle w:val="ListParagraph"/>
        <w:numPr>
          <w:ilvl w:val="0"/>
          <w:numId w:val="41"/>
        </w:numPr>
        <w:rPr>
          <w:rFonts w:asciiTheme="minorHAnsi" w:eastAsiaTheme="minorEastAsia" w:hAnsiTheme="minorHAnsi" w:cstheme="minorBidi"/>
          <w:lang w:eastAsia="en-AU"/>
        </w:rPr>
      </w:pPr>
      <w:r w:rsidRPr="405A44CF">
        <w:rPr>
          <w:rFonts w:ascii="VIC" w:hAnsi="VIC"/>
          <w:lang w:eastAsia="en-AU"/>
        </w:rPr>
        <w:t xml:space="preserve">Identify any risks or challenges with collecting workplace gender audit data, and work with colleagues to resolve issues where possible </w:t>
      </w:r>
      <w:r w:rsidR="630537AC" w:rsidRPr="405A44CF">
        <w:rPr>
          <w:rFonts w:ascii="VIC" w:hAnsi="VIC"/>
          <w:lang w:eastAsia="en-AU"/>
        </w:rPr>
        <w:t>(</w:t>
      </w:r>
      <w:r w:rsidR="0C83759D" w:rsidRPr="405A44CF">
        <w:rPr>
          <w:rFonts w:ascii="VIC" w:hAnsi="VIC"/>
          <w:lang w:eastAsia="en-AU"/>
        </w:rPr>
        <w:t xml:space="preserve">suggested time commitment: </w:t>
      </w:r>
      <w:r w:rsidR="008211BD">
        <w:rPr>
          <w:rFonts w:ascii="VIC" w:hAnsi="VIC"/>
          <w:lang w:eastAsia="en-AU"/>
        </w:rPr>
        <w:t>1</w:t>
      </w:r>
      <w:r w:rsidR="00C507E6">
        <w:rPr>
          <w:rFonts w:ascii="VIC" w:hAnsi="VIC"/>
          <w:lang w:eastAsia="en-AU"/>
        </w:rPr>
        <w:t xml:space="preserve"> </w:t>
      </w:r>
      <w:r w:rsidR="630537AC" w:rsidRPr="405A44CF">
        <w:rPr>
          <w:rFonts w:ascii="VIC" w:hAnsi="VIC"/>
          <w:lang w:eastAsia="en-AU"/>
        </w:rPr>
        <w:t>day)</w:t>
      </w:r>
    </w:p>
    <w:p w14:paraId="7604D3D8" w14:textId="77777777" w:rsidR="00C507E6" w:rsidRPr="00023E71" w:rsidRDefault="00C507E6" w:rsidP="00023E71">
      <w:pPr>
        <w:pStyle w:val="ListParagraph"/>
        <w:rPr>
          <w:rFonts w:asciiTheme="minorHAnsi" w:eastAsiaTheme="minorEastAsia" w:hAnsiTheme="minorHAnsi" w:cstheme="minorBidi"/>
          <w:lang w:eastAsia="en-AU"/>
        </w:rPr>
      </w:pPr>
    </w:p>
    <w:p w14:paraId="1A1FC674" w14:textId="0D7CF5E1" w:rsidR="00C507E6" w:rsidRPr="004B51F1" w:rsidRDefault="007F49F1" w:rsidP="004B51F1">
      <w:pPr>
        <w:pStyle w:val="Heading2"/>
        <w:rPr>
          <w:lang w:eastAsia="en-AU"/>
        </w:rPr>
      </w:pPr>
      <w:bookmarkStart w:id="12" w:name="_Toc77249892"/>
      <w:r w:rsidRPr="004B51F1">
        <w:rPr>
          <w:lang w:eastAsia="en-AU"/>
        </w:rPr>
        <w:t>Stage 2</w:t>
      </w:r>
      <w:r w:rsidR="008211BD" w:rsidRPr="004B51F1">
        <w:rPr>
          <w:lang w:eastAsia="en-AU"/>
        </w:rPr>
        <w:t xml:space="preserve"> – </w:t>
      </w:r>
      <w:r w:rsidR="00C507E6" w:rsidRPr="004B51F1">
        <w:rPr>
          <w:lang w:eastAsia="en-AU"/>
        </w:rPr>
        <w:t>Data collection and analysis stage</w:t>
      </w:r>
      <w:bookmarkEnd w:id="12"/>
    </w:p>
    <w:p w14:paraId="68B83D27" w14:textId="1C96F124" w:rsidR="00F002FD" w:rsidRPr="004F0C50" w:rsidRDefault="00E9478C" w:rsidP="405A44CF">
      <w:pPr>
        <w:pStyle w:val="ListParagraph"/>
        <w:numPr>
          <w:ilvl w:val="0"/>
          <w:numId w:val="41"/>
        </w:numPr>
        <w:rPr>
          <w:rFonts w:asciiTheme="minorHAnsi" w:eastAsiaTheme="minorEastAsia" w:hAnsiTheme="minorHAnsi" w:cstheme="minorBidi"/>
          <w:lang w:eastAsia="en-AU"/>
        </w:rPr>
      </w:pPr>
      <w:r>
        <w:rPr>
          <w:rFonts w:ascii="VIC" w:hAnsi="VIC"/>
          <w:lang w:eastAsia="en-AU"/>
        </w:rPr>
        <w:t>A</w:t>
      </w:r>
      <w:r w:rsidR="00D714B1" w:rsidRPr="405A44CF">
        <w:rPr>
          <w:rFonts w:ascii="VIC" w:hAnsi="VIC"/>
          <w:lang w:eastAsia="en-AU"/>
        </w:rPr>
        <w:t>fter</w:t>
      </w:r>
      <w:r w:rsidR="00416CEB" w:rsidRPr="405A44CF">
        <w:rPr>
          <w:rFonts w:ascii="VIC" w:hAnsi="VIC"/>
          <w:lang w:eastAsia="en-AU"/>
        </w:rPr>
        <w:t xml:space="preserve"> 30 June 2021, </w:t>
      </w:r>
      <w:r w:rsidR="00AD08CF" w:rsidRPr="405A44CF">
        <w:rPr>
          <w:rFonts w:ascii="VIC" w:hAnsi="VIC"/>
          <w:lang w:eastAsia="en-AU"/>
        </w:rPr>
        <w:t xml:space="preserve">work with </w:t>
      </w:r>
      <w:r w:rsidR="00C507E6">
        <w:rPr>
          <w:rFonts w:ascii="VIC" w:hAnsi="VIC"/>
          <w:lang w:eastAsia="en-AU"/>
        </w:rPr>
        <w:t xml:space="preserve">the </w:t>
      </w:r>
      <w:r w:rsidR="00AD08CF" w:rsidRPr="405A44CF">
        <w:rPr>
          <w:rFonts w:ascii="VIC" w:hAnsi="VIC"/>
          <w:lang w:eastAsia="en-AU"/>
        </w:rPr>
        <w:t xml:space="preserve">relevant people and teams </w:t>
      </w:r>
      <w:r w:rsidR="00C507E6">
        <w:rPr>
          <w:rFonts w:ascii="VIC" w:hAnsi="VIC"/>
          <w:lang w:eastAsia="en-AU"/>
        </w:rPr>
        <w:t xml:space="preserve">(identified in the preparatory stage above) </w:t>
      </w:r>
      <w:r w:rsidR="00AD08CF" w:rsidRPr="405A44CF">
        <w:rPr>
          <w:rFonts w:ascii="VIC" w:hAnsi="VIC"/>
          <w:lang w:eastAsia="en-AU"/>
        </w:rPr>
        <w:t xml:space="preserve">to </w:t>
      </w:r>
      <w:r w:rsidR="3EC7D074" w:rsidRPr="405A44CF">
        <w:rPr>
          <w:rFonts w:ascii="VIC" w:hAnsi="VIC"/>
          <w:lang w:eastAsia="en-AU"/>
        </w:rPr>
        <w:t xml:space="preserve">collect and/or </w:t>
      </w:r>
      <w:r w:rsidR="00416CEB" w:rsidRPr="405A44CF">
        <w:rPr>
          <w:rFonts w:ascii="VIC" w:hAnsi="VIC"/>
          <w:lang w:eastAsia="en-AU"/>
        </w:rPr>
        <w:t xml:space="preserve">extract data </w:t>
      </w:r>
      <w:r w:rsidR="7A2ED362" w:rsidRPr="405A44CF">
        <w:rPr>
          <w:rFonts w:ascii="VIC" w:hAnsi="VIC"/>
          <w:lang w:eastAsia="en-AU"/>
        </w:rPr>
        <w:t>(</w:t>
      </w:r>
      <w:r w:rsidR="000B3D2F">
        <w:rPr>
          <w:rFonts w:ascii="VIC" w:hAnsi="VIC"/>
          <w:lang w:eastAsia="en-AU"/>
        </w:rPr>
        <w:t xml:space="preserve">table of data </w:t>
      </w:r>
      <w:r w:rsidR="7A2ED362" w:rsidRPr="405A44CF">
        <w:rPr>
          <w:rFonts w:ascii="VIC" w:hAnsi="VIC"/>
          <w:lang w:eastAsia="en-AU"/>
        </w:rPr>
        <w:t xml:space="preserve">measures set out below) </w:t>
      </w:r>
      <w:r w:rsidR="00D714B1" w:rsidRPr="405A44CF">
        <w:rPr>
          <w:rFonts w:ascii="VIC" w:hAnsi="VIC"/>
          <w:lang w:eastAsia="en-AU"/>
        </w:rPr>
        <w:t>for your workplace gender audit</w:t>
      </w:r>
      <w:r w:rsidR="00A06EB5">
        <w:rPr>
          <w:rFonts w:ascii="VIC" w:hAnsi="VIC"/>
          <w:lang w:eastAsia="en-AU"/>
        </w:rPr>
        <w:t xml:space="preserve">. Your data extract should be </w:t>
      </w:r>
      <w:r w:rsidR="003F4435">
        <w:rPr>
          <w:rFonts w:ascii="VIC" w:hAnsi="VIC"/>
          <w:lang w:eastAsia="en-AU"/>
        </w:rPr>
        <w:t xml:space="preserve">using data as </w:t>
      </w:r>
      <w:r w:rsidR="00A06EB5">
        <w:rPr>
          <w:rFonts w:ascii="VIC" w:hAnsi="VIC"/>
          <w:lang w:eastAsia="en-AU"/>
        </w:rPr>
        <w:t xml:space="preserve">at the last pay run </w:t>
      </w:r>
      <w:r w:rsidR="003F4435">
        <w:rPr>
          <w:rFonts w:ascii="VIC" w:hAnsi="VIC"/>
          <w:lang w:eastAsia="en-AU"/>
        </w:rPr>
        <w:t>immediately prior to</w:t>
      </w:r>
      <w:r w:rsidR="00A06EB5">
        <w:rPr>
          <w:rFonts w:ascii="VIC" w:hAnsi="VIC"/>
          <w:lang w:eastAsia="en-AU"/>
        </w:rPr>
        <w:t xml:space="preserve"> 30 June 2021.</w:t>
      </w:r>
      <w:r w:rsidR="57D03C36" w:rsidRPr="405A44CF">
        <w:rPr>
          <w:rFonts w:ascii="VIC" w:hAnsi="VIC"/>
          <w:lang w:eastAsia="en-AU"/>
        </w:rPr>
        <w:t xml:space="preserve"> (</w:t>
      </w:r>
      <w:r w:rsidR="0AE1FB1A" w:rsidRPr="405A44CF">
        <w:rPr>
          <w:rFonts w:ascii="VIC" w:hAnsi="VIC"/>
          <w:lang w:eastAsia="en-AU"/>
        </w:rPr>
        <w:t xml:space="preserve">suggested time commitment: </w:t>
      </w:r>
      <w:r w:rsidR="008211BD">
        <w:rPr>
          <w:rFonts w:ascii="VIC" w:hAnsi="VIC"/>
          <w:lang w:eastAsia="en-AU"/>
        </w:rPr>
        <w:t>3</w:t>
      </w:r>
      <w:r w:rsidR="00C507E6">
        <w:rPr>
          <w:rFonts w:ascii="VIC" w:hAnsi="VIC"/>
          <w:lang w:eastAsia="en-AU"/>
        </w:rPr>
        <w:t xml:space="preserve"> days</w:t>
      </w:r>
      <w:r w:rsidR="57D03C36" w:rsidRPr="405A44CF">
        <w:rPr>
          <w:rFonts w:ascii="VIC" w:hAnsi="VIC"/>
          <w:lang w:eastAsia="en-AU"/>
        </w:rPr>
        <w:t>)</w:t>
      </w:r>
      <w:r w:rsidR="000566E4">
        <w:rPr>
          <w:rFonts w:ascii="VIC" w:hAnsi="VIC"/>
          <w:lang w:eastAsia="en-AU"/>
        </w:rPr>
        <w:t xml:space="preserve">. </w:t>
      </w:r>
    </w:p>
    <w:p w14:paraId="02022D40" w14:textId="34681083" w:rsidR="00831408" w:rsidRPr="00E46A8A" w:rsidRDefault="00831408" w:rsidP="00831408">
      <w:pPr>
        <w:pStyle w:val="ListParagraph"/>
        <w:numPr>
          <w:ilvl w:val="0"/>
          <w:numId w:val="41"/>
        </w:numPr>
        <w:rPr>
          <w:lang w:eastAsia="en-AU"/>
        </w:rPr>
      </w:pPr>
      <w:r>
        <w:rPr>
          <w:rFonts w:ascii="VIC" w:hAnsi="VIC"/>
          <w:lang w:eastAsia="en-AU"/>
        </w:rPr>
        <w:t>Perform data quality assurance</w:t>
      </w:r>
      <w:r w:rsidR="001901EB">
        <w:rPr>
          <w:rFonts w:ascii="VIC" w:hAnsi="VIC"/>
          <w:lang w:eastAsia="en-AU"/>
        </w:rPr>
        <w:t>, such as checking for duplicates or abnormal figures,</w:t>
      </w:r>
      <w:r>
        <w:rPr>
          <w:rFonts w:ascii="VIC" w:hAnsi="VIC"/>
          <w:lang w:eastAsia="en-AU"/>
        </w:rPr>
        <w:t xml:space="preserve"> </w:t>
      </w:r>
      <w:r w:rsidR="002F1DA1">
        <w:rPr>
          <w:rFonts w:ascii="VIC" w:hAnsi="VIC"/>
          <w:lang w:eastAsia="en-AU"/>
        </w:rPr>
        <w:t>to ensure that the data is as accurate as possible</w:t>
      </w:r>
      <w:r>
        <w:rPr>
          <w:rFonts w:ascii="VIC" w:hAnsi="VIC"/>
          <w:lang w:eastAsia="en-AU"/>
        </w:rPr>
        <w:t xml:space="preserve"> (suggested time commitment: 2 days)</w:t>
      </w:r>
      <w:r w:rsidR="001901EB">
        <w:rPr>
          <w:rFonts w:ascii="VIC" w:hAnsi="VIC"/>
          <w:lang w:eastAsia="en-AU"/>
        </w:rPr>
        <w:t xml:space="preserve">. </w:t>
      </w:r>
      <w:bookmarkStart w:id="13" w:name="_Ref59442227"/>
      <w:r w:rsidR="001901EB">
        <w:rPr>
          <w:rStyle w:val="FootnoteReference"/>
          <w:rFonts w:ascii="VIC" w:hAnsi="VIC"/>
          <w:lang w:eastAsia="en-AU"/>
        </w:rPr>
        <w:footnoteReference w:id="9"/>
      </w:r>
      <w:bookmarkEnd w:id="13"/>
    </w:p>
    <w:p w14:paraId="5EF845D1" w14:textId="326AC8F9" w:rsidR="50BAE48F" w:rsidRPr="00B50173" w:rsidRDefault="50BAE48F" w:rsidP="405A44CF">
      <w:pPr>
        <w:pStyle w:val="ListParagraph"/>
        <w:numPr>
          <w:ilvl w:val="0"/>
          <w:numId w:val="41"/>
        </w:numPr>
        <w:rPr>
          <w:lang w:eastAsia="en-AU"/>
        </w:rPr>
      </w:pPr>
      <w:r w:rsidRPr="405A44CF">
        <w:rPr>
          <w:rFonts w:ascii="VIC" w:hAnsi="VIC"/>
          <w:lang w:eastAsia="en-AU"/>
        </w:rPr>
        <w:t xml:space="preserve">Analyse your data </w:t>
      </w:r>
      <w:r w:rsidR="002B7EFB">
        <w:rPr>
          <w:rFonts w:ascii="VIC" w:hAnsi="VIC"/>
          <w:lang w:eastAsia="en-AU"/>
        </w:rPr>
        <w:t>t</w:t>
      </w:r>
      <w:r w:rsidR="00EE6E0A">
        <w:rPr>
          <w:rFonts w:ascii="VIC" w:hAnsi="VIC"/>
          <w:lang w:eastAsia="en-AU"/>
        </w:rPr>
        <w:t xml:space="preserve">o </w:t>
      </w:r>
      <w:r w:rsidR="002B7EFB">
        <w:rPr>
          <w:rFonts w:ascii="VIC" w:hAnsi="VIC"/>
          <w:lang w:eastAsia="en-AU"/>
        </w:rPr>
        <w:t>as</w:t>
      </w:r>
      <w:r w:rsidR="00EE6E0A">
        <w:rPr>
          <w:rFonts w:ascii="VIC" w:hAnsi="VIC"/>
          <w:lang w:eastAsia="en-AU"/>
        </w:rPr>
        <w:t>s</w:t>
      </w:r>
      <w:r w:rsidR="002B7EFB">
        <w:rPr>
          <w:rFonts w:ascii="VIC" w:hAnsi="VIC"/>
          <w:lang w:eastAsia="en-AU"/>
        </w:rPr>
        <w:t>e</w:t>
      </w:r>
      <w:r w:rsidR="00EE6E0A">
        <w:rPr>
          <w:rFonts w:ascii="VIC" w:hAnsi="VIC"/>
          <w:lang w:eastAsia="en-AU"/>
        </w:rPr>
        <w:t>s</w:t>
      </w:r>
      <w:r w:rsidR="002B7EFB">
        <w:rPr>
          <w:rFonts w:ascii="VIC" w:hAnsi="VIC"/>
          <w:lang w:eastAsia="en-AU"/>
        </w:rPr>
        <w:t>s the state and nature of gender inequality in your workplace</w:t>
      </w:r>
      <w:r w:rsidR="00A27AB9">
        <w:rPr>
          <w:rFonts w:ascii="VIC" w:hAnsi="VIC"/>
          <w:lang w:eastAsia="en-AU"/>
        </w:rPr>
        <w:t xml:space="preserve"> (suggested time commitment: </w:t>
      </w:r>
      <w:r w:rsidR="008211BD">
        <w:rPr>
          <w:rFonts w:ascii="VIC" w:hAnsi="VIC"/>
          <w:lang w:eastAsia="en-AU"/>
        </w:rPr>
        <w:t>4</w:t>
      </w:r>
      <w:r w:rsidR="00C507E6">
        <w:rPr>
          <w:rFonts w:ascii="VIC" w:hAnsi="VIC"/>
          <w:lang w:eastAsia="en-AU"/>
        </w:rPr>
        <w:t xml:space="preserve"> days</w:t>
      </w:r>
      <w:r w:rsidR="00A27AB9">
        <w:rPr>
          <w:rFonts w:ascii="VIC" w:hAnsi="VIC"/>
          <w:lang w:eastAsia="en-AU"/>
        </w:rPr>
        <w:t xml:space="preserve">) </w:t>
      </w:r>
      <w:r w:rsidR="001901EB" w:rsidRPr="00B26D9A">
        <w:rPr>
          <w:rFonts w:ascii="VIC" w:hAnsi="VIC"/>
          <w:vertAlign w:val="superscript"/>
          <w:lang w:eastAsia="en-AU"/>
        </w:rPr>
        <w:fldChar w:fldCharType="begin"/>
      </w:r>
      <w:r w:rsidR="001901EB" w:rsidRPr="00B26D9A">
        <w:rPr>
          <w:rFonts w:ascii="VIC" w:hAnsi="VIC"/>
          <w:vertAlign w:val="superscript"/>
          <w:lang w:eastAsia="en-AU"/>
        </w:rPr>
        <w:instrText xml:space="preserve"> NOTEREF _Ref59442227 \h </w:instrText>
      </w:r>
      <w:r w:rsidR="001901EB">
        <w:rPr>
          <w:rFonts w:ascii="VIC" w:hAnsi="VIC"/>
          <w:vertAlign w:val="superscript"/>
          <w:lang w:eastAsia="en-AU"/>
        </w:rPr>
        <w:instrText xml:space="preserve"> \* MERGEFORMAT </w:instrText>
      </w:r>
      <w:r w:rsidR="001901EB" w:rsidRPr="00B26D9A">
        <w:rPr>
          <w:rFonts w:ascii="VIC" w:hAnsi="VIC"/>
          <w:vertAlign w:val="superscript"/>
          <w:lang w:eastAsia="en-AU"/>
        </w:rPr>
      </w:r>
      <w:r w:rsidR="001901EB" w:rsidRPr="00B26D9A">
        <w:rPr>
          <w:rFonts w:ascii="VIC" w:hAnsi="VIC"/>
          <w:vertAlign w:val="superscript"/>
          <w:lang w:eastAsia="en-AU"/>
        </w:rPr>
        <w:fldChar w:fldCharType="separate"/>
      </w:r>
      <w:r w:rsidR="001901EB" w:rsidRPr="00B26D9A">
        <w:rPr>
          <w:rFonts w:ascii="VIC" w:hAnsi="VIC"/>
          <w:vertAlign w:val="superscript"/>
          <w:lang w:eastAsia="en-AU"/>
        </w:rPr>
        <w:t>8</w:t>
      </w:r>
      <w:r w:rsidR="001901EB" w:rsidRPr="00B26D9A">
        <w:rPr>
          <w:rFonts w:ascii="VIC" w:hAnsi="VIC"/>
          <w:vertAlign w:val="superscript"/>
          <w:lang w:eastAsia="en-AU"/>
        </w:rPr>
        <w:fldChar w:fldCharType="end"/>
      </w:r>
    </w:p>
    <w:p w14:paraId="5225880E" w14:textId="5F1672E2" w:rsidR="001C411A" w:rsidRPr="007E6336" w:rsidRDefault="00A20A5A" w:rsidP="405A44CF">
      <w:pPr>
        <w:pStyle w:val="ListParagraph"/>
        <w:numPr>
          <w:ilvl w:val="0"/>
          <w:numId w:val="41"/>
        </w:numPr>
        <w:rPr>
          <w:rFonts w:asciiTheme="minorHAnsi" w:eastAsiaTheme="minorEastAsia" w:hAnsiTheme="minorHAnsi" w:cstheme="minorBidi"/>
          <w:lang w:eastAsia="en-AU"/>
        </w:rPr>
      </w:pPr>
      <w:r w:rsidRPr="405A44CF">
        <w:rPr>
          <w:rFonts w:ascii="VIC" w:hAnsi="VIC"/>
          <w:lang w:eastAsia="en-AU"/>
        </w:rPr>
        <w:t xml:space="preserve">Finalise </w:t>
      </w:r>
      <w:r w:rsidR="00D714B1" w:rsidRPr="405A44CF">
        <w:rPr>
          <w:rFonts w:ascii="VIC" w:hAnsi="VIC"/>
          <w:lang w:eastAsia="en-AU"/>
        </w:rPr>
        <w:t xml:space="preserve">the results of your workplace gender </w:t>
      </w:r>
      <w:r w:rsidR="001C411A" w:rsidRPr="405A44CF">
        <w:rPr>
          <w:rFonts w:ascii="VIC" w:hAnsi="VIC"/>
          <w:lang w:eastAsia="en-AU"/>
        </w:rPr>
        <w:t xml:space="preserve">audit </w:t>
      </w:r>
      <w:r w:rsidR="00AD08CF" w:rsidRPr="405A44CF">
        <w:rPr>
          <w:rFonts w:ascii="VIC" w:hAnsi="VIC"/>
          <w:lang w:eastAsia="en-AU"/>
        </w:rPr>
        <w:t xml:space="preserve">and use this information </w:t>
      </w:r>
      <w:r w:rsidR="00CF2E76">
        <w:rPr>
          <w:rFonts w:ascii="VIC" w:hAnsi="VIC"/>
          <w:lang w:eastAsia="en-AU"/>
        </w:rPr>
        <w:t xml:space="preserve">as the basis </w:t>
      </w:r>
      <w:r w:rsidR="00AD08CF" w:rsidRPr="405A44CF">
        <w:rPr>
          <w:rFonts w:ascii="VIC" w:hAnsi="VIC"/>
          <w:lang w:eastAsia="en-AU"/>
        </w:rPr>
        <w:t>for consultations</w:t>
      </w:r>
      <w:r w:rsidR="00615883">
        <w:rPr>
          <w:rStyle w:val="FootnoteReference"/>
          <w:rFonts w:ascii="VIC" w:hAnsi="VIC"/>
          <w:lang w:eastAsia="en-AU"/>
        </w:rPr>
        <w:footnoteReference w:id="10"/>
      </w:r>
      <w:r w:rsidR="00AD08CF" w:rsidRPr="405A44CF">
        <w:rPr>
          <w:rFonts w:ascii="VIC" w:hAnsi="VIC"/>
          <w:lang w:eastAsia="en-AU"/>
        </w:rPr>
        <w:t xml:space="preserve"> for your </w:t>
      </w:r>
      <w:r w:rsidR="002F1DA1">
        <w:rPr>
          <w:rFonts w:ascii="VIC" w:hAnsi="VIC"/>
          <w:lang w:eastAsia="en-AU"/>
        </w:rPr>
        <w:t>GEAP</w:t>
      </w:r>
      <w:r w:rsidR="00AD08CF" w:rsidRPr="405A44CF">
        <w:rPr>
          <w:rFonts w:ascii="VIC" w:hAnsi="VIC"/>
          <w:lang w:eastAsia="en-AU"/>
        </w:rPr>
        <w:t xml:space="preserve"> </w:t>
      </w:r>
      <w:r w:rsidR="006A1837">
        <w:rPr>
          <w:rFonts w:ascii="VIC" w:hAnsi="VIC"/>
          <w:lang w:eastAsia="en-AU"/>
        </w:rPr>
        <w:t xml:space="preserve">development </w:t>
      </w:r>
      <w:r w:rsidR="66EC3A1B" w:rsidRPr="405A44CF">
        <w:rPr>
          <w:rFonts w:ascii="VIC" w:hAnsi="VIC"/>
          <w:lang w:eastAsia="en-AU"/>
        </w:rPr>
        <w:t>(</w:t>
      </w:r>
      <w:r w:rsidR="075C4EED" w:rsidRPr="405A44CF">
        <w:rPr>
          <w:rFonts w:ascii="VIC" w:hAnsi="VIC"/>
          <w:lang w:eastAsia="en-AU"/>
        </w:rPr>
        <w:t xml:space="preserve">suggested time commitment: </w:t>
      </w:r>
      <w:r w:rsidR="008211BD">
        <w:rPr>
          <w:rFonts w:ascii="VIC" w:hAnsi="VIC"/>
          <w:lang w:eastAsia="en-AU"/>
        </w:rPr>
        <w:t>3</w:t>
      </w:r>
      <w:r w:rsidR="00C507E6" w:rsidRPr="405A44CF">
        <w:rPr>
          <w:rFonts w:ascii="VIC" w:hAnsi="VIC"/>
          <w:lang w:eastAsia="en-AU"/>
        </w:rPr>
        <w:t xml:space="preserve"> </w:t>
      </w:r>
      <w:r w:rsidR="66EC3A1B" w:rsidRPr="405A44CF">
        <w:rPr>
          <w:rFonts w:ascii="VIC" w:hAnsi="VIC"/>
          <w:lang w:eastAsia="en-AU"/>
        </w:rPr>
        <w:t>days</w:t>
      </w:r>
      <w:r w:rsidR="00C507E6">
        <w:rPr>
          <w:rFonts w:ascii="VIC" w:hAnsi="VIC"/>
          <w:lang w:eastAsia="en-AU"/>
        </w:rPr>
        <w:t xml:space="preserve"> </w:t>
      </w:r>
      <w:r w:rsidR="008211BD">
        <w:rPr>
          <w:rFonts w:ascii="VIC" w:hAnsi="VIC"/>
          <w:lang w:eastAsia="en-AU"/>
        </w:rPr>
        <w:t>not including consultation)</w:t>
      </w:r>
    </w:p>
    <w:p w14:paraId="15B508A5" w14:textId="77777777" w:rsidR="00927652" w:rsidRDefault="00927652" w:rsidP="00EE6E0A"/>
    <w:p w14:paraId="17A021B9" w14:textId="28490E44" w:rsidR="00EE6E0A" w:rsidRPr="007E6336" w:rsidRDefault="00EE6E0A" w:rsidP="007E6336">
      <w:pPr>
        <w:rPr>
          <w:rFonts w:eastAsiaTheme="minorEastAsia"/>
          <w:lang w:eastAsia="en-AU"/>
        </w:rPr>
      </w:pPr>
      <w:r w:rsidRPr="007E6336">
        <w:t>For information on how to develop your GEAP</w:t>
      </w:r>
      <w:r w:rsidR="003153C7">
        <w:t>,</w:t>
      </w:r>
      <w:r w:rsidRPr="007E6336">
        <w:t xml:space="preserve"> including conducting meaningful consultation, please refer to the GEAP guidance on </w:t>
      </w:r>
      <w:bookmarkStart w:id="14" w:name="_Hlk59193377"/>
      <w:r w:rsidR="001C47E4">
        <w:fldChar w:fldCharType="begin"/>
      </w:r>
      <w:r w:rsidR="001C47E4">
        <w:instrText xml:space="preserve"> HYPERLINK "https://www.genderequalitycommission.vic.gov.au/gender-equality-action-plans" </w:instrText>
      </w:r>
      <w:r w:rsidR="001C47E4">
        <w:fldChar w:fldCharType="separate"/>
      </w:r>
      <w:r w:rsidRPr="007E6336">
        <w:rPr>
          <w:rStyle w:val="Hyperlink"/>
        </w:rPr>
        <w:t>our website</w:t>
      </w:r>
      <w:r w:rsidR="001C47E4">
        <w:fldChar w:fldCharType="end"/>
      </w:r>
      <w:bookmarkEnd w:id="14"/>
      <w:r>
        <w:t xml:space="preserve">. </w:t>
      </w:r>
    </w:p>
    <w:p w14:paraId="35C04554" w14:textId="516570AA" w:rsidR="00847F64" w:rsidRDefault="007C7A66" w:rsidP="00847F64">
      <w:pPr>
        <w:pStyle w:val="Heading1"/>
      </w:pPr>
      <w:bookmarkStart w:id="15" w:name="_Toc77249893"/>
      <w:bookmarkEnd w:id="6"/>
      <w:r>
        <w:t xml:space="preserve">Workplace gender audit </w:t>
      </w:r>
      <w:r w:rsidR="007E708A">
        <w:t>data measures</w:t>
      </w:r>
      <w:bookmarkEnd w:id="15"/>
      <w:r w:rsidR="007E708A" w:rsidRPr="00A67293">
        <w:t xml:space="preserve"> </w:t>
      </w:r>
    </w:p>
    <w:p w14:paraId="1691286A" w14:textId="01B14D32" w:rsidR="003E6D50" w:rsidRDefault="00847F64" w:rsidP="405A44CF">
      <w:r w:rsidRPr="405A44CF">
        <w:t>There are two categories of data for your workplace gender audit</w:t>
      </w:r>
      <w:r w:rsidR="006F319D" w:rsidRPr="405A44CF">
        <w:t xml:space="preserve">, </w:t>
      </w:r>
      <w:r w:rsidR="008211BD">
        <w:rPr>
          <w:b/>
          <w:bCs/>
        </w:rPr>
        <w:t>workforce</w:t>
      </w:r>
      <w:r w:rsidR="008211BD" w:rsidRPr="405A44CF">
        <w:t xml:space="preserve"> </w:t>
      </w:r>
      <w:r w:rsidR="006F319D" w:rsidRPr="405A44CF">
        <w:t xml:space="preserve">data and </w:t>
      </w:r>
      <w:r w:rsidR="006F319D" w:rsidRPr="405A44CF">
        <w:rPr>
          <w:b/>
          <w:bCs/>
        </w:rPr>
        <w:t>employee experience</w:t>
      </w:r>
      <w:r w:rsidR="006F319D" w:rsidRPr="405A44CF">
        <w:t xml:space="preserve"> data</w:t>
      </w:r>
      <w:r w:rsidRPr="405A44CF">
        <w:t xml:space="preserve">. </w:t>
      </w:r>
      <w:r w:rsidR="17155BF7" w:rsidRPr="405A44CF">
        <w:t xml:space="preserve">The </w:t>
      </w:r>
      <w:r w:rsidR="008211BD">
        <w:rPr>
          <w:b/>
          <w:bCs/>
        </w:rPr>
        <w:t>workforce</w:t>
      </w:r>
      <w:r w:rsidR="008211BD" w:rsidRPr="00B50173">
        <w:rPr>
          <w:b/>
          <w:bCs/>
        </w:rPr>
        <w:t xml:space="preserve"> </w:t>
      </w:r>
      <w:r w:rsidR="17155BF7" w:rsidRPr="405A44CF">
        <w:t xml:space="preserve">data should be extracted from your internal data collection systems. </w:t>
      </w:r>
      <w:r w:rsidR="00BE0C08">
        <w:rPr>
          <w:b/>
          <w:bCs/>
        </w:rPr>
        <w:t>E</w:t>
      </w:r>
      <w:r w:rsidR="17155BF7" w:rsidRPr="00B50173">
        <w:rPr>
          <w:b/>
          <w:bCs/>
        </w:rPr>
        <w:t>mployee experience</w:t>
      </w:r>
      <w:r w:rsidR="17155BF7" w:rsidRPr="405A44CF">
        <w:t xml:space="preserve"> data</w:t>
      </w:r>
      <w:r w:rsidR="00BE0C08">
        <w:t xml:space="preserve"> will complement your workforce data to help you better understand gender inequality in your defined entity.</w:t>
      </w:r>
      <w:r w:rsidR="17155BF7" w:rsidRPr="405A44CF">
        <w:t xml:space="preserve"> </w:t>
      </w:r>
    </w:p>
    <w:p w14:paraId="3321DDBD" w14:textId="1C8DB5BD" w:rsidR="00C42D38" w:rsidRDefault="003E6D50" w:rsidP="00C42D38">
      <w:r w:rsidRPr="004B51F1">
        <w:rPr>
          <w:b/>
          <w:bCs/>
        </w:rPr>
        <w:t xml:space="preserve">For </w:t>
      </w:r>
      <w:r w:rsidR="00E62844">
        <w:rPr>
          <w:b/>
          <w:bCs/>
        </w:rPr>
        <w:t>defined entitie</w:t>
      </w:r>
      <w:r w:rsidRPr="004B51F1">
        <w:rPr>
          <w:b/>
          <w:bCs/>
        </w:rPr>
        <w:t xml:space="preserve">s </w:t>
      </w:r>
      <w:r w:rsidR="00377051">
        <w:rPr>
          <w:b/>
          <w:bCs/>
        </w:rPr>
        <w:t>that</w:t>
      </w:r>
      <w:r w:rsidR="00377051" w:rsidRPr="004B51F1">
        <w:rPr>
          <w:b/>
          <w:bCs/>
        </w:rPr>
        <w:t xml:space="preserve"> </w:t>
      </w:r>
      <w:r w:rsidRPr="004B51F1">
        <w:rPr>
          <w:b/>
          <w:bCs/>
        </w:rPr>
        <w:t xml:space="preserve">participate in the </w:t>
      </w:r>
      <w:r w:rsidR="50DDE635" w:rsidRPr="004B51F1">
        <w:rPr>
          <w:b/>
          <w:bCs/>
        </w:rPr>
        <w:t xml:space="preserve">Victorian Public Sector Commission’s </w:t>
      </w:r>
      <w:r w:rsidR="0041321F" w:rsidRPr="004B51F1">
        <w:rPr>
          <w:b/>
          <w:bCs/>
        </w:rPr>
        <w:t xml:space="preserve">(VPSC) </w:t>
      </w:r>
      <w:r w:rsidRPr="004B51F1">
        <w:rPr>
          <w:b/>
          <w:bCs/>
        </w:rPr>
        <w:t>People Matter Survey 2021</w:t>
      </w:r>
    </w:p>
    <w:p w14:paraId="73AB1FB0" w14:textId="427C08AF" w:rsidR="003E6D50" w:rsidRDefault="00C42D38" w:rsidP="004B51F1">
      <w:r>
        <w:t>T</w:t>
      </w:r>
      <w:r w:rsidR="003E6D50" w:rsidRPr="004B51F1">
        <w:t xml:space="preserve">he relevant questions for your workplace gender audit have been incorporated into the </w:t>
      </w:r>
      <w:r w:rsidR="50DDE635" w:rsidRPr="004B51F1">
        <w:t>People Matter Survey</w:t>
      </w:r>
      <w:r w:rsidR="00851CFF">
        <w:t xml:space="preserve">. The </w:t>
      </w:r>
      <w:r w:rsidR="066BC6B0" w:rsidRPr="004B51F1">
        <w:t xml:space="preserve">VPSC will provide you with the relevant employee experience data for your </w:t>
      </w:r>
      <w:r w:rsidR="00790C66" w:rsidRPr="004B51F1">
        <w:t xml:space="preserve">workplace gender audit </w:t>
      </w:r>
      <w:r w:rsidR="00B50173" w:rsidRPr="004B51F1">
        <w:t xml:space="preserve">by </w:t>
      </w:r>
      <w:r w:rsidR="0097794E">
        <w:t>August</w:t>
      </w:r>
      <w:r w:rsidR="00A92100" w:rsidRPr="004B51F1">
        <w:t xml:space="preserve"> </w:t>
      </w:r>
      <w:r w:rsidR="003E6D50" w:rsidRPr="004B51F1">
        <w:t>2021</w:t>
      </w:r>
      <w:r w:rsidR="066BC6B0" w:rsidRPr="004B51F1">
        <w:t>.</w:t>
      </w:r>
      <w:r w:rsidR="003E6D50" w:rsidRPr="004B51F1">
        <w:t xml:space="preserve"> </w:t>
      </w:r>
    </w:p>
    <w:p w14:paraId="608A09AA" w14:textId="2B65F499" w:rsidR="00F24A44" w:rsidRDefault="00F24A44" w:rsidP="004B51F1">
      <w:r>
        <w:t>T</w:t>
      </w:r>
      <w:r w:rsidRPr="004B51F1">
        <w:t xml:space="preserve">he Commission has worked with the VPSC to </w:t>
      </w:r>
      <w:r>
        <w:t>provide local councils with access to an abridged version of the People Matter Survey in 2021</w:t>
      </w:r>
      <w:r w:rsidRPr="004B51F1">
        <w:t xml:space="preserve">. </w:t>
      </w:r>
      <w:r>
        <w:t xml:space="preserve">The </w:t>
      </w:r>
      <w:r w:rsidR="00FA3074">
        <w:t>Commission</w:t>
      </w:r>
      <w:r>
        <w:t xml:space="preserve"> will provide participating councils with the relevant employee experience data for their workplace gender audit by August 2021. </w:t>
      </w:r>
    </w:p>
    <w:p w14:paraId="745A7464" w14:textId="47824894" w:rsidR="00EA259E" w:rsidRPr="004B51F1" w:rsidRDefault="00EA259E" w:rsidP="004B51F1">
      <w:r>
        <w:t xml:space="preserve">Defined entities who </w:t>
      </w:r>
      <w:r w:rsidR="002C308C">
        <w:t>participate in the People Matter Survey 2021 will not be required to submit their survey results to the Commission</w:t>
      </w:r>
      <w:r w:rsidR="00DB75E5">
        <w:t xml:space="preserve">, as the VPSC will be providing the </w:t>
      </w:r>
      <w:r w:rsidR="00806D01">
        <w:t xml:space="preserve">deidentified </w:t>
      </w:r>
      <w:r w:rsidR="00DB75E5">
        <w:t>data directly to the Commission.</w:t>
      </w:r>
    </w:p>
    <w:p w14:paraId="323C1323" w14:textId="0381DEE2" w:rsidR="00C42D38" w:rsidRPr="004B51F1" w:rsidRDefault="003E6D50" w:rsidP="00C42D38">
      <w:pPr>
        <w:rPr>
          <w:b/>
          <w:bCs/>
        </w:rPr>
      </w:pPr>
      <w:r w:rsidRPr="004B51F1">
        <w:rPr>
          <w:b/>
          <w:bCs/>
        </w:rPr>
        <w:t xml:space="preserve">For </w:t>
      </w:r>
      <w:r w:rsidR="00E62844">
        <w:rPr>
          <w:b/>
          <w:bCs/>
        </w:rPr>
        <w:t>defined entitie</w:t>
      </w:r>
      <w:r w:rsidRPr="004B51F1">
        <w:rPr>
          <w:b/>
          <w:bCs/>
        </w:rPr>
        <w:t>s that do not</w:t>
      </w:r>
      <w:r w:rsidR="00C42D38" w:rsidRPr="004B51F1">
        <w:rPr>
          <w:b/>
          <w:bCs/>
        </w:rPr>
        <w:t xml:space="preserve"> </w:t>
      </w:r>
      <w:r w:rsidRPr="004B51F1">
        <w:rPr>
          <w:b/>
          <w:bCs/>
        </w:rPr>
        <w:t>participate in the</w:t>
      </w:r>
      <w:r w:rsidR="00C42D38">
        <w:rPr>
          <w:b/>
          <w:bCs/>
        </w:rPr>
        <w:t xml:space="preserve"> VPSC’s</w:t>
      </w:r>
      <w:r w:rsidRPr="004B51F1">
        <w:rPr>
          <w:b/>
          <w:bCs/>
        </w:rPr>
        <w:t xml:space="preserve"> People Matter Survey 2021</w:t>
      </w:r>
    </w:p>
    <w:p w14:paraId="0B01CCC5" w14:textId="32AEA6F7" w:rsidR="00847F64" w:rsidRDefault="005913BE" w:rsidP="004B51F1">
      <w:r>
        <w:t xml:space="preserve">For defined entities who choose to administer the survey in-house (not recommended) or through a third-party provider, </w:t>
      </w:r>
      <w:r w:rsidR="00312D58" w:rsidRPr="00312D58">
        <w:t>the survey questions and</w:t>
      </w:r>
      <w:r w:rsidR="00312D58">
        <w:t xml:space="preserve"> </w:t>
      </w:r>
      <w:r w:rsidR="00312D58" w:rsidRPr="00312D58">
        <w:t>guidance on collecting employee experience</w:t>
      </w:r>
      <w:r w:rsidR="00312D58">
        <w:t xml:space="preserve"> d</w:t>
      </w:r>
      <w:r w:rsidR="00312D58" w:rsidRPr="00312D58">
        <w:t>ata (including associated victim safety,</w:t>
      </w:r>
      <w:r w:rsidR="009D1006">
        <w:t xml:space="preserve"> </w:t>
      </w:r>
      <w:r w:rsidR="00312D58" w:rsidRPr="00312D58">
        <w:t>organisational response and referral protocols)</w:t>
      </w:r>
      <w:r w:rsidR="00312D58">
        <w:t xml:space="preserve"> </w:t>
      </w:r>
      <w:r w:rsidR="00312D58" w:rsidRPr="00312D58">
        <w:t xml:space="preserve">are available on </w:t>
      </w:r>
      <w:hyperlink r:id="rId21" w:history="1">
        <w:r w:rsidR="00312D58" w:rsidRPr="009D1006">
          <w:rPr>
            <w:rStyle w:val="Hyperlink"/>
          </w:rPr>
          <w:t>our website</w:t>
        </w:r>
      </w:hyperlink>
      <w:r w:rsidR="00312D58" w:rsidRPr="00312D58">
        <w:t>.</w:t>
      </w:r>
      <w:r w:rsidR="00312D58">
        <w:t xml:space="preserve"> </w:t>
      </w:r>
    </w:p>
    <w:p w14:paraId="241AFB4A" w14:textId="184CADEC" w:rsidR="00AB279E" w:rsidRPr="004B51F1" w:rsidRDefault="006019E8" w:rsidP="004B51F1">
      <w:r>
        <w:rPr>
          <w:rFonts w:eastAsia="Times" w:cs="Arial"/>
          <w:color w:val="000000"/>
        </w:rPr>
        <w:t>These d</w:t>
      </w:r>
      <w:r w:rsidR="00AB279E">
        <w:rPr>
          <w:rFonts w:eastAsia="Times" w:cs="Arial"/>
          <w:color w:val="000000"/>
        </w:rPr>
        <w:t xml:space="preserve">efined entities will be asked to submit their data </w:t>
      </w:r>
      <w:r w:rsidR="00E95BF0">
        <w:rPr>
          <w:rFonts w:eastAsia="Times" w:cs="Arial"/>
          <w:color w:val="000000"/>
        </w:rPr>
        <w:t xml:space="preserve">to the Commission </w:t>
      </w:r>
      <w:r w:rsidR="00AB279E">
        <w:rPr>
          <w:rFonts w:eastAsia="Times" w:cs="Arial"/>
          <w:color w:val="000000"/>
        </w:rPr>
        <w:t xml:space="preserve">using the Employee Experience </w:t>
      </w:r>
      <w:r w:rsidR="001C769E">
        <w:rPr>
          <w:rFonts w:eastAsia="Times" w:cs="Arial"/>
          <w:color w:val="000000"/>
        </w:rPr>
        <w:t>Reporting Template</w:t>
      </w:r>
      <w:r w:rsidR="000924DC">
        <w:rPr>
          <w:rFonts w:eastAsia="Times" w:cs="Arial"/>
          <w:color w:val="000000"/>
        </w:rPr>
        <w:t xml:space="preserve"> available on </w:t>
      </w:r>
      <w:hyperlink r:id="rId22" w:history="1">
        <w:r w:rsidR="000924DC" w:rsidRPr="000924DC">
          <w:rPr>
            <w:rStyle w:val="Hyperlink"/>
            <w:rFonts w:eastAsia="Times" w:cs="Arial"/>
          </w:rPr>
          <w:t>our website</w:t>
        </w:r>
      </w:hyperlink>
      <w:r w:rsidR="00AB279E">
        <w:rPr>
          <w:rFonts w:eastAsia="Times" w:cs="Arial"/>
          <w:color w:val="000000"/>
        </w:rPr>
        <w:t>.</w:t>
      </w:r>
    </w:p>
    <w:p w14:paraId="41A2577F" w14:textId="35055C43" w:rsidR="003E6D50" w:rsidRDefault="002377C8" w:rsidP="004B51F1">
      <w:pPr>
        <w:pStyle w:val="Heading2"/>
      </w:pPr>
      <w:bookmarkStart w:id="16" w:name="_Toc77249894"/>
      <w:r>
        <w:t>Data measures</w:t>
      </w:r>
      <w:bookmarkEnd w:id="16"/>
    </w:p>
    <w:p w14:paraId="6B4E65C2" w14:textId="00003054" w:rsidR="002377C8" w:rsidRDefault="00415426" w:rsidP="405A44CF">
      <w:r w:rsidRPr="405A44CF">
        <w:t xml:space="preserve">The table below is a summary of all the </w:t>
      </w:r>
      <w:r w:rsidR="002377C8">
        <w:rPr>
          <w:b/>
          <w:bCs/>
        </w:rPr>
        <w:t>workforce</w:t>
      </w:r>
      <w:r w:rsidR="001E1BB2">
        <w:rPr>
          <w:b/>
          <w:bCs/>
        </w:rPr>
        <w:t xml:space="preserve"> </w:t>
      </w:r>
      <w:r w:rsidRPr="405A44CF">
        <w:t xml:space="preserve">data </w:t>
      </w:r>
      <w:r w:rsidR="00063F85">
        <w:t>required for your</w:t>
      </w:r>
      <w:r w:rsidRPr="405A44CF">
        <w:t xml:space="preserve"> workplace gender audit.</w:t>
      </w:r>
      <w:r w:rsidR="001E1BB2">
        <w:t xml:space="preserve"> </w:t>
      </w:r>
      <w:r w:rsidR="00171854" w:rsidRPr="405A44CF">
        <w:t xml:space="preserve">The </w:t>
      </w:r>
      <w:r w:rsidR="6916C37C" w:rsidRPr="405A44CF">
        <w:t xml:space="preserve">data </w:t>
      </w:r>
      <w:r w:rsidR="00623162">
        <w:t>measures</w:t>
      </w:r>
      <w:r w:rsidR="00171854" w:rsidRPr="405A44CF">
        <w:t xml:space="preserve"> </w:t>
      </w:r>
      <w:r w:rsidR="00ED258A" w:rsidRPr="405A44CF">
        <w:t xml:space="preserve">are </w:t>
      </w:r>
      <w:r w:rsidR="00171854" w:rsidRPr="405A44CF">
        <w:t xml:space="preserve">categorised according to the workplace gender equality indicators in the Act. </w:t>
      </w:r>
      <w:r w:rsidR="009B5CBC">
        <w:t xml:space="preserve">The data </w:t>
      </w:r>
      <w:r w:rsidR="003E6D50">
        <w:t xml:space="preserve">relating to </w:t>
      </w:r>
      <w:r w:rsidR="002377C8" w:rsidRPr="00E16769">
        <w:t xml:space="preserve">intersectional </w:t>
      </w:r>
      <w:r w:rsidR="003E6D50" w:rsidRPr="00E16769">
        <w:t>gender inequality</w:t>
      </w:r>
      <w:r w:rsidR="003E6D50">
        <w:t xml:space="preserve"> </w:t>
      </w:r>
      <w:r w:rsidR="0B8C42D3">
        <w:t xml:space="preserve">coloured in </w:t>
      </w:r>
      <w:r w:rsidR="00937EDF">
        <w:t xml:space="preserve">yellow </w:t>
      </w:r>
      <w:r w:rsidR="00623162">
        <w:t xml:space="preserve">should be </w:t>
      </w:r>
      <w:r w:rsidR="00C473E6">
        <w:t>included</w:t>
      </w:r>
      <w:r w:rsidR="00623162">
        <w:t xml:space="preserve"> </w:t>
      </w:r>
      <w:r w:rsidR="00843F7A">
        <w:t>where</w:t>
      </w:r>
      <w:r w:rsidR="00623162">
        <w:t xml:space="preserve"> available</w:t>
      </w:r>
      <w:r w:rsidR="00831408">
        <w:rPr>
          <w:rStyle w:val="FootnoteReference"/>
        </w:rPr>
        <w:footnoteReference w:id="11"/>
      </w:r>
      <w:r w:rsidR="00BE0C08">
        <w:t>, and where the group size is large enough to protect anonymity</w:t>
      </w:r>
      <w:r w:rsidR="00171854" w:rsidRPr="405A44CF">
        <w:t>.</w:t>
      </w:r>
      <w:r>
        <w:t xml:space="preserve"> </w:t>
      </w:r>
      <w:r w:rsidR="004F61E1">
        <w:t xml:space="preserve">The </w:t>
      </w:r>
      <w:r w:rsidR="004F61E1">
        <w:rPr>
          <w:b/>
          <w:bCs/>
        </w:rPr>
        <w:t>e</w:t>
      </w:r>
      <w:r w:rsidR="004F61E1" w:rsidRPr="007E6336">
        <w:rPr>
          <w:b/>
          <w:bCs/>
        </w:rPr>
        <w:t>mployee experience</w:t>
      </w:r>
      <w:r w:rsidR="004F61E1" w:rsidRPr="006F1CB7">
        <w:t xml:space="preserve"> data</w:t>
      </w:r>
      <w:r w:rsidR="004B5CFB">
        <w:t xml:space="preserve"> measures</w:t>
      </w:r>
      <w:r w:rsidR="004F61E1">
        <w:t>,</w:t>
      </w:r>
      <w:r w:rsidR="004F61E1" w:rsidRPr="00C60809" w:rsidDel="001E1BB2">
        <w:t xml:space="preserve"> which will complement the</w:t>
      </w:r>
      <w:r w:rsidR="004F61E1">
        <w:t xml:space="preserve"> workforce data</w:t>
      </w:r>
      <w:r w:rsidR="004F61E1" w:rsidRPr="00C60809" w:rsidDel="001E1BB2">
        <w:t>,</w:t>
      </w:r>
      <w:r w:rsidR="004F61E1" w:rsidRPr="00C60809">
        <w:t xml:space="preserve"> </w:t>
      </w:r>
      <w:r w:rsidR="004B5CFB">
        <w:t xml:space="preserve">are </w:t>
      </w:r>
      <w:r w:rsidR="004B5CFB" w:rsidRPr="00312D58">
        <w:t xml:space="preserve">available on </w:t>
      </w:r>
      <w:hyperlink r:id="rId23" w:history="1">
        <w:r w:rsidR="004B5CFB" w:rsidRPr="009D1006">
          <w:rPr>
            <w:rStyle w:val="Hyperlink"/>
          </w:rPr>
          <w:t>our website</w:t>
        </w:r>
      </w:hyperlink>
      <w:r w:rsidR="004F61E1" w:rsidRPr="006F1CB7">
        <w:t>.</w:t>
      </w:r>
    </w:p>
    <w:p w14:paraId="058F35A1" w14:textId="3F367701" w:rsidR="009525BB" w:rsidRDefault="00857098" w:rsidP="42431986">
      <w:r>
        <w:t>The</w:t>
      </w:r>
      <w:r w:rsidR="002377C8">
        <w:t xml:space="preserve"> </w:t>
      </w:r>
      <w:r w:rsidR="00566560">
        <w:rPr>
          <w:b/>
          <w:bCs/>
        </w:rPr>
        <w:t>Workforce</w:t>
      </w:r>
      <w:r w:rsidR="002377C8" w:rsidRPr="007E6336">
        <w:rPr>
          <w:b/>
          <w:bCs/>
        </w:rPr>
        <w:t xml:space="preserve"> </w:t>
      </w:r>
      <w:r w:rsidR="00566560">
        <w:rPr>
          <w:b/>
          <w:bCs/>
        </w:rPr>
        <w:t>R</w:t>
      </w:r>
      <w:r w:rsidR="002377C8" w:rsidRPr="007E6336">
        <w:rPr>
          <w:b/>
          <w:bCs/>
        </w:rPr>
        <w:t>eporting</w:t>
      </w:r>
      <w:r w:rsidR="00452D51" w:rsidRPr="007E6336">
        <w:rPr>
          <w:b/>
          <w:bCs/>
        </w:rPr>
        <w:t xml:space="preserve"> </w:t>
      </w:r>
      <w:r w:rsidR="00566560">
        <w:rPr>
          <w:b/>
          <w:bCs/>
        </w:rPr>
        <w:t>T</w:t>
      </w:r>
      <w:r w:rsidR="00452D51" w:rsidRPr="007E6336">
        <w:rPr>
          <w:b/>
          <w:bCs/>
        </w:rPr>
        <w:t>emplate</w:t>
      </w:r>
      <w:r w:rsidR="00452D51" w:rsidRPr="405A44CF">
        <w:t xml:space="preserve"> </w:t>
      </w:r>
      <w:r w:rsidR="002377C8">
        <w:t xml:space="preserve">can be downloaded from our website. This template will allow you to </w:t>
      </w:r>
      <w:r w:rsidR="00566560">
        <w:t>submit</w:t>
      </w:r>
      <w:r w:rsidR="00704C28" w:rsidRPr="405A44CF">
        <w:t xml:space="preserve"> your </w:t>
      </w:r>
      <w:r w:rsidR="002377C8">
        <w:t xml:space="preserve">workforce </w:t>
      </w:r>
      <w:r w:rsidR="00704C28" w:rsidRPr="405A44CF">
        <w:t>data to the Commission when you submit your GEAP</w:t>
      </w:r>
      <w:r w:rsidR="00775D7A">
        <w:t xml:space="preserve"> </w:t>
      </w:r>
      <w:r w:rsidR="00566560">
        <w:t xml:space="preserve">through the Commission’s Reporting Platform. </w:t>
      </w:r>
    </w:p>
    <w:p w14:paraId="63FAC95D" w14:textId="0429B179" w:rsidR="007419AB" w:rsidRDefault="3088957F" w:rsidP="42431986">
      <w:r w:rsidRPr="42431986">
        <w:t>You may wish to collect and analyse additional workforce data</w:t>
      </w:r>
      <w:r w:rsidR="503FA3BC" w:rsidRPr="42431986">
        <w:t xml:space="preserve"> to inform your GEAP, beyond the data </w:t>
      </w:r>
      <w:r w:rsidR="4236F2A3" w:rsidRPr="42431986">
        <w:t>measures</w:t>
      </w:r>
      <w:r w:rsidR="00E07BB8">
        <w:t xml:space="preserve"> below</w:t>
      </w:r>
      <w:r w:rsidR="503FA3BC" w:rsidRPr="42431986">
        <w:t xml:space="preserve">. </w:t>
      </w:r>
      <w:r w:rsidR="004D7F7F">
        <w:t xml:space="preserve">However, only the measures below will be able to </w:t>
      </w:r>
      <w:r w:rsidR="00630495">
        <w:t>be entered into the t</w:t>
      </w:r>
      <w:r w:rsidR="00C6000E" w:rsidRPr="00E16769">
        <w:t>emplate</w:t>
      </w:r>
      <w:r w:rsidR="00A0241F">
        <w:t>.</w:t>
      </w:r>
      <w:r w:rsidR="00E07BB8">
        <w:rPr>
          <w:rStyle w:val="FootnoteReference"/>
        </w:rPr>
        <w:footnoteReference w:id="12"/>
      </w:r>
    </w:p>
    <w:p w14:paraId="3AE2C586" w14:textId="4E8A268E" w:rsidR="001901EB" w:rsidRPr="00E16769" w:rsidRDefault="007419AB" w:rsidP="00E16769">
      <w:pPr>
        <w:pStyle w:val="Calloutbox"/>
        <w:framePr w:wrap="notBeside"/>
        <w:rPr>
          <w:b/>
        </w:rPr>
      </w:pPr>
      <w:r w:rsidRPr="00E16769">
        <w:rPr>
          <w:b/>
          <w:bCs/>
        </w:rPr>
        <w:t>Check Appendix 1 for definitions and further explanations of underlined terms.</w:t>
      </w:r>
    </w:p>
    <w:p w14:paraId="6155A482" w14:textId="79CCA1A0" w:rsidR="00122871" w:rsidRPr="00B04D51" w:rsidRDefault="00C41271" w:rsidP="00122871">
      <w:pPr>
        <w:pStyle w:val="DPCtablecaption"/>
        <w:rPr>
          <w:rFonts w:ascii="VIC" w:hAnsi="VIC" w:cs="Arial"/>
        </w:rPr>
      </w:pPr>
      <w:r w:rsidRPr="00B04D51">
        <w:rPr>
          <w:rFonts w:ascii="VIC" w:hAnsi="VIC" w:cs="Arial"/>
        </w:rPr>
        <w:t>Workplace gender audit</w:t>
      </w:r>
      <w:r w:rsidR="00122871" w:rsidRPr="00B04D51">
        <w:rPr>
          <w:rFonts w:ascii="VIC" w:hAnsi="VIC" w:cs="Arial"/>
        </w:rPr>
        <w:t xml:space="preserve"> measures</w:t>
      </w:r>
      <w:r w:rsidRPr="00B04D51">
        <w:rPr>
          <w:rFonts w:ascii="VIC" w:hAnsi="VIC" w:cs="Arial"/>
        </w:rPr>
        <w:t xml:space="preserve"> 2021</w:t>
      </w:r>
      <w:r w:rsidR="009A489E">
        <w:rPr>
          <w:rFonts w:ascii="VIC" w:hAnsi="VIC" w:cs="Arial"/>
        </w:rPr>
        <w:t xml:space="preserve"> </w:t>
      </w:r>
    </w:p>
    <w:tbl>
      <w:tblPr>
        <w:tblStyle w:val="TableGridLight"/>
        <w:tblW w:w="9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8"/>
        <w:gridCol w:w="5325"/>
        <w:gridCol w:w="1952"/>
      </w:tblGrid>
      <w:tr w:rsidR="00DE7213" w:rsidRPr="00B04D51" w14:paraId="0F74E100" w14:textId="39135187" w:rsidTr="00D52C66">
        <w:trPr>
          <w:trHeight w:val="490"/>
          <w:tblHeader/>
        </w:trPr>
        <w:tc>
          <w:tcPr>
            <w:tcW w:w="2008" w:type="dxa"/>
            <w:shd w:val="clear" w:color="auto" w:fill="0070C0"/>
            <w:hideMark/>
          </w:tcPr>
          <w:p w14:paraId="0CAEFCC9" w14:textId="77777777" w:rsidR="00DE7213" w:rsidRPr="00C85ECA" w:rsidRDefault="00DE7213" w:rsidP="00122871">
            <w:pPr>
              <w:rPr>
                <w:rFonts w:cs="Calibri"/>
                <w:b/>
                <w:bCs/>
                <w:color w:val="FFFFFF" w:themeColor="background1"/>
                <w:sz w:val="18"/>
                <w:szCs w:val="18"/>
              </w:rPr>
            </w:pPr>
            <w:r w:rsidRPr="00C85ECA">
              <w:rPr>
                <w:rFonts w:cs="Calibri"/>
                <w:b/>
                <w:bCs/>
                <w:color w:val="FFFFFF" w:themeColor="background1"/>
                <w:sz w:val="18"/>
                <w:szCs w:val="18"/>
              </w:rPr>
              <w:t xml:space="preserve">Workplace Gender Equality Indicators </w:t>
            </w:r>
          </w:p>
        </w:tc>
        <w:tc>
          <w:tcPr>
            <w:tcW w:w="5325" w:type="dxa"/>
            <w:shd w:val="clear" w:color="auto" w:fill="0070C0"/>
            <w:hideMark/>
          </w:tcPr>
          <w:p w14:paraId="302461A5" w14:textId="3A616605" w:rsidR="00DE7213" w:rsidRPr="00C85ECA" w:rsidRDefault="002377C8" w:rsidP="00122871">
            <w:pPr>
              <w:rPr>
                <w:rFonts w:cs="Calibri"/>
                <w:b/>
                <w:bCs/>
                <w:color w:val="FFFFFF" w:themeColor="background1"/>
                <w:sz w:val="18"/>
                <w:szCs w:val="18"/>
              </w:rPr>
            </w:pPr>
            <w:r>
              <w:rPr>
                <w:rFonts w:cs="Calibri"/>
                <w:b/>
                <w:bCs/>
                <w:color w:val="FFFFFF" w:themeColor="background1"/>
                <w:sz w:val="18"/>
                <w:szCs w:val="18"/>
              </w:rPr>
              <w:t>Workforce</w:t>
            </w:r>
            <w:r w:rsidRPr="00C85ECA">
              <w:rPr>
                <w:rFonts w:cs="Calibri"/>
                <w:b/>
                <w:bCs/>
                <w:color w:val="FFFFFF" w:themeColor="background1"/>
                <w:sz w:val="18"/>
                <w:szCs w:val="18"/>
              </w:rPr>
              <w:t xml:space="preserve"> </w:t>
            </w:r>
            <w:r w:rsidR="00DE7213" w:rsidRPr="00C85ECA">
              <w:rPr>
                <w:rFonts w:cs="Calibri"/>
                <w:b/>
                <w:bCs/>
                <w:color w:val="FFFFFF" w:themeColor="background1"/>
                <w:sz w:val="18"/>
                <w:szCs w:val="18"/>
              </w:rPr>
              <w:t>data measure</w:t>
            </w:r>
            <w:r w:rsidR="00DE7213">
              <w:rPr>
                <w:rFonts w:cs="Calibri"/>
                <w:b/>
                <w:bCs/>
                <w:color w:val="FFFFFF" w:themeColor="background1"/>
                <w:sz w:val="18"/>
                <w:szCs w:val="18"/>
              </w:rPr>
              <w:t>s</w:t>
            </w:r>
          </w:p>
        </w:tc>
        <w:tc>
          <w:tcPr>
            <w:tcW w:w="1952" w:type="dxa"/>
            <w:shd w:val="clear" w:color="auto" w:fill="0070C0"/>
          </w:tcPr>
          <w:p w14:paraId="647789F3" w14:textId="0584731E" w:rsidR="08A0AD51" w:rsidRPr="42431986" w:rsidRDefault="08A0AD51" w:rsidP="42431986">
            <w:pPr>
              <w:rPr>
                <w:rFonts w:cs="Calibri"/>
                <w:b/>
                <w:bCs/>
                <w:color w:val="FFFFFF" w:themeColor="background1"/>
                <w:sz w:val="18"/>
                <w:szCs w:val="18"/>
              </w:rPr>
            </w:pPr>
            <w:r w:rsidRPr="42431986">
              <w:rPr>
                <w:rFonts w:cs="Calibri"/>
                <w:b/>
                <w:bCs/>
                <w:color w:val="FFFFFF" w:themeColor="background1"/>
                <w:sz w:val="18"/>
                <w:szCs w:val="18"/>
              </w:rPr>
              <w:t xml:space="preserve">Employee experience </w:t>
            </w:r>
            <w:r w:rsidR="00DA3915">
              <w:rPr>
                <w:rFonts w:cs="Calibri"/>
                <w:b/>
                <w:bCs/>
                <w:color w:val="FFFFFF" w:themeColor="background1"/>
                <w:sz w:val="18"/>
                <w:szCs w:val="18"/>
              </w:rPr>
              <w:t>question</w:t>
            </w:r>
            <w:r w:rsidR="008604B7">
              <w:rPr>
                <w:rFonts w:cs="Calibri"/>
                <w:b/>
                <w:bCs/>
                <w:color w:val="FFFFFF" w:themeColor="background1"/>
                <w:sz w:val="18"/>
                <w:szCs w:val="18"/>
              </w:rPr>
              <w:t>s</w:t>
            </w:r>
            <w:r w:rsidR="00DA3915">
              <w:rPr>
                <w:rFonts w:cs="Calibri"/>
                <w:b/>
                <w:bCs/>
                <w:color w:val="FFFFFF" w:themeColor="background1"/>
                <w:sz w:val="18"/>
                <w:szCs w:val="18"/>
              </w:rPr>
              <w:t xml:space="preserve"> </w:t>
            </w:r>
            <w:r w:rsidR="0014201D">
              <w:rPr>
                <w:rFonts w:cs="Calibri"/>
                <w:b/>
                <w:bCs/>
                <w:color w:val="FFFFFF" w:themeColor="background1"/>
                <w:sz w:val="18"/>
                <w:szCs w:val="18"/>
              </w:rPr>
              <w:t>(‘preferred order’ number)</w:t>
            </w:r>
          </w:p>
        </w:tc>
      </w:tr>
      <w:tr w:rsidR="00624B28" w:rsidRPr="00B04D51" w14:paraId="6CD64956" w14:textId="08CC5170" w:rsidTr="00D52C66">
        <w:trPr>
          <w:trHeight w:val="299"/>
        </w:trPr>
        <w:tc>
          <w:tcPr>
            <w:tcW w:w="2008" w:type="dxa"/>
            <w:vMerge w:val="restart"/>
            <w:hideMark/>
          </w:tcPr>
          <w:p w14:paraId="11E874AD" w14:textId="77777777" w:rsidR="00624B28" w:rsidRPr="00B50173" w:rsidRDefault="00624B28" w:rsidP="00122871">
            <w:pPr>
              <w:rPr>
                <w:rFonts w:cs="Calibri"/>
                <w:b/>
                <w:color w:val="000000"/>
                <w:sz w:val="18"/>
                <w:szCs w:val="18"/>
              </w:rPr>
            </w:pPr>
            <w:r w:rsidRPr="00B50173">
              <w:rPr>
                <w:rFonts w:cs="Calibri"/>
                <w:b/>
                <w:color w:val="000000"/>
                <w:sz w:val="18"/>
                <w:szCs w:val="18"/>
              </w:rPr>
              <w:t xml:space="preserve">1. Gender composition of all levels of the workforce </w:t>
            </w:r>
          </w:p>
        </w:tc>
        <w:tc>
          <w:tcPr>
            <w:tcW w:w="5325" w:type="dxa"/>
            <w:hideMark/>
          </w:tcPr>
          <w:p w14:paraId="1DD0C2C1" w14:textId="57AE42BB" w:rsidR="00624B28" w:rsidRPr="00B04D51" w:rsidRDefault="00624B28" w:rsidP="00122871">
            <w:pPr>
              <w:rPr>
                <w:rFonts w:cs="Calibri"/>
                <w:sz w:val="18"/>
                <w:szCs w:val="18"/>
              </w:rPr>
            </w:pPr>
            <w:r w:rsidRPr="00B04D51">
              <w:rPr>
                <w:rFonts w:cs="Calibri"/>
                <w:sz w:val="18"/>
                <w:szCs w:val="18"/>
              </w:rPr>
              <w:t xml:space="preserve">Gender composition at each </w:t>
            </w:r>
            <w:r w:rsidRPr="00B04D51">
              <w:rPr>
                <w:rFonts w:cs="Calibri"/>
                <w:sz w:val="18"/>
                <w:szCs w:val="18"/>
                <w:u w:val="single"/>
              </w:rPr>
              <w:t>classification</w:t>
            </w:r>
            <w:r w:rsidRPr="00B04D51">
              <w:rPr>
                <w:rFonts w:cs="Calibri"/>
                <w:sz w:val="18"/>
                <w:szCs w:val="18"/>
              </w:rPr>
              <w:t xml:space="preserve"> by </w:t>
            </w:r>
            <w:r w:rsidRPr="00B04D51">
              <w:rPr>
                <w:rFonts w:cs="Calibri"/>
                <w:sz w:val="18"/>
                <w:szCs w:val="18"/>
                <w:u w:val="single"/>
              </w:rPr>
              <w:t>employment basis</w:t>
            </w:r>
            <w:r w:rsidRPr="00B04D51">
              <w:rPr>
                <w:rFonts w:cs="Calibri"/>
                <w:sz w:val="18"/>
                <w:szCs w:val="18"/>
              </w:rPr>
              <w:t xml:space="preserve"> </w:t>
            </w:r>
            <w:r>
              <w:rPr>
                <w:rFonts w:cs="Calibri"/>
                <w:sz w:val="18"/>
                <w:szCs w:val="18"/>
              </w:rPr>
              <w:t>as at 30 June 2021</w:t>
            </w:r>
            <w:r>
              <w:rPr>
                <w:rStyle w:val="FootnoteReference"/>
                <w:rFonts w:cs="Calibri"/>
                <w:sz w:val="18"/>
                <w:szCs w:val="18"/>
              </w:rPr>
              <w:footnoteReference w:id="13"/>
            </w:r>
            <w:r>
              <w:rPr>
                <w:rFonts w:cs="Calibri"/>
                <w:sz w:val="18"/>
                <w:szCs w:val="18"/>
              </w:rPr>
              <w:t xml:space="preserve"> </w:t>
            </w:r>
            <w:r w:rsidRPr="00B04D51">
              <w:rPr>
                <w:rFonts w:cs="Calibri"/>
                <w:sz w:val="18"/>
                <w:szCs w:val="18"/>
              </w:rPr>
              <w:t>(Table 1.1)</w:t>
            </w:r>
          </w:p>
        </w:tc>
        <w:tc>
          <w:tcPr>
            <w:tcW w:w="1952" w:type="dxa"/>
            <w:vMerge w:val="restart"/>
          </w:tcPr>
          <w:p w14:paraId="63E9B628" w14:textId="4540FB06" w:rsidR="00624B28" w:rsidRPr="42431986" w:rsidRDefault="00624B28">
            <w:pPr>
              <w:rPr>
                <w:rFonts w:cs="Calibri"/>
                <w:sz w:val="18"/>
                <w:szCs w:val="18"/>
              </w:rPr>
            </w:pPr>
            <w:r>
              <w:rPr>
                <w:rFonts w:cs="Calibri"/>
                <w:sz w:val="18"/>
                <w:szCs w:val="18"/>
              </w:rPr>
              <w:t xml:space="preserve">23-28, 61-71, 73-76, 78-82  </w:t>
            </w:r>
          </w:p>
          <w:p w14:paraId="32257937" w14:textId="06856D56" w:rsidR="00624B28" w:rsidRPr="42431986" w:rsidRDefault="00624B28" w:rsidP="42431986">
            <w:pPr>
              <w:rPr>
                <w:rFonts w:cs="Calibri"/>
                <w:sz w:val="18"/>
                <w:szCs w:val="18"/>
              </w:rPr>
            </w:pPr>
          </w:p>
        </w:tc>
      </w:tr>
      <w:tr w:rsidR="00624B28" w:rsidRPr="00B04D51" w14:paraId="7056A67E" w14:textId="304B514B" w:rsidTr="00D52C66">
        <w:trPr>
          <w:trHeight w:val="299"/>
        </w:trPr>
        <w:tc>
          <w:tcPr>
            <w:tcW w:w="2008" w:type="dxa"/>
            <w:vMerge/>
          </w:tcPr>
          <w:p w14:paraId="55A01BA8" w14:textId="77777777" w:rsidR="00624B28" w:rsidRPr="00B50173" w:rsidRDefault="00624B28" w:rsidP="00122871">
            <w:pPr>
              <w:rPr>
                <w:rFonts w:cs="Calibri"/>
                <w:b/>
                <w:color w:val="000000"/>
                <w:sz w:val="18"/>
                <w:szCs w:val="18"/>
              </w:rPr>
            </w:pPr>
          </w:p>
        </w:tc>
        <w:tc>
          <w:tcPr>
            <w:tcW w:w="5325" w:type="dxa"/>
            <w:shd w:val="clear" w:color="auto" w:fill="FFD966" w:themeFill="accent4" w:themeFillTint="99"/>
          </w:tcPr>
          <w:p w14:paraId="7A51DB09" w14:textId="6C5A47FA" w:rsidR="00624B28" w:rsidRPr="00B04D51" w:rsidRDefault="00624B28" w:rsidP="00122871">
            <w:pPr>
              <w:rPr>
                <w:rFonts w:cs="Calibri"/>
                <w:sz w:val="18"/>
                <w:szCs w:val="18"/>
              </w:rPr>
            </w:pPr>
            <w:r w:rsidRPr="00B50173">
              <w:rPr>
                <w:rFonts w:cs="Calibri"/>
                <w:sz w:val="18"/>
                <w:szCs w:val="18"/>
              </w:rPr>
              <w:t xml:space="preserve">Gender </w:t>
            </w:r>
            <w:r w:rsidRPr="001A05EC">
              <w:rPr>
                <w:rFonts w:cs="Calibri"/>
                <w:sz w:val="18"/>
                <w:szCs w:val="18"/>
              </w:rPr>
              <w:t>c</w:t>
            </w:r>
            <w:r w:rsidRPr="00B50173">
              <w:rPr>
                <w:rFonts w:cs="Calibri"/>
                <w:sz w:val="18"/>
                <w:szCs w:val="18"/>
              </w:rPr>
              <w:t xml:space="preserve">omposition </w:t>
            </w:r>
            <w:r w:rsidRPr="405A44CF">
              <w:rPr>
                <w:rFonts w:cs="Calibri"/>
                <w:sz w:val="18"/>
                <w:szCs w:val="18"/>
              </w:rPr>
              <w:t>at each classification by employment basis</w:t>
            </w:r>
            <w:r>
              <w:rPr>
                <w:rFonts w:cs="Calibri"/>
                <w:sz w:val="18"/>
                <w:szCs w:val="18"/>
              </w:rPr>
              <w:t>, and by Aboriginality, age, disability, ethnicity and race, religion and sexual orientation</w:t>
            </w:r>
            <w:r w:rsidRPr="405A44CF">
              <w:rPr>
                <w:rFonts w:cs="Calibri"/>
                <w:sz w:val="18"/>
                <w:szCs w:val="18"/>
              </w:rPr>
              <w:t xml:space="preserve"> </w:t>
            </w:r>
            <w:r>
              <w:rPr>
                <w:rFonts w:cs="Calibri"/>
                <w:sz w:val="18"/>
                <w:szCs w:val="18"/>
              </w:rPr>
              <w:t>as at 30 June 2021 (Sheet 1a)</w:t>
            </w:r>
            <w:r w:rsidRPr="405A44CF">
              <w:rPr>
                <w:rFonts w:cs="Calibri"/>
                <w:sz w:val="18"/>
                <w:szCs w:val="18"/>
              </w:rPr>
              <w:t xml:space="preserve"> </w:t>
            </w:r>
          </w:p>
        </w:tc>
        <w:tc>
          <w:tcPr>
            <w:tcW w:w="1952" w:type="dxa"/>
            <w:vMerge/>
            <w:shd w:val="clear" w:color="auto" w:fill="FFD966" w:themeFill="accent4" w:themeFillTint="99"/>
          </w:tcPr>
          <w:p w14:paraId="1C04F8E4" w14:textId="7EBE361D" w:rsidR="00624B28" w:rsidRPr="42431986" w:rsidRDefault="00624B28" w:rsidP="42431986">
            <w:pPr>
              <w:rPr>
                <w:rFonts w:cs="Calibri"/>
                <w:sz w:val="18"/>
                <w:szCs w:val="18"/>
              </w:rPr>
            </w:pPr>
          </w:p>
        </w:tc>
      </w:tr>
      <w:tr w:rsidR="00624B28" w:rsidRPr="00B04D51" w14:paraId="2D6E2ADF" w14:textId="21BE1054" w:rsidTr="00D52C66">
        <w:trPr>
          <w:trHeight w:val="277"/>
        </w:trPr>
        <w:tc>
          <w:tcPr>
            <w:tcW w:w="2008" w:type="dxa"/>
            <w:vMerge w:val="restart"/>
            <w:hideMark/>
          </w:tcPr>
          <w:p w14:paraId="7124D8AA" w14:textId="77777777" w:rsidR="00624B28" w:rsidRPr="00B50173" w:rsidRDefault="00624B28" w:rsidP="001F6D4B">
            <w:pPr>
              <w:rPr>
                <w:rFonts w:cs="Calibri"/>
                <w:b/>
                <w:color w:val="000000"/>
                <w:sz w:val="18"/>
                <w:szCs w:val="18"/>
              </w:rPr>
            </w:pPr>
            <w:r w:rsidRPr="00B50173">
              <w:rPr>
                <w:rFonts w:cs="Calibri"/>
                <w:b/>
                <w:color w:val="000000"/>
                <w:sz w:val="18"/>
                <w:szCs w:val="18"/>
              </w:rPr>
              <w:t>2.</w:t>
            </w:r>
            <w:r w:rsidRPr="00B50173">
              <w:rPr>
                <w:rFonts w:ascii="Cambria" w:hAnsi="Cambria" w:cs="Cambria"/>
                <w:b/>
                <w:color w:val="000000"/>
                <w:sz w:val="18"/>
                <w:szCs w:val="18"/>
              </w:rPr>
              <w:t> </w:t>
            </w:r>
            <w:r w:rsidRPr="00B50173">
              <w:rPr>
                <w:rFonts w:cs="Calibri"/>
                <w:b/>
                <w:color w:val="000000"/>
                <w:sz w:val="18"/>
                <w:szCs w:val="18"/>
              </w:rPr>
              <w:t>Gender composition of governing bodies</w:t>
            </w:r>
          </w:p>
          <w:p w14:paraId="73C854F6" w14:textId="2D98E154" w:rsidR="00624B28" w:rsidRPr="00B50173" w:rsidRDefault="00624B28" w:rsidP="001F6D4B">
            <w:pPr>
              <w:rPr>
                <w:rFonts w:cs="Calibri"/>
                <w:b/>
                <w:color w:val="000000"/>
                <w:sz w:val="18"/>
                <w:szCs w:val="18"/>
              </w:rPr>
            </w:pPr>
            <w:r w:rsidRPr="00B50173">
              <w:rPr>
                <w:rFonts w:ascii="Cambria" w:hAnsi="Cambria" w:cs="Cambria"/>
                <w:b/>
                <w:color w:val="000000"/>
                <w:sz w:val="18"/>
                <w:szCs w:val="18"/>
              </w:rPr>
              <w:t> </w:t>
            </w:r>
          </w:p>
        </w:tc>
        <w:tc>
          <w:tcPr>
            <w:tcW w:w="5325" w:type="dxa"/>
            <w:hideMark/>
          </w:tcPr>
          <w:p w14:paraId="677050C9" w14:textId="117BC84D" w:rsidR="00624B28" w:rsidRPr="00B04D51" w:rsidRDefault="00624B28" w:rsidP="001F6D4B">
            <w:pPr>
              <w:rPr>
                <w:rFonts w:cs="Calibri"/>
                <w:sz w:val="18"/>
                <w:szCs w:val="18"/>
              </w:rPr>
            </w:pPr>
            <w:r w:rsidRPr="00B04D51">
              <w:rPr>
                <w:rFonts w:cs="Calibri"/>
                <w:sz w:val="18"/>
                <w:szCs w:val="18"/>
              </w:rPr>
              <w:t xml:space="preserve">Gender composition of the </w:t>
            </w:r>
            <w:r w:rsidRPr="00B04D51">
              <w:rPr>
                <w:rFonts w:cs="Calibri"/>
                <w:sz w:val="18"/>
                <w:szCs w:val="18"/>
                <w:u w:val="single"/>
              </w:rPr>
              <w:t>governing body</w:t>
            </w:r>
            <w:r w:rsidRPr="00B04D51">
              <w:rPr>
                <w:rFonts w:cs="Calibri"/>
                <w:sz w:val="18"/>
                <w:szCs w:val="18"/>
              </w:rPr>
              <w:t xml:space="preserve"> </w:t>
            </w:r>
            <w:r>
              <w:rPr>
                <w:rFonts w:cs="Calibri"/>
                <w:sz w:val="18"/>
                <w:szCs w:val="18"/>
              </w:rPr>
              <w:t xml:space="preserve">as at 30 June 2021 </w:t>
            </w:r>
            <w:r w:rsidRPr="00B04D51">
              <w:rPr>
                <w:rFonts w:cs="Calibri"/>
                <w:sz w:val="18"/>
                <w:szCs w:val="18"/>
              </w:rPr>
              <w:t xml:space="preserve">(Table 2.1) </w:t>
            </w:r>
          </w:p>
        </w:tc>
        <w:tc>
          <w:tcPr>
            <w:tcW w:w="1952" w:type="dxa"/>
            <w:vMerge w:val="restart"/>
          </w:tcPr>
          <w:p w14:paraId="5DD0FB2A" w14:textId="0FFB72CC" w:rsidR="00624B28" w:rsidRPr="00E16769" w:rsidRDefault="00624B28" w:rsidP="00DC5BF5">
            <w:pPr>
              <w:spacing w:line="259" w:lineRule="auto"/>
              <w:rPr>
                <w:rFonts w:cs="Calibri"/>
                <w:b/>
                <w:bCs/>
                <w:sz w:val="18"/>
                <w:szCs w:val="18"/>
              </w:rPr>
            </w:pPr>
            <w:r>
              <w:rPr>
                <w:rFonts w:cs="Calibri"/>
                <w:sz w:val="18"/>
                <w:szCs w:val="18"/>
              </w:rPr>
              <w:t>None</w:t>
            </w:r>
          </w:p>
        </w:tc>
      </w:tr>
      <w:tr w:rsidR="00624B28" w:rsidRPr="00B04D51" w14:paraId="342B4FD0" w14:textId="2346AE94" w:rsidTr="00D52C66">
        <w:trPr>
          <w:trHeight w:val="58"/>
        </w:trPr>
        <w:tc>
          <w:tcPr>
            <w:tcW w:w="2008" w:type="dxa"/>
            <w:vMerge/>
            <w:hideMark/>
          </w:tcPr>
          <w:p w14:paraId="766F6FEB" w14:textId="703A6C8B" w:rsidR="00624B28" w:rsidRPr="00B50173" w:rsidRDefault="00624B28" w:rsidP="001F6D4B">
            <w:pPr>
              <w:rPr>
                <w:rFonts w:cs="Calibri"/>
                <w:b/>
                <w:color w:val="000000"/>
                <w:sz w:val="18"/>
                <w:szCs w:val="18"/>
              </w:rPr>
            </w:pPr>
          </w:p>
        </w:tc>
        <w:tc>
          <w:tcPr>
            <w:tcW w:w="5325" w:type="dxa"/>
            <w:shd w:val="clear" w:color="auto" w:fill="FFD966" w:themeFill="accent4" w:themeFillTint="99"/>
            <w:hideMark/>
          </w:tcPr>
          <w:p w14:paraId="2C259271" w14:textId="5C3AEFC7" w:rsidR="00624B28" w:rsidRPr="00B04D51" w:rsidRDefault="00624B28" w:rsidP="001F6D4B">
            <w:pPr>
              <w:rPr>
                <w:rFonts w:cs="Calibri"/>
                <w:color w:val="FF0000"/>
                <w:sz w:val="18"/>
                <w:szCs w:val="18"/>
              </w:rPr>
            </w:pPr>
            <w:r w:rsidRPr="004B29A4">
              <w:rPr>
                <w:rFonts w:cs="Calibri"/>
                <w:sz w:val="18"/>
                <w:szCs w:val="18"/>
              </w:rPr>
              <w:t xml:space="preserve">Gender composition of the governing body by Aboriginality, age, </w:t>
            </w:r>
            <w:r>
              <w:rPr>
                <w:rFonts w:cs="Calibri"/>
                <w:sz w:val="18"/>
                <w:szCs w:val="18"/>
              </w:rPr>
              <w:t xml:space="preserve">disability, ethnicity and </w:t>
            </w:r>
            <w:r w:rsidRPr="004B29A4">
              <w:rPr>
                <w:rFonts w:cs="Calibri"/>
                <w:sz w:val="18"/>
                <w:szCs w:val="18"/>
              </w:rPr>
              <w:t xml:space="preserve">race, </w:t>
            </w:r>
            <w:r>
              <w:rPr>
                <w:rFonts w:cs="Calibri"/>
                <w:sz w:val="18"/>
                <w:szCs w:val="18"/>
              </w:rPr>
              <w:t>religion and</w:t>
            </w:r>
            <w:r w:rsidRPr="004B29A4">
              <w:rPr>
                <w:rFonts w:cs="Calibri"/>
                <w:sz w:val="18"/>
                <w:szCs w:val="18"/>
              </w:rPr>
              <w:t xml:space="preserve"> sexual orientation</w:t>
            </w:r>
            <w:r>
              <w:rPr>
                <w:rFonts w:cs="Calibri"/>
                <w:sz w:val="18"/>
                <w:szCs w:val="18"/>
              </w:rPr>
              <w:t xml:space="preserve"> as at 30 June 2021</w:t>
            </w:r>
            <w:r w:rsidRPr="004B29A4">
              <w:rPr>
                <w:rFonts w:cs="Calibri"/>
                <w:sz w:val="18"/>
                <w:szCs w:val="18"/>
              </w:rPr>
              <w:t xml:space="preserve"> </w:t>
            </w:r>
            <w:r>
              <w:rPr>
                <w:rFonts w:cs="Calibri"/>
                <w:sz w:val="18"/>
                <w:szCs w:val="18"/>
              </w:rPr>
              <w:t>(Sheet 2a)</w:t>
            </w:r>
          </w:p>
        </w:tc>
        <w:tc>
          <w:tcPr>
            <w:tcW w:w="1952" w:type="dxa"/>
            <w:vMerge/>
            <w:shd w:val="clear" w:color="auto" w:fill="FFD966" w:themeFill="accent4" w:themeFillTint="99"/>
          </w:tcPr>
          <w:p w14:paraId="4341E777" w14:textId="0A758D35" w:rsidR="00624B28" w:rsidRPr="00E16769" w:rsidRDefault="00624B28" w:rsidP="00DC5BF5">
            <w:pPr>
              <w:spacing w:line="259" w:lineRule="auto"/>
              <w:rPr>
                <w:rFonts w:cs="Calibri"/>
                <w:b/>
                <w:bCs/>
                <w:sz w:val="18"/>
                <w:szCs w:val="18"/>
              </w:rPr>
            </w:pPr>
          </w:p>
        </w:tc>
      </w:tr>
      <w:tr w:rsidR="00624B28" w:rsidRPr="00B04D51" w14:paraId="19F6D0D2" w14:textId="2009D4BC" w:rsidTr="00D52C66">
        <w:trPr>
          <w:trHeight w:val="400"/>
        </w:trPr>
        <w:tc>
          <w:tcPr>
            <w:tcW w:w="2008" w:type="dxa"/>
            <w:vMerge w:val="restart"/>
            <w:hideMark/>
          </w:tcPr>
          <w:p w14:paraId="6E8BA9B9" w14:textId="5C215D63" w:rsidR="00624B28" w:rsidRPr="00B50173" w:rsidRDefault="00624B28" w:rsidP="00122871">
            <w:pPr>
              <w:rPr>
                <w:rFonts w:cs="Calibri"/>
                <w:b/>
                <w:color w:val="000000"/>
                <w:sz w:val="18"/>
                <w:szCs w:val="18"/>
              </w:rPr>
            </w:pPr>
            <w:r w:rsidRPr="00B50173">
              <w:rPr>
                <w:rFonts w:cs="Calibri"/>
                <w:b/>
                <w:color w:val="000000"/>
                <w:sz w:val="18"/>
                <w:szCs w:val="18"/>
              </w:rPr>
              <w:t xml:space="preserve">3. Equal remuneration for work of equal or comparable value across all levels of the workforce, irrespective of gender </w:t>
            </w:r>
          </w:p>
          <w:p w14:paraId="7CA1ADC2" w14:textId="7EFB1856" w:rsidR="00624B28" w:rsidRPr="00B50173" w:rsidRDefault="00624B28" w:rsidP="00122871">
            <w:pPr>
              <w:rPr>
                <w:rFonts w:cs="Calibri"/>
                <w:b/>
                <w:color w:val="000000"/>
                <w:sz w:val="18"/>
                <w:szCs w:val="18"/>
              </w:rPr>
            </w:pPr>
            <w:r w:rsidRPr="00B50173">
              <w:rPr>
                <w:rFonts w:ascii="Cambria" w:hAnsi="Cambria" w:cs="Cambria"/>
                <w:b/>
                <w:color w:val="000000"/>
                <w:sz w:val="18"/>
                <w:szCs w:val="18"/>
              </w:rPr>
              <w:t> </w:t>
            </w:r>
          </w:p>
        </w:tc>
        <w:tc>
          <w:tcPr>
            <w:tcW w:w="5325" w:type="dxa"/>
            <w:hideMark/>
          </w:tcPr>
          <w:p w14:paraId="6193EB74" w14:textId="3C6FA7CB" w:rsidR="00624B28" w:rsidRPr="00B04D51" w:rsidRDefault="00624B28" w:rsidP="00122871">
            <w:pPr>
              <w:rPr>
                <w:rFonts w:cs="Calibri"/>
                <w:color w:val="000000"/>
                <w:sz w:val="18"/>
                <w:szCs w:val="18"/>
              </w:rPr>
            </w:pPr>
            <w:r w:rsidRPr="00B04D51">
              <w:rPr>
                <w:rFonts w:cs="Calibri"/>
                <w:color w:val="000000"/>
                <w:sz w:val="18"/>
                <w:szCs w:val="18"/>
              </w:rPr>
              <w:t xml:space="preserve">The average (mean and median) </w:t>
            </w:r>
            <w:r w:rsidRPr="00B04D51">
              <w:rPr>
                <w:rFonts w:cs="Calibri"/>
                <w:sz w:val="18"/>
                <w:szCs w:val="18"/>
              </w:rPr>
              <w:t xml:space="preserve">annualised full-time equivalent salary </w:t>
            </w:r>
            <w:r>
              <w:rPr>
                <w:rFonts w:cs="Calibri"/>
                <w:sz w:val="18"/>
                <w:szCs w:val="18"/>
              </w:rPr>
              <w:t xml:space="preserve">gap </w:t>
            </w:r>
            <w:r>
              <w:rPr>
                <w:rFonts w:cs="Calibri"/>
                <w:color w:val="000000"/>
                <w:sz w:val="18"/>
                <w:szCs w:val="18"/>
              </w:rPr>
              <w:t>between</w:t>
            </w:r>
            <w:r w:rsidRPr="00B04D51">
              <w:rPr>
                <w:rFonts w:cs="Calibri"/>
                <w:color w:val="000000"/>
                <w:sz w:val="18"/>
                <w:szCs w:val="18"/>
              </w:rPr>
              <w:t xml:space="preserve"> gender</w:t>
            </w:r>
            <w:r>
              <w:rPr>
                <w:rFonts w:cs="Calibri"/>
                <w:color w:val="000000"/>
                <w:sz w:val="18"/>
                <w:szCs w:val="18"/>
              </w:rPr>
              <w:t xml:space="preserve">s </w:t>
            </w:r>
            <w:r w:rsidRPr="00B04D51">
              <w:rPr>
                <w:rFonts w:cs="Calibri"/>
                <w:color w:val="000000"/>
                <w:sz w:val="18"/>
                <w:szCs w:val="18"/>
              </w:rPr>
              <w:t xml:space="preserve">(for both </w:t>
            </w:r>
            <w:r w:rsidRPr="00B04D51">
              <w:rPr>
                <w:rFonts w:cs="Calibri"/>
                <w:color w:val="000000"/>
                <w:sz w:val="18"/>
                <w:szCs w:val="18"/>
                <w:u w:val="single"/>
              </w:rPr>
              <w:t>annualised base salary</w:t>
            </w:r>
            <w:r w:rsidRPr="00B04D51">
              <w:rPr>
                <w:rFonts w:cs="Calibri"/>
                <w:color w:val="000000"/>
                <w:sz w:val="18"/>
                <w:szCs w:val="18"/>
              </w:rPr>
              <w:t xml:space="preserve"> and </w:t>
            </w:r>
            <w:r w:rsidRPr="00B04D51">
              <w:rPr>
                <w:rFonts w:cs="Calibri"/>
                <w:color w:val="000000"/>
                <w:sz w:val="18"/>
                <w:szCs w:val="18"/>
                <w:u w:val="single"/>
              </w:rPr>
              <w:t>total remuneration</w:t>
            </w:r>
            <w:r w:rsidRPr="00B04D51">
              <w:rPr>
                <w:rFonts w:cs="Calibri"/>
                <w:color w:val="000000"/>
                <w:sz w:val="18"/>
                <w:szCs w:val="18"/>
              </w:rPr>
              <w:t>)</w:t>
            </w:r>
            <w:r>
              <w:rPr>
                <w:rFonts w:cs="Calibri"/>
                <w:color w:val="000000"/>
                <w:sz w:val="18"/>
                <w:szCs w:val="18"/>
              </w:rPr>
              <w:t xml:space="preserve"> by</w:t>
            </w:r>
            <w:r w:rsidRPr="00B04D51">
              <w:rPr>
                <w:rFonts w:cs="Calibri"/>
                <w:color w:val="000000"/>
                <w:sz w:val="18"/>
                <w:szCs w:val="18"/>
              </w:rPr>
              <w:t xml:space="preserve"> </w:t>
            </w:r>
            <w:r w:rsidRPr="00B04D51">
              <w:rPr>
                <w:rFonts w:cs="Calibri"/>
                <w:color w:val="000000"/>
                <w:sz w:val="18"/>
                <w:szCs w:val="18"/>
                <w:u w:val="single"/>
              </w:rPr>
              <w:t>classification</w:t>
            </w:r>
            <w:r w:rsidRPr="00B04D51">
              <w:rPr>
                <w:rFonts w:cs="Calibri"/>
                <w:color w:val="000000"/>
                <w:sz w:val="18"/>
                <w:szCs w:val="18"/>
              </w:rPr>
              <w:t xml:space="preserve"> and </w:t>
            </w:r>
            <w:r w:rsidRPr="00B04D51">
              <w:rPr>
                <w:rFonts w:cs="Calibri"/>
                <w:color w:val="000000"/>
                <w:sz w:val="18"/>
                <w:szCs w:val="18"/>
                <w:u w:val="single"/>
              </w:rPr>
              <w:t>employment basis</w:t>
            </w:r>
            <w:r w:rsidRPr="00B04D51">
              <w:rPr>
                <w:rFonts w:cs="Calibri"/>
                <w:color w:val="000000"/>
                <w:sz w:val="18"/>
                <w:szCs w:val="18"/>
              </w:rPr>
              <w:t xml:space="preserve"> across the whole </w:t>
            </w:r>
            <w:r>
              <w:rPr>
                <w:rFonts w:cs="Calibri"/>
                <w:color w:val="000000"/>
                <w:sz w:val="18"/>
                <w:szCs w:val="18"/>
              </w:rPr>
              <w:t>defined entity, for the last pay period before 30 June 2021</w:t>
            </w:r>
            <w:r w:rsidRPr="00B04D51">
              <w:rPr>
                <w:rFonts w:cs="Calibri"/>
                <w:color w:val="000000"/>
                <w:sz w:val="18"/>
                <w:szCs w:val="18"/>
              </w:rPr>
              <w:t xml:space="preserve">. </w:t>
            </w:r>
            <w:r>
              <w:rPr>
                <w:rFonts w:cs="Calibri"/>
                <w:color w:val="000000"/>
                <w:sz w:val="18"/>
                <w:szCs w:val="18"/>
              </w:rPr>
              <w:t>(Table 3.1)</w:t>
            </w:r>
          </w:p>
        </w:tc>
        <w:tc>
          <w:tcPr>
            <w:tcW w:w="1952" w:type="dxa"/>
            <w:vMerge w:val="restart"/>
          </w:tcPr>
          <w:p w14:paraId="748C806D" w14:textId="6C2A225B" w:rsidR="00624B28" w:rsidRPr="42431986" w:rsidRDefault="00624B28" w:rsidP="00DC5BF5">
            <w:pPr>
              <w:spacing w:line="259" w:lineRule="auto"/>
              <w:rPr>
                <w:rFonts w:cs="Calibri"/>
                <w:sz w:val="18"/>
                <w:szCs w:val="18"/>
              </w:rPr>
            </w:pPr>
            <w:r>
              <w:rPr>
                <w:rFonts w:cs="Calibri"/>
                <w:sz w:val="18"/>
                <w:szCs w:val="18"/>
              </w:rPr>
              <w:t>None</w:t>
            </w:r>
          </w:p>
        </w:tc>
      </w:tr>
      <w:tr w:rsidR="00624B28" w:rsidRPr="00B04D51" w14:paraId="495B2835" w14:textId="17403533" w:rsidTr="00D52C66">
        <w:trPr>
          <w:trHeight w:val="1270"/>
        </w:trPr>
        <w:tc>
          <w:tcPr>
            <w:tcW w:w="2008" w:type="dxa"/>
            <w:vMerge/>
            <w:hideMark/>
          </w:tcPr>
          <w:p w14:paraId="2CB5D565" w14:textId="68966E40" w:rsidR="00624B28" w:rsidRPr="00B50173" w:rsidRDefault="00624B28" w:rsidP="00122871">
            <w:pPr>
              <w:rPr>
                <w:rFonts w:cs="Calibri"/>
                <w:b/>
                <w:color w:val="000000"/>
                <w:sz w:val="18"/>
                <w:szCs w:val="18"/>
              </w:rPr>
            </w:pPr>
          </w:p>
        </w:tc>
        <w:tc>
          <w:tcPr>
            <w:tcW w:w="5325" w:type="dxa"/>
            <w:shd w:val="clear" w:color="auto" w:fill="FFD966" w:themeFill="accent4" w:themeFillTint="99"/>
            <w:hideMark/>
          </w:tcPr>
          <w:p w14:paraId="56C84AA6" w14:textId="4B96B515" w:rsidR="00624B28" w:rsidRPr="009B245B" w:rsidRDefault="00624B28" w:rsidP="00122871">
            <w:pPr>
              <w:rPr>
                <w:rFonts w:cs="Calibri"/>
                <w:color w:val="FF0000"/>
                <w:sz w:val="18"/>
                <w:szCs w:val="18"/>
              </w:rPr>
            </w:pPr>
            <w:r>
              <w:rPr>
                <w:rFonts w:cs="Calibri"/>
                <w:sz w:val="18"/>
                <w:szCs w:val="18"/>
              </w:rPr>
              <w:t>The average</w:t>
            </w:r>
            <w:r w:rsidRPr="00B04D51">
              <w:rPr>
                <w:rFonts w:cs="Calibri"/>
                <w:color w:val="000000"/>
                <w:sz w:val="18"/>
                <w:szCs w:val="18"/>
              </w:rPr>
              <w:t xml:space="preserve"> (mean and median) </w:t>
            </w:r>
            <w:r w:rsidRPr="00B04D51">
              <w:rPr>
                <w:rFonts w:cs="Calibri"/>
                <w:sz w:val="18"/>
                <w:szCs w:val="18"/>
              </w:rPr>
              <w:t xml:space="preserve">annualised full-time equivalent salary </w:t>
            </w:r>
            <w:r>
              <w:rPr>
                <w:rFonts w:cs="Calibri"/>
                <w:sz w:val="18"/>
                <w:szCs w:val="18"/>
              </w:rPr>
              <w:t xml:space="preserve">gap between genders </w:t>
            </w:r>
            <w:r w:rsidRPr="00B04D51">
              <w:rPr>
                <w:rFonts w:cs="Calibri"/>
                <w:color w:val="000000"/>
                <w:sz w:val="18"/>
                <w:szCs w:val="18"/>
              </w:rPr>
              <w:t xml:space="preserve">(for both </w:t>
            </w:r>
            <w:r w:rsidRPr="00B04D51">
              <w:rPr>
                <w:rFonts w:cs="Calibri"/>
                <w:color w:val="000000"/>
                <w:sz w:val="18"/>
                <w:szCs w:val="18"/>
                <w:u w:val="single"/>
              </w:rPr>
              <w:t>annualised base salary</w:t>
            </w:r>
            <w:r w:rsidRPr="00B04D51">
              <w:rPr>
                <w:rFonts w:cs="Calibri"/>
                <w:color w:val="000000"/>
                <w:sz w:val="18"/>
                <w:szCs w:val="18"/>
              </w:rPr>
              <w:t xml:space="preserve"> and </w:t>
            </w:r>
            <w:r w:rsidRPr="00B04D51">
              <w:rPr>
                <w:rFonts w:cs="Calibri"/>
                <w:color w:val="000000"/>
                <w:sz w:val="18"/>
                <w:szCs w:val="18"/>
                <w:u w:val="single"/>
              </w:rPr>
              <w:t>total remuneration</w:t>
            </w:r>
            <w:r w:rsidRPr="00B04D51">
              <w:rPr>
                <w:rFonts w:cs="Calibri"/>
                <w:color w:val="000000"/>
                <w:sz w:val="18"/>
                <w:szCs w:val="18"/>
              </w:rPr>
              <w:t xml:space="preserve">) by </w:t>
            </w:r>
            <w:r w:rsidRPr="00B04D51">
              <w:rPr>
                <w:rFonts w:cs="Calibri"/>
                <w:color w:val="000000"/>
                <w:sz w:val="18"/>
                <w:szCs w:val="18"/>
                <w:u w:val="single"/>
              </w:rPr>
              <w:t>classification</w:t>
            </w:r>
            <w:r w:rsidRPr="00B04D51">
              <w:rPr>
                <w:rFonts w:cs="Calibri"/>
                <w:color w:val="000000"/>
                <w:sz w:val="18"/>
                <w:szCs w:val="18"/>
              </w:rPr>
              <w:t xml:space="preserve"> and </w:t>
            </w:r>
            <w:r w:rsidRPr="00B04D51">
              <w:rPr>
                <w:rFonts w:cs="Calibri"/>
                <w:color w:val="000000"/>
                <w:sz w:val="18"/>
                <w:szCs w:val="18"/>
                <w:u w:val="single"/>
              </w:rPr>
              <w:t>employment basis</w:t>
            </w:r>
            <w:r w:rsidRPr="00B04D51">
              <w:rPr>
                <w:rFonts w:cs="Calibri"/>
                <w:color w:val="000000"/>
                <w:sz w:val="18"/>
                <w:szCs w:val="18"/>
              </w:rPr>
              <w:t xml:space="preserve"> across the whole </w:t>
            </w:r>
            <w:r>
              <w:rPr>
                <w:rFonts w:cs="Calibri"/>
                <w:color w:val="000000"/>
                <w:sz w:val="18"/>
                <w:szCs w:val="18"/>
              </w:rPr>
              <w:t xml:space="preserve">defined entity, and </w:t>
            </w:r>
            <w:r w:rsidRPr="004B29A4">
              <w:rPr>
                <w:rFonts w:cs="Calibri"/>
                <w:sz w:val="18"/>
                <w:szCs w:val="18"/>
              </w:rPr>
              <w:t xml:space="preserve">by Aboriginality, age, </w:t>
            </w:r>
            <w:r>
              <w:rPr>
                <w:rFonts w:cs="Calibri"/>
                <w:sz w:val="18"/>
                <w:szCs w:val="18"/>
              </w:rPr>
              <w:t xml:space="preserve">disability, ethnicity and </w:t>
            </w:r>
            <w:r w:rsidRPr="004B29A4">
              <w:rPr>
                <w:rFonts w:cs="Calibri"/>
                <w:sz w:val="18"/>
                <w:szCs w:val="18"/>
              </w:rPr>
              <w:t xml:space="preserve">race, </w:t>
            </w:r>
            <w:r>
              <w:rPr>
                <w:rFonts w:cs="Calibri"/>
                <w:sz w:val="18"/>
                <w:szCs w:val="18"/>
              </w:rPr>
              <w:t>religion and</w:t>
            </w:r>
            <w:r w:rsidRPr="004B29A4">
              <w:rPr>
                <w:rFonts w:cs="Calibri"/>
                <w:sz w:val="18"/>
                <w:szCs w:val="18"/>
              </w:rPr>
              <w:t xml:space="preserve"> sexual orientation</w:t>
            </w:r>
            <w:r>
              <w:rPr>
                <w:rFonts w:cs="Calibri"/>
                <w:sz w:val="18"/>
                <w:szCs w:val="18"/>
              </w:rPr>
              <w:t xml:space="preserve">, </w:t>
            </w:r>
            <w:r>
              <w:rPr>
                <w:rFonts w:cs="Calibri"/>
                <w:color w:val="000000"/>
                <w:sz w:val="18"/>
                <w:szCs w:val="18"/>
              </w:rPr>
              <w:t>for the last pay period before 30 June 2021</w:t>
            </w:r>
            <w:r w:rsidRPr="00B04D51">
              <w:rPr>
                <w:rFonts w:cs="Calibri"/>
                <w:color w:val="000000"/>
                <w:sz w:val="18"/>
                <w:szCs w:val="18"/>
              </w:rPr>
              <w:t>.</w:t>
            </w:r>
            <w:r>
              <w:rPr>
                <w:rFonts w:cs="Calibri"/>
                <w:color w:val="000000"/>
                <w:sz w:val="18"/>
                <w:szCs w:val="18"/>
              </w:rPr>
              <w:t xml:space="preserve"> (Sheet 3a)</w:t>
            </w:r>
          </w:p>
        </w:tc>
        <w:tc>
          <w:tcPr>
            <w:tcW w:w="1952" w:type="dxa"/>
            <w:vMerge/>
            <w:shd w:val="clear" w:color="auto" w:fill="FFD966" w:themeFill="accent4" w:themeFillTint="99"/>
          </w:tcPr>
          <w:p w14:paraId="4CAD2C7F" w14:textId="45828533" w:rsidR="00624B28" w:rsidRPr="42431986" w:rsidRDefault="00624B28" w:rsidP="00E16769">
            <w:pPr>
              <w:spacing w:line="259" w:lineRule="auto"/>
              <w:rPr>
                <w:rFonts w:cs="Calibri"/>
                <w:sz w:val="18"/>
                <w:szCs w:val="18"/>
              </w:rPr>
            </w:pPr>
          </w:p>
        </w:tc>
      </w:tr>
      <w:tr w:rsidR="00C25639" w:rsidRPr="00B04D51" w14:paraId="409D839B" w14:textId="10015EB5" w:rsidTr="00D52C66">
        <w:trPr>
          <w:trHeight w:val="554"/>
        </w:trPr>
        <w:tc>
          <w:tcPr>
            <w:tcW w:w="2008" w:type="dxa"/>
            <w:vMerge w:val="restart"/>
            <w:hideMark/>
          </w:tcPr>
          <w:p w14:paraId="530719FA" w14:textId="77777777" w:rsidR="00C25639" w:rsidRPr="00B50173" w:rsidRDefault="00C25639" w:rsidP="00E5344A">
            <w:pPr>
              <w:rPr>
                <w:rFonts w:cs="Calibri"/>
                <w:b/>
                <w:color w:val="000000"/>
                <w:sz w:val="18"/>
                <w:szCs w:val="18"/>
              </w:rPr>
            </w:pPr>
            <w:r w:rsidRPr="00B50173">
              <w:rPr>
                <w:rFonts w:cs="Calibri"/>
                <w:b/>
                <w:color w:val="000000"/>
                <w:sz w:val="18"/>
                <w:szCs w:val="18"/>
              </w:rPr>
              <w:t>4. Sexual harassment in the workplace</w:t>
            </w:r>
          </w:p>
          <w:p w14:paraId="49225C29" w14:textId="527C63C9" w:rsidR="00C25639" w:rsidRPr="00B50173" w:rsidRDefault="00C25639" w:rsidP="00E5344A">
            <w:pPr>
              <w:rPr>
                <w:rFonts w:cs="Calibri"/>
                <w:b/>
                <w:color w:val="000000"/>
                <w:sz w:val="18"/>
                <w:szCs w:val="18"/>
              </w:rPr>
            </w:pPr>
            <w:r w:rsidRPr="00B50173">
              <w:rPr>
                <w:rFonts w:ascii="Cambria" w:hAnsi="Cambria" w:cs="Cambria"/>
                <w:b/>
                <w:color w:val="000000"/>
                <w:sz w:val="18"/>
                <w:szCs w:val="18"/>
              </w:rPr>
              <w:t> </w:t>
            </w:r>
          </w:p>
        </w:tc>
        <w:tc>
          <w:tcPr>
            <w:tcW w:w="5325" w:type="dxa"/>
          </w:tcPr>
          <w:p w14:paraId="463661BE" w14:textId="18EA9EB6" w:rsidR="00C25639" w:rsidRPr="00E5344A" w:rsidRDefault="00C25639" w:rsidP="00E5344A">
            <w:pPr>
              <w:rPr>
                <w:rFonts w:cs="Calibri"/>
                <w:color w:val="000000"/>
                <w:sz w:val="18"/>
                <w:szCs w:val="18"/>
              </w:rPr>
            </w:pPr>
            <w:r w:rsidRPr="00E16769">
              <w:rPr>
                <w:sz w:val="18"/>
                <w:szCs w:val="18"/>
              </w:rPr>
              <w:t>Total number of sexual harassment complaints from 1 July 2020 to 30 June 2021</w:t>
            </w:r>
            <w:r>
              <w:rPr>
                <w:sz w:val="18"/>
                <w:szCs w:val="18"/>
              </w:rPr>
              <w:t xml:space="preserve"> (Table 4.1)</w:t>
            </w:r>
          </w:p>
        </w:tc>
        <w:tc>
          <w:tcPr>
            <w:tcW w:w="1952" w:type="dxa"/>
            <w:vMerge w:val="restart"/>
          </w:tcPr>
          <w:p w14:paraId="7B152C79" w14:textId="77BB9D7E" w:rsidR="00C25639" w:rsidRPr="00C83C3B" w:rsidRDefault="00C25639" w:rsidP="00C83C3B">
            <w:pPr>
              <w:rPr>
                <w:rFonts w:cs="Calibri"/>
                <w:sz w:val="18"/>
                <w:szCs w:val="18"/>
              </w:rPr>
            </w:pPr>
            <w:r w:rsidRPr="00C83C3B">
              <w:rPr>
                <w:rFonts w:cs="Calibri"/>
                <w:sz w:val="18"/>
                <w:szCs w:val="18"/>
              </w:rPr>
              <w:t>4</w:t>
            </w:r>
            <w:r>
              <w:rPr>
                <w:rFonts w:cs="Calibri"/>
                <w:sz w:val="18"/>
                <w:szCs w:val="18"/>
              </w:rPr>
              <w:t xml:space="preserve">, </w:t>
            </w:r>
            <w:r w:rsidRPr="00C83C3B">
              <w:rPr>
                <w:rFonts w:cs="Calibri"/>
                <w:sz w:val="18"/>
                <w:szCs w:val="18"/>
              </w:rPr>
              <w:t>7</w:t>
            </w:r>
            <w:r>
              <w:rPr>
                <w:rFonts w:cs="Calibri"/>
                <w:sz w:val="18"/>
                <w:szCs w:val="18"/>
              </w:rPr>
              <w:t xml:space="preserve">, </w:t>
            </w:r>
            <w:r w:rsidRPr="00C83C3B">
              <w:rPr>
                <w:rFonts w:cs="Calibri"/>
                <w:sz w:val="18"/>
                <w:szCs w:val="18"/>
              </w:rPr>
              <w:t>9</w:t>
            </w:r>
            <w:r>
              <w:rPr>
                <w:rFonts w:cs="Calibri"/>
                <w:sz w:val="18"/>
                <w:szCs w:val="18"/>
              </w:rPr>
              <w:t xml:space="preserve">, </w:t>
            </w:r>
            <w:r w:rsidRPr="00C83C3B">
              <w:rPr>
                <w:rFonts w:cs="Calibri"/>
                <w:sz w:val="18"/>
                <w:szCs w:val="18"/>
              </w:rPr>
              <w:t>36</w:t>
            </w:r>
            <w:r>
              <w:rPr>
                <w:rFonts w:cs="Calibri"/>
                <w:sz w:val="18"/>
                <w:szCs w:val="18"/>
              </w:rPr>
              <w:t xml:space="preserve">, </w:t>
            </w:r>
            <w:r w:rsidRPr="00C83C3B">
              <w:rPr>
                <w:rFonts w:cs="Calibri"/>
                <w:sz w:val="18"/>
                <w:szCs w:val="18"/>
              </w:rPr>
              <w:t>37</w:t>
            </w:r>
            <w:r>
              <w:rPr>
                <w:rFonts w:cs="Calibri"/>
                <w:sz w:val="18"/>
                <w:szCs w:val="18"/>
              </w:rPr>
              <w:t xml:space="preserve">, </w:t>
            </w:r>
            <w:r w:rsidRPr="00C83C3B">
              <w:rPr>
                <w:rFonts w:cs="Calibri"/>
                <w:sz w:val="18"/>
                <w:szCs w:val="18"/>
              </w:rPr>
              <w:t>55</w:t>
            </w:r>
            <w:r>
              <w:rPr>
                <w:rFonts w:cs="Calibri"/>
                <w:sz w:val="18"/>
                <w:szCs w:val="18"/>
              </w:rPr>
              <w:t>-60</w:t>
            </w:r>
          </w:p>
          <w:p w14:paraId="49E54575" w14:textId="783DFB05" w:rsidR="00C25639" w:rsidRPr="42431986" w:rsidRDefault="00C25639" w:rsidP="00E5344A">
            <w:pPr>
              <w:rPr>
                <w:rFonts w:cs="Calibri"/>
                <w:sz w:val="18"/>
                <w:szCs w:val="18"/>
              </w:rPr>
            </w:pPr>
          </w:p>
        </w:tc>
      </w:tr>
      <w:tr w:rsidR="00C25639" w:rsidRPr="00B04D51" w14:paraId="3FC6D50A" w14:textId="4E6CD3BE" w:rsidTr="00D52C66">
        <w:trPr>
          <w:trHeight w:val="281"/>
        </w:trPr>
        <w:tc>
          <w:tcPr>
            <w:tcW w:w="2008" w:type="dxa"/>
            <w:vMerge/>
          </w:tcPr>
          <w:p w14:paraId="7E24159E" w14:textId="77777777" w:rsidR="00C25639" w:rsidRPr="00B50173" w:rsidRDefault="00C25639" w:rsidP="00E5344A">
            <w:pPr>
              <w:rPr>
                <w:rFonts w:cs="Calibri"/>
                <w:b/>
                <w:color w:val="000000"/>
                <w:sz w:val="18"/>
                <w:szCs w:val="18"/>
              </w:rPr>
            </w:pPr>
          </w:p>
        </w:tc>
        <w:tc>
          <w:tcPr>
            <w:tcW w:w="5325" w:type="dxa"/>
            <w:shd w:val="clear" w:color="auto" w:fill="auto"/>
          </w:tcPr>
          <w:p w14:paraId="495E3FEA" w14:textId="218866DB" w:rsidR="00C25639" w:rsidRPr="00E5344A" w:rsidRDefault="00C25639" w:rsidP="00E5344A">
            <w:pPr>
              <w:rPr>
                <w:rFonts w:cs="Calibri"/>
                <w:color w:val="000000"/>
                <w:sz w:val="18"/>
                <w:szCs w:val="18"/>
              </w:rPr>
            </w:pPr>
            <w:r w:rsidRPr="00774F56">
              <w:rPr>
                <w:sz w:val="18"/>
                <w:szCs w:val="18"/>
              </w:rPr>
              <w:t>The number of sexual harassment complainants from 1 July 2020 to 30 June 2021, by gender</w:t>
            </w:r>
            <w:r>
              <w:rPr>
                <w:sz w:val="18"/>
                <w:szCs w:val="18"/>
              </w:rPr>
              <w:t xml:space="preserve"> and</w:t>
            </w:r>
            <w:r w:rsidRPr="00774F56">
              <w:rPr>
                <w:sz w:val="18"/>
                <w:szCs w:val="18"/>
              </w:rPr>
              <w:t xml:space="preserve"> type of complainant </w:t>
            </w:r>
            <w:r>
              <w:rPr>
                <w:sz w:val="18"/>
                <w:szCs w:val="18"/>
              </w:rPr>
              <w:t>(Table 4.2)</w:t>
            </w:r>
            <w:r w:rsidRPr="00774F56">
              <w:rPr>
                <w:sz w:val="18"/>
                <w:szCs w:val="18"/>
              </w:rPr>
              <w:t xml:space="preserve">. </w:t>
            </w:r>
          </w:p>
        </w:tc>
        <w:tc>
          <w:tcPr>
            <w:tcW w:w="1952" w:type="dxa"/>
            <w:vMerge/>
            <w:shd w:val="clear" w:color="auto" w:fill="auto"/>
          </w:tcPr>
          <w:p w14:paraId="6ECA0DB7" w14:textId="4B84DD5A" w:rsidR="00C25639" w:rsidRPr="42431986" w:rsidRDefault="00C25639" w:rsidP="00E5344A">
            <w:pPr>
              <w:rPr>
                <w:rFonts w:cs="Calibri"/>
                <w:sz w:val="18"/>
                <w:szCs w:val="18"/>
              </w:rPr>
            </w:pPr>
          </w:p>
        </w:tc>
      </w:tr>
      <w:tr w:rsidR="00C25639" w:rsidRPr="00B04D51" w14:paraId="635809FD" w14:textId="6FFFDBB3" w:rsidTr="00D52C66">
        <w:trPr>
          <w:trHeight w:val="281"/>
        </w:trPr>
        <w:tc>
          <w:tcPr>
            <w:tcW w:w="2008" w:type="dxa"/>
            <w:vMerge/>
          </w:tcPr>
          <w:p w14:paraId="0417A13A" w14:textId="77777777" w:rsidR="00C25639" w:rsidRPr="00B50173" w:rsidRDefault="00C25639" w:rsidP="00E5344A">
            <w:pPr>
              <w:rPr>
                <w:rFonts w:cs="Calibri"/>
                <w:b/>
                <w:color w:val="000000"/>
                <w:sz w:val="18"/>
                <w:szCs w:val="18"/>
              </w:rPr>
            </w:pPr>
          </w:p>
        </w:tc>
        <w:tc>
          <w:tcPr>
            <w:tcW w:w="5325" w:type="dxa"/>
          </w:tcPr>
          <w:p w14:paraId="1990CEBE" w14:textId="1C96D522" w:rsidR="00C25639" w:rsidRPr="00E5344A" w:rsidRDefault="00C25639" w:rsidP="00E5344A">
            <w:pPr>
              <w:rPr>
                <w:rFonts w:cs="Calibri"/>
                <w:color w:val="000000"/>
                <w:sz w:val="18"/>
                <w:szCs w:val="18"/>
              </w:rPr>
            </w:pPr>
            <w:r w:rsidRPr="00BE411F">
              <w:rPr>
                <w:sz w:val="18"/>
                <w:szCs w:val="18"/>
              </w:rPr>
              <w:t>The number of sexual harassment complainants from 1 July 2020 to 30 June 2021, by gender and relationship to incident</w:t>
            </w:r>
            <w:r>
              <w:rPr>
                <w:sz w:val="18"/>
                <w:szCs w:val="18"/>
              </w:rPr>
              <w:t xml:space="preserve"> (Table 4.3)</w:t>
            </w:r>
            <w:r w:rsidRPr="00BE411F">
              <w:rPr>
                <w:sz w:val="18"/>
                <w:szCs w:val="18"/>
              </w:rPr>
              <w:t xml:space="preserve">. </w:t>
            </w:r>
          </w:p>
        </w:tc>
        <w:tc>
          <w:tcPr>
            <w:tcW w:w="1952" w:type="dxa"/>
            <w:vMerge/>
          </w:tcPr>
          <w:p w14:paraId="3B65206B" w14:textId="7F38DF41" w:rsidR="00C25639" w:rsidRPr="42431986" w:rsidRDefault="00C25639" w:rsidP="00E5344A">
            <w:pPr>
              <w:rPr>
                <w:rFonts w:cs="Calibri"/>
                <w:sz w:val="18"/>
                <w:szCs w:val="18"/>
              </w:rPr>
            </w:pPr>
          </w:p>
        </w:tc>
      </w:tr>
      <w:tr w:rsidR="00C25639" w:rsidRPr="00B04D51" w14:paraId="4FD101F1" w14:textId="055B5E4C" w:rsidTr="00D52C66">
        <w:trPr>
          <w:trHeight w:val="503"/>
        </w:trPr>
        <w:tc>
          <w:tcPr>
            <w:tcW w:w="2008" w:type="dxa"/>
            <w:vMerge/>
            <w:hideMark/>
          </w:tcPr>
          <w:p w14:paraId="75CE98F0" w14:textId="3CF0681B" w:rsidR="00C25639" w:rsidRPr="00B50173" w:rsidRDefault="00C25639" w:rsidP="00E5344A">
            <w:pPr>
              <w:rPr>
                <w:rFonts w:cs="Calibri"/>
                <w:b/>
                <w:color w:val="000000"/>
                <w:sz w:val="18"/>
                <w:szCs w:val="18"/>
              </w:rPr>
            </w:pPr>
          </w:p>
        </w:tc>
        <w:tc>
          <w:tcPr>
            <w:tcW w:w="5325" w:type="dxa"/>
            <w:shd w:val="clear" w:color="auto" w:fill="FFD966" w:themeFill="accent4" w:themeFillTint="99"/>
          </w:tcPr>
          <w:p w14:paraId="11CE21E8" w14:textId="10AD03E9" w:rsidR="00C25639" w:rsidRPr="00E5344A" w:rsidRDefault="00C25639" w:rsidP="00E5344A">
            <w:pPr>
              <w:pStyle w:val="Default"/>
              <w:rPr>
                <w:rFonts w:ascii="VIC" w:hAnsi="VIC" w:cs="Calibri"/>
                <w:sz w:val="18"/>
                <w:szCs w:val="18"/>
              </w:rPr>
            </w:pPr>
            <w:r w:rsidRPr="000D497E">
              <w:rPr>
                <w:rFonts w:ascii="VIC" w:hAnsi="VIC" w:cs="Calibri"/>
                <w:sz w:val="18"/>
                <w:szCs w:val="18"/>
              </w:rPr>
              <w:t>The number of sexual harassment complainants from 1 July 2020 to 30 June 2021, by gender and Aboriginality, age, disability, ethnicity and race, religion and sexual orientation</w:t>
            </w:r>
            <w:r>
              <w:rPr>
                <w:rFonts w:ascii="VIC" w:hAnsi="VIC" w:cs="Calibri"/>
                <w:sz w:val="18"/>
                <w:szCs w:val="18"/>
              </w:rPr>
              <w:t xml:space="preserve"> (Sheet 4a)</w:t>
            </w:r>
            <w:r w:rsidRPr="000D497E">
              <w:rPr>
                <w:rFonts w:ascii="VIC" w:hAnsi="VIC" w:cs="Calibri"/>
                <w:sz w:val="18"/>
                <w:szCs w:val="18"/>
              </w:rPr>
              <w:t xml:space="preserve">. </w:t>
            </w:r>
          </w:p>
        </w:tc>
        <w:tc>
          <w:tcPr>
            <w:tcW w:w="1952" w:type="dxa"/>
            <w:vMerge/>
          </w:tcPr>
          <w:p w14:paraId="088D529F" w14:textId="3B194566" w:rsidR="00C25639" w:rsidRPr="42431986" w:rsidRDefault="00C25639" w:rsidP="00E5344A">
            <w:pPr>
              <w:rPr>
                <w:rFonts w:cs="Calibri"/>
                <w:sz w:val="18"/>
                <w:szCs w:val="18"/>
              </w:rPr>
            </w:pPr>
          </w:p>
        </w:tc>
      </w:tr>
      <w:tr w:rsidR="00C25639" w:rsidRPr="00B04D51" w14:paraId="21AAA571" w14:textId="77777777" w:rsidTr="00D52C66">
        <w:trPr>
          <w:trHeight w:val="503"/>
        </w:trPr>
        <w:tc>
          <w:tcPr>
            <w:tcW w:w="2008" w:type="dxa"/>
            <w:vMerge/>
          </w:tcPr>
          <w:p w14:paraId="1AF7998F" w14:textId="77777777" w:rsidR="00C25639" w:rsidRPr="00B50173" w:rsidRDefault="00C25639" w:rsidP="00E5344A">
            <w:pPr>
              <w:rPr>
                <w:rFonts w:cs="Calibri"/>
                <w:b/>
                <w:color w:val="000000"/>
                <w:sz w:val="18"/>
                <w:szCs w:val="18"/>
              </w:rPr>
            </w:pPr>
          </w:p>
        </w:tc>
        <w:tc>
          <w:tcPr>
            <w:tcW w:w="5325" w:type="dxa"/>
          </w:tcPr>
          <w:p w14:paraId="27CAD1DA" w14:textId="1EC57FA9" w:rsidR="00C25639" w:rsidRPr="00E5344A" w:rsidRDefault="00C25639" w:rsidP="00E5344A">
            <w:pPr>
              <w:pStyle w:val="Default"/>
              <w:rPr>
                <w:rFonts w:ascii="VIC" w:hAnsi="VIC" w:cs="Calibri"/>
                <w:sz w:val="18"/>
                <w:szCs w:val="18"/>
              </w:rPr>
            </w:pPr>
            <w:r w:rsidRPr="00411331">
              <w:rPr>
                <w:rFonts w:ascii="VIC" w:hAnsi="VIC" w:cs="Calibri"/>
                <w:sz w:val="18"/>
                <w:szCs w:val="18"/>
              </w:rPr>
              <w:t xml:space="preserve">The number of respondents to sexual harassment complaints from 1 July 2020 to 30 June 2021, by gender and workplace relationship to </w:t>
            </w:r>
            <w:r>
              <w:rPr>
                <w:rFonts w:ascii="VIC" w:hAnsi="VIC" w:cs="Calibri"/>
                <w:sz w:val="18"/>
                <w:szCs w:val="18"/>
              </w:rPr>
              <w:t>complainant (Table 4.4</w:t>
            </w:r>
            <w:r w:rsidRPr="00411331">
              <w:rPr>
                <w:rFonts w:ascii="VIC" w:hAnsi="VIC" w:cs="Calibri"/>
                <w:sz w:val="18"/>
                <w:szCs w:val="18"/>
              </w:rPr>
              <w:t>).</w:t>
            </w:r>
          </w:p>
        </w:tc>
        <w:tc>
          <w:tcPr>
            <w:tcW w:w="1952" w:type="dxa"/>
            <w:vMerge/>
          </w:tcPr>
          <w:p w14:paraId="2AE155F0" w14:textId="77777777" w:rsidR="00C25639" w:rsidRPr="42431986" w:rsidRDefault="00C25639" w:rsidP="00E5344A">
            <w:pPr>
              <w:rPr>
                <w:rFonts w:cs="Calibri"/>
                <w:sz w:val="18"/>
                <w:szCs w:val="18"/>
              </w:rPr>
            </w:pPr>
          </w:p>
        </w:tc>
      </w:tr>
      <w:tr w:rsidR="00C25639" w:rsidRPr="00B04D51" w14:paraId="2A1775E6" w14:textId="77777777" w:rsidTr="00D52C66">
        <w:trPr>
          <w:trHeight w:val="503"/>
        </w:trPr>
        <w:tc>
          <w:tcPr>
            <w:tcW w:w="2008" w:type="dxa"/>
            <w:vMerge/>
          </w:tcPr>
          <w:p w14:paraId="5D23216C" w14:textId="77777777" w:rsidR="00C25639" w:rsidRPr="00B50173" w:rsidRDefault="00C25639" w:rsidP="00122871">
            <w:pPr>
              <w:rPr>
                <w:rFonts w:cs="Calibri"/>
                <w:b/>
                <w:color w:val="000000"/>
                <w:sz w:val="18"/>
                <w:szCs w:val="18"/>
              </w:rPr>
            </w:pPr>
          </w:p>
        </w:tc>
        <w:tc>
          <w:tcPr>
            <w:tcW w:w="5325" w:type="dxa"/>
          </w:tcPr>
          <w:p w14:paraId="27C60134" w14:textId="7981147E" w:rsidR="00C25639" w:rsidRPr="00E5344A" w:rsidRDefault="00C25639" w:rsidP="00B50173">
            <w:pPr>
              <w:pStyle w:val="Default"/>
              <w:rPr>
                <w:rFonts w:ascii="VIC" w:hAnsi="VIC" w:cs="Calibri"/>
                <w:sz w:val="18"/>
                <w:szCs w:val="18"/>
              </w:rPr>
            </w:pPr>
            <w:r w:rsidRPr="003E0097">
              <w:rPr>
                <w:rFonts w:ascii="VIC" w:hAnsi="VIC" w:cs="Calibri"/>
                <w:sz w:val="18"/>
                <w:szCs w:val="18"/>
              </w:rPr>
              <w:t>The outcomes of any sexual harassment complaints including any settlement and/or non-disclosure agreements from 1 July 2020 to 30 June 2021 by gender of complainant</w:t>
            </w:r>
            <w:r>
              <w:rPr>
                <w:rFonts w:ascii="VIC" w:hAnsi="VIC" w:cs="Calibri"/>
                <w:sz w:val="18"/>
                <w:szCs w:val="18"/>
              </w:rPr>
              <w:t xml:space="preserve"> (Table 4.5)</w:t>
            </w:r>
          </w:p>
        </w:tc>
        <w:tc>
          <w:tcPr>
            <w:tcW w:w="1952" w:type="dxa"/>
            <w:vMerge/>
          </w:tcPr>
          <w:p w14:paraId="722900FA" w14:textId="77777777" w:rsidR="00C25639" w:rsidRPr="42431986" w:rsidRDefault="00C25639" w:rsidP="42431986">
            <w:pPr>
              <w:rPr>
                <w:rFonts w:cs="Calibri"/>
                <w:sz w:val="18"/>
                <w:szCs w:val="18"/>
              </w:rPr>
            </w:pPr>
          </w:p>
        </w:tc>
      </w:tr>
      <w:tr w:rsidR="00C25639" w:rsidRPr="00B04D51" w14:paraId="1EAF88ED" w14:textId="77777777" w:rsidTr="00D52C66">
        <w:trPr>
          <w:trHeight w:val="503"/>
        </w:trPr>
        <w:tc>
          <w:tcPr>
            <w:tcW w:w="2008" w:type="dxa"/>
            <w:vMerge/>
          </w:tcPr>
          <w:p w14:paraId="7EB3460F" w14:textId="77777777" w:rsidR="00C25639" w:rsidRPr="00B50173" w:rsidRDefault="00C25639" w:rsidP="00122871">
            <w:pPr>
              <w:rPr>
                <w:rFonts w:cs="Calibri"/>
                <w:b/>
                <w:color w:val="000000"/>
                <w:sz w:val="18"/>
                <w:szCs w:val="18"/>
              </w:rPr>
            </w:pPr>
          </w:p>
        </w:tc>
        <w:tc>
          <w:tcPr>
            <w:tcW w:w="5325" w:type="dxa"/>
          </w:tcPr>
          <w:p w14:paraId="3E93A1F7" w14:textId="19BF3496" w:rsidR="00C25639" w:rsidRPr="00E5344A" w:rsidRDefault="00C25639" w:rsidP="00B50173">
            <w:pPr>
              <w:pStyle w:val="Default"/>
              <w:rPr>
                <w:rFonts w:ascii="VIC" w:hAnsi="VIC" w:cs="Calibri"/>
                <w:sz w:val="18"/>
                <w:szCs w:val="18"/>
              </w:rPr>
            </w:pPr>
            <w:r w:rsidRPr="00EB78D1">
              <w:rPr>
                <w:rFonts w:ascii="VIC" w:hAnsi="VIC" w:cs="Calibri"/>
                <w:sz w:val="18"/>
                <w:szCs w:val="18"/>
              </w:rPr>
              <w:t>Actions your organisation has taken to prevent future incidents of sexual harassment in the workplace from 1 July 2020 to 30 June 2021</w:t>
            </w:r>
            <w:r>
              <w:rPr>
                <w:rFonts w:ascii="VIC" w:hAnsi="VIC" w:cs="Calibri"/>
                <w:sz w:val="18"/>
                <w:szCs w:val="18"/>
              </w:rPr>
              <w:t xml:space="preserve"> (Table 4.6)</w:t>
            </w:r>
          </w:p>
        </w:tc>
        <w:tc>
          <w:tcPr>
            <w:tcW w:w="1952" w:type="dxa"/>
            <w:vMerge/>
          </w:tcPr>
          <w:p w14:paraId="40B94597" w14:textId="77777777" w:rsidR="00C25639" w:rsidRPr="42431986" w:rsidRDefault="00C25639" w:rsidP="42431986">
            <w:pPr>
              <w:rPr>
                <w:rFonts w:cs="Calibri"/>
                <w:sz w:val="18"/>
                <w:szCs w:val="18"/>
              </w:rPr>
            </w:pPr>
          </w:p>
        </w:tc>
      </w:tr>
      <w:tr w:rsidR="00C25639" w:rsidRPr="00B04D51" w14:paraId="0C2E92DB" w14:textId="77777777" w:rsidTr="00D52C66">
        <w:trPr>
          <w:trHeight w:val="503"/>
        </w:trPr>
        <w:tc>
          <w:tcPr>
            <w:tcW w:w="2008" w:type="dxa"/>
            <w:vMerge/>
          </w:tcPr>
          <w:p w14:paraId="58DAD85D" w14:textId="77777777" w:rsidR="00C25639" w:rsidRPr="00B50173" w:rsidRDefault="00C25639" w:rsidP="00122871">
            <w:pPr>
              <w:rPr>
                <w:rFonts w:cs="Calibri"/>
                <w:b/>
                <w:color w:val="000000"/>
                <w:sz w:val="18"/>
                <w:szCs w:val="18"/>
              </w:rPr>
            </w:pPr>
          </w:p>
        </w:tc>
        <w:tc>
          <w:tcPr>
            <w:tcW w:w="5325" w:type="dxa"/>
          </w:tcPr>
          <w:p w14:paraId="5EAB5541" w14:textId="4B9B13D4" w:rsidR="00C25639" w:rsidRPr="00E5344A" w:rsidRDefault="00C25639" w:rsidP="00E16769">
            <w:pPr>
              <w:pStyle w:val="Default"/>
              <w:tabs>
                <w:tab w:val="left" w:pos="3470"/>
              </w:tabs>
              <w:rPr>
                <w:rFonts w:ascii="VIC" w:hAnsi="VIC" w:cs="Calibri"/>
                <w:sz w:val="18"/>
                <w:szCs w:val="18"/>
              </w:rPr>
            </w:pPr>
            <w:r w:rsidRPr="00F43B83">
              <w:rPr>
                <w:rFonts w:ascii="VIC" w:hAnsi="VIC" w:cs="Calibri"/>
                <w:sz w:val="18"/>
                <w:szCs w:val="18"/>
              </w:rPr>
              <w:t>The number of sexual harassment complaints that were handled internally, externally or both from 1 July 2020 to 30 June 2021, by gender of complainant</w:t>
            </w:r>
            <w:r>
              <w:rPr>
                <w:rFonts w:ascii="VIC" w:hAnsi="VIC" w:cs="Calibri"/>
                <w:sz w:val="18"/>
                <w:szCs w:val="18"/>
              </w:rPr>
              <w:t xml:space="preserve"> (Table 4.7)</w:t>
            </w:r>
            <w:r w:rsidRPr="00F43B83">
              <w:rPr>
                <w:rFonts w:ascii="VIC" w:hAnsi="VIC" w:cs="Calibri"/>
                <w:sz w:val="18"/>
                <w:szCs w:val="18"/>
              </w:rPr>
              <w:t>.</w:t>
            </w:r>
          </w:p>
        </w:tc>
        <w:tc>
          <w:tcPr>
            <w:tcW w:w="1952" w:type="dxa"/>
            <w:vMerge/>
          </w:tcPr>
          <w:p w14:paraId="6DF286E9" w14:textId="77777777" w:rsidR="00C25639" w:rsidRPr="42431986" w:rsidRDefault="00C25639" w:rsidP="42431986">
            <w:pPr>
              <w:rPr>
                <w:rFonts w:cs="Calibri"/>
                <w:sz w:val="18"/>
                <w:szCs w:val="18"/>
              </w:rPr>
            </w:pPr>
          </w:p>
        </w:tc>
      </w:tr>
      <w:tr w:rsidR="00C25639" w:rsidRPr="00B04D51" w14:paraId="69540CB4" w14:textId="77777777" w:rsidTr="00D52C66">
        <w:trPr>
          <w:trHeight w:val="503"/>
        </w:trPr>
        <w:tc>
          <w:tcPr>
            <w:tcW w:w="2008" w:type="dxa"/>
            <w:vMerge/>
          </w:tcPr>
          <w:p w14:paraId="22997E6D" w14:textId="77777777" w:rsidR="00C25639" w:rsidRPr="00B50173" w:rsidRDefault="00C25639" w:rsidP="00122871">
            <w:pPr>
              <w:rPr>
                <w:rFonts w:cs="Calibri"/>
                <w:b/>
                <w:color w:val="000000"/>
                <w:sz w:val="18"/>
                <w:szCs w:val="18"/>
              </w:rPr>
            </w:pPr>
          </w:p>
        </w:tc>
        <w:tc>
          <w:tcPr>
            <w:tcW w:w="5325" w:type="dxa"/>
          </w:tcPr>
          <w:p w14:paraId="7593E46D" w14:textId="57512F30" w:rsidR="00C25639" w:rsidRPr="00F43B83" w:rsidRDefault="00C25639" w:rsidP="00F43B83">
            <w:pPr>
              <w:pStyle w:val="Default"/>
              <w:tabs>
                <w:tab w:val="left" w:pos="3470"/>
              </w:tabs>
              <w:rPr>
                <w:rFonts w:ascii="VIC" w:hAnsi="VIC" w:cs="Calibri"/>
                <w:sz w:val="18"/>
                <w:szCs w:val="18"/>
              </w:rPr>
            </w:pPr>
            <w:r w:rsidRPr="008863AF">
              <w:rPr>
                <w:rFonts w:ascii="VIC" w:hAnsi="VIC" w:cs="Calibri"/>
                <w:sz w:val="18"/>
                <w:szCs w:val="18"/>
              </w:rPr>
              <w:t>What was the overall level of complainant satisfaction with the outcomes of each complaint from 1 July 2020 to 30 June 2021, by gender of complainant?</w:t>
            </w:r>
            <w:r>
              <w:rPr>
                <w:rFonts w:ascii="VIC" w:hAnsi="VIC" w:cs="Calibri"/>
                <w:sz w:val="18"/>
                <w:szCs w:val="18"/>
              </w:rPr>
              <w:t xml:space="preserve"> (Table 4.8)</w:t>
            </w:r>
          </w:p>
        </w:tc>
        <w:tc>
          <w:tcPr>
            <w:tcW w:w="1952" w:type="dxa"/>
            <w:vMerge/>
          </w:tcPr>
          <w:p w14:paraId="45AF18B7" w14:textId="77777777" w:rsidR="00C25639" w:rsidRPr="42431986" w:rsidRDefault="00C25639" w:rsidP="42431986">
            <w:pPr>
              <w:rPr>
                <w:rFonts w:cs="Calibri"/>
                <w:sz w:val="18"/>
                <w:szCs w:val="18"/>
              </w:rPr>
            </w:pPr>
          </w:p>
        </w:tc>
      </w:tr>
      <w:tr w:rsidR="00624B28" w:rsidRPr="00B04D51" w14:paraId="7C3A1030" w14:textId="523E50D3" w:rsidTr="002719F9">
        <w:trPr>
          <w:trHeight w:val="270"/>
        </w:trPr>
        <w:tc>
          <w:tcPr>
            <w:tcW w:w="2008" w:type="dxa"/>
            <w:vMerge w:val="restart"/>
            <w:hideMark/>
          </w:tcPr>
          <w:p w14:paraId="20444DF3" w14:textId="6F830FC6" w:rsidR="00624B28" w:rsidRPr="00B50173" w:rsidRDefault="00624B28" w:rsidP="00D52C66">
            <w:pPr>
              <w:rPr>
                <w:rFonts w:cs="Calibri"/>
                <w:b/>
                <w:color w:val="000000"/>
                <w:sz w:val="18"/>
                <w:szCs w:val="18"/>
              </w:rPr>
            </w:pPr>
            <w:r w:rsidRPr="00B50173">
              <w:rPr>
                <w:rFonts w:cs="Calibri"/>
                <w:b/>
                <w:color w:val="000000"/>
                <w:sz w:val="18"/>
                <w:szCs w:val="18"/>
              </w:rPr>
              <w:t>5. Recruitment and promotion practices in the workplace</w:t>
            </w:r>
            <w:r w:rsidRPr="00B50173">
              <w:rPr>
                <w:rFonts w:ascii="Cambria" w:hAnsi="Cambria" w:cs="Cambria"/>
                <w:b/>
                <w:color w:val="000000"/>
                <w:sz w:val="18"/>
                <w:szCs w:val="18"/>
              </w:rPr>
              <w:t> </w:t>
            </w:r>
          </w:p>
        </w:tc>
        <w:tc>
          <w:tcPr>
            <w:tcW w:w="5325" w:type="dxa"/>
            <w:hideMark/>
          </w:tcPr>
          <w:p w14:paraId="776F1D1E" w14:textId="3C9A532C" w:rsidR="00624B28" w:rsidRPr="00E5344A" w:rsidRDefault="00624B28" w:rsidP="00122871">
            <w:pPr>
              <w:rPr>
                <w:rFonts w:cs="Calibri"/>
                <w:color w:val="000000"/>
                <w:sz w:val="18"/>
                <w:szCs w:val="18"/>
              </w:rPr>
            </w:pPr>
            <w:r w:rsidRPr="00E5344A">
              <w:rPr>
                <w:rFonts w:cs="Calibri"/>
                <w:color w:val="000000"/>
                <w:sz w:val="18"/>
                <w:szCs w:val="18"/>
              </w:rPr>
              <w:t xml:space="preserve">Gender composition of people recruited from 1 July 2020 to 30 June 2021, by </w:t>
            </w:r>
            <w:r w:rsidRPr="00E5344A">
              <w:rPr>
                <w:rFonts w:cs="Calibri"/>
                <w:color w:val="000000"/>
                <w:sz w:val="18"/>
                <w:szCs w:val="18"/>
                <w:u w:val="single"/>
              </w:rPr>
              <w:t>classification</w:t>
            </w:r>
            <w:r w:rsidRPr="00E5344A">
              <w:rPr>
                <w:rFonts w:cs="Calibri"/>
                <w:color w:val="000000"/>
                <w:sz w:val="18"/>
                <w:szCs w:val="18"/>
              </w:rPr>
              <w:t xml:space="preserve"> and </w:t>
            </w:r>
            <w:r w:rsidRPr="00E5344A">
              <w:rPr>
                <w:rFonts w:cs="Calibri"/>
                <w:color w:val="000000"/>
                <w:sz w:val="18"/>
                <w:szCs w:val="18"/>
                <w:u w:val="single"/>
              </w:rPr>
              <w:t>employment basis</w:t>
            </w:r>
            <w:r w:rsidRPr="00E5344A">
              <w:rPr>
                <w:rFonts w:cs="Calibri"/>
                <w:color w:val="000000"/>
                <w:sz w:val="18"/>
                <w:szCs w:val="18"/>
              </w:rPr>
              <w:t xml:space="preserve"> (Table 5.1)</w:t>
            </w:r>
          </w:p>
        </w:tc>
        <w:tc>
          <w:tcPr>
            <w:tcW w:w="1952" w:type="dxa"/>
            <w:vMerge w:val="restart"/>
          </w:tcPr>
          <w:p w14:paraId="1AD801D5" w14:textId="124D430E" w:rsidR="00624B28" w:rsidRPr="42431986" w:rsidRDefault="00624B28" w:rsidP="42431986">
            <w:pPr>
              <w:rPr>
                <w:rFonts w:cs="Calibri"/>
                <w:sz w:val="18"/>
                <w:szCs w:val="18"/>
              </w:rPr>
            </w:pPr>
            <w:r w:rsidRPr="003A7D43">
              <w:rPr>
                <w:rFonts w:cs="Calibri"/>
                <w:sz w:val="18"/>
                <w:szCs w:val="18"/>
              </w:rPr>
              <w:t>1</w:t>
            </w:r>
            <w:r>
              <w:rPr>
                <w:rFonts w:cs="Calibri"/>
                <w:sz w:val="18"/>
                <w:szCs w:val="18"/>
              </w:rPr>
              <w:t xml:space="preserve">, </w:t>
            </w:r>
            <w:r w:rsidRPr="003A7D43">
              <w:rPr>
                <w:rFonts w:cs="Calibri"/>
                <w:sz w:val="18"/>
                <w:szCs w:val="18"/>
              </w:rPr>
              <w:t>2</w:t>
            </w:r>
            <w:r>
              <w:rPr>
                <w:rFonts w:cs="Calibri"/>
                <w:sz w:val="18"/>
                <w:szCs w:val="18"/>
              </w:rPr>
              <w:t xml:space="preserve">, </w:t>
            </w:r>
            <w:r w:rsidRPr="003A7D43">
              <w:rPr>
                <w:rFonts w:cs="Calibri"/>
                <w:sz w:val="18"/>
                <w:szCs w:val="18"/>
              </w:rPr>
              <w:t>6</w:t>
            </w:r>
            <w:r>
              <w:rPr>
                <w:rFonts w:cs="Calibri"/>
                <w:sz w:val="18"/>
                <w:szCs w:val="18"/>
              </w:rPr>
              <w:t xml:space="preserve">, </w:t>
            </w:r>
            <w:r w:rsidRPr="003A7D43">
              <w:rPr>
                <w:rFonts w:cs="Calibri"/>
                <w:sz w:val="18"/>
                <w:szCs w:val="18"/>
              </w:rPr>
              <w:t>8</w:t>
            </w:r>
            <w:r>
              <w:rPr>
                <w:rFonts w:cs="Calibri"/>
                <w:sz w:val="18"/>
                <w:szCs w:val="18"/>
              </w:rPr>
              <w:t xml:space="preserve">, </w:t>
            </w:r>
            <w:r w:rsidRPr="003A7D43">
              <w:rPr>
                <w:rFonts w:cs="Calibri"/>
                <w:sz w:val="18"/>
                <w:szCs w:val="18"/>
              </w:rPr>
              <w:t>29</w:t>
            </w:r>
            <w:r>
              <w:rPr>
                <w:rFonts w:cs="Calibri"/>
                <w:sz w:val="18"/>
                <w:szCs w:val="18"/>
              </w:rPr>
              <w:t xml:space="preserve">-35, 38, </w:t>
            </w:r>
            <w:r w:rsidR="007019E1">
              <w:rPr>
                <w:rFonts w:cs="Calibri"/>
                <w:sz w:val="18"/>
                <w:szCs w:val="18"/>
              </w:rPr>
              <w:t>39</w:t>
            </w:r>
          </w:p>
        </w:tc>
      </w:tr>
      <w:tr w:rsidR="00624B28" w:rsidRPr="00B04D51" w14:paraId="0C856FB0" w14:textId="4B76B8F9" w:rsidTr="002719F9">
        <w:trPr>
          <w:trHeight w:val="333"/>
        </w:trPr>
        <w:tc>
          <w:tcPr>
            <w:tcW w:w="2008" w:type="dxa"/>
            <w:vMerge/>
            <w:hideMark/>
          </w:tcPr>
          <w:p w14:paraId="5A8BF68D" w14:textId="714177D1" w:rsidR="00624B28" w:rsidRPr="00B50173" w:rsidRDefault="00624B28" w:rsidP="00122871">
            <w:pPr>
              <w:rPr>
                <w:rFonts w:cs="Calibri"/>
                <w:b/>
                <w:color w:val="000000"/>
                <w:sz w:val="18"/>
                <w:szCs w:val="18"/>
              </w:rPr>
            </w:pPr>
          </w:p>
        </w:tc>
        <w:tc>
          <w:tcPr>
            <w:tcW w:w="5325" w:type="dxa"/>
            <w:hideMark/>
          </w:tcPr>
          <w:p w14:paraId="467E5577" w14:textId="07759142" w:rsidR="00624B28" w:rsidRPr="00B04D51" w:rsidRDefault="00624B28" w:rsidP="00122871">
            <w:pPr>
              <w:rPr>
                <w:rFonts w:cs="Calibri"/>
                <w:color w:val="000000"/>
                <w:sz w:val="18"/>
                <w:szCs w:val="18"/>
              </w:rPr>
            </w:pPr>
            <w:r w:rsidRPr="00B04D51">
              <w:rPr>
                <w:rFonts w:cs="Calibri"/>
                <w:color w:val="000000"/>
                <w:sz w:val="18"/>
                <w:szCs w:val="18"/>
              </w:rPr>
              <w:t xml:space="preserve">Gender composition of </w:t>
            </w:r>
            <w:r w:rsidRPr="00B04D51">
              <w:rPr>
                <w:rFonts w:cs="Calibri"/>
                <w:color w:val="000000"/>
                <w:sz w:val="18"/>
                <w:szCs w:val="18"/>
                <w:u w:val="single"/>
              </w:rPr>
              <w:t>employees</w:t>
            </w:r>
            <w:r w:rsidRPr="00B04D51">
              <w:rPr>
                <w:rFonts w:cs="Calibri"/>
                <w:color w:val="000000"/>
                <w:sz w:val="18"/>
                <w:szCs w:val="18"/>
              </w:rPr>
              <w:t xml:space="preserve"> who have had a permanent </w:t>
            </w:r>
            <w:r w:rsidRPr="00B04D51">
              <w:rPr>
                <w:rFonts w:cs="Calibri"/>
                <w:color w:val="000000"/>
                <w:sz w:val="18"/>
                <w:szCs w:val="18"/>
                <w:u w:val="single"/>
              </w:rPr>
              <w:t>promotion</w:t>
            </w:r>
            <w:r w:rsidRPr="00B04D51">
              <w:rPr>
                <w:rFonts w:cs="Calibri"/>
                <w:color w:val="000000"/>
                <w:sz w:val="18"/>
                <w:szCs w:val="18"/>
              </w:rPr>
              <w:t xml:space="preserve"> </w:t>
            </w:r>
            <w:r>
              <w:rPr>
                <w:rFonts w:cs="Calibri"/>
                <w:color w:val="000000"/>
                <w:sz w:val="18"/>
                <w:szCs w:val="18"/>
              </w:rPr>
              <w:t>from 1 July 2020 to 30 June 2021</w:t>
            </w:r>
            <w:r w:rsidRPr="00B04D51">
              <w:rPr>
                <w:rFonts w:cs="Calibri"/>
                <w:color w:val="000000"/>
                <w:sz w:val="18"/>
                <w:szCs w:val="18"/>
              </w:rPr>
              <w:t xml:space="preserve">, by </w:t>
            </w:r>
            <w:r w:rsidRPr="00B04D51">
              <w:rPr>
                <w:rFonts w:cs="Calibri"/>
                <w:color w:val="000000"/>
                <w:sz w:val="18"/>
                <w:szCs w:val="18"/>
                <w:u w:val="single"/>
              </w:rPr>
              <w:t>classification</w:t>
            </w:r>
            <w:r w:rsidRPr="00222547">
              <w:rPr>
                <w:rFonts w:cs="Calibri"/>
                <w:color w:val="000000"/>
                <w:sz w:val="18"/>
                <w:szCs w:val="18"/>
              </w:rPr>
              <w:t xml:space="preserve"> (Table 5.2)</w:t>
            </w:r>
          </w:p>
        </w:tc>
        <w:tc>
          <w:tcPr>
            <w:tcW w:w="1952" w:type="dxa"/>
            <w:vMerge/>
          </w:tcPr>
          <w:p w14:paraId="250CE7D1" w14:textId="63DA9DC2" w:rsidR="00624B28" w:rsidRPr="42431986" w:rsidRDefault="00624B28" w:rsidP="42431986">
            <w:pPr>
              <w:rPr>
                <w:rFonts w:cs="Calibri"/>
                <w:sz w:val="18"/>
                <w:szCs w:val="18"/>
              </w:rPr>
            </w:pPr>
          </w:p>
        </w:tc>
      </w:tr>
      <w:tr w:rsidR="00624B28" w:rsidRPr="00B04D51" w14:paraId="26D560D6" w14:textId="302824F4" w:rsidTr="002719F9">
        <w:trPr>
          <w:trHeight w:val="333"/>
        </w:trPr>
        <w:tc>
          <w:tcPr>
            <w:tcW w:w="2008" w:type="dxa"/>
            <w:vMerge/>
          </w:tcPr>
          <w:p w14:paraId="6B39213A" w14:textId="77777777" w:rsidR="00624B28" w:rsidRPr="00B50173" w:rsidRDefault="00624B28" w:rsidP="00122871">
            <w:pPr>
              <w:rPr>
                <w:rFonts w:cs="Calibri"/>
                <w:b/>
                <w:color w:val="000000"/>
                <w:sz w:val="18"/>
                <w:szCs w:val="18"/>
              </w:rPr>
            </w:pPr>
          </w:p>
        </w:tc>
        <w:tc>
          <w:tcPr>
            <w:tcW w:w="5325" w:type="dxa"/>
          </w:tcPr>
          <w:p w14:paraId="09BCB0C0" w14:textId="1EAC1266" w:rsidR="00624B28" w:rsidRPr="00B04D51" w:rsidRDefault="00624B28" w:rsidP="00122871">
            <w:pPr>
              <w:rPr>
                <w:rFonts w:cs="Calibri"/>
                <w:color w:val="000000"/>
                <w:sz w:val="18"/>
                <w:szCs w:val="18"/>
              </w:rPr>
            </w:pPr>
            <w:r w:rsidRPr="2B9FDBAE">
              <w:rPr>
                <w:rFonts w:cs="Calibri"/>
                <w:color w:val="000000" w:themeColor="text1"/>
                <w:sz w:val="18"/>
                <w:szCs w:val="18"/>
              </w:rPr>
              <w:t xml:space="preserve">Number of people who participated in </w:t>
            </w:r>
            <w:r w:rsidRPr="007E6336">
              <w:rPr>
                <w:rFonts w:cs="Calibri"/>
                <w:color w:val="000000" w:themeColor="text1"/>
                <w:sz w:val="18"/>
                <w:szCs w:val="18"/>
                <w:u w:val="single"/>
              </w:rPr>
              <w:t>career development</w:t>
            </w:r>
            <w:r>
              <w:rPr>
                <w:rFonts w:cs="Calibri"/>
                <w:color w:val="000000" w:themeColor="text1"/>
                <w:sz w:val="18"/>
                <w:szCs w:val="18"/>
                <w:u w:val="single"/>
              </w:rPr>
              <w:t xml:space="preserve"> training</w:t>
            </w:r>
            <w:r w:rsidRPr="007E6336">
              <w:rPr>
                <w:rFonts w:cs="Calibri"/>
                <w:color w:val="000000" w:themeColor="text1"/>
                <w:sz w:val="18"/>
                <w:szCs w:val="18"/>
                <w:u w:val="single"/>
              </w:rPr>
              <w:t xml:space="preserve"> opportunities</w:t>
            </w:r>
            <w:r w:rsidRPr="007E6336">
              <w:rPr>
                <w:rFonts w:cs="Calibri"/>
                <w:color w:val="000000" w:themeColor="text1"/>
                <w:sz w:val="18"/>
                <w:szCs w:val="18"/>
              </w:rPr>
              <w:t xml:space="preserve"> </w:t>
            </w:r>
            <w:r w:rsidRPr="2B9FDBAE">
              <w:rPr>
                <w:rFonts w:cs="Calibri"/>
                <w:color w:val="000000" w:themeColor="text1"/>
                <w:sz w:val="18"/>
                <w:szCs w:val="18"/>
              </w:rPr>
              <w:t>from 1 July 2020 to 30 June 2021</w:t>
            </w:r>
            <w:r>
              <w:rPr>
                <w:rFonts w:cs="Calibri"/>
                <w:color w:val="000000" w:themeColor="text1"/>
                <w:sz w:val="18"/>
                <w:szCs w:val="18"/>
              </w:rPr>
              <w:t>, by gender and classification (Table 5.3)</w:t>
            </w:r>
          </w:p>
        </w:tc>
        <w:tc>
          <w:tcPr>
            <w:tcW w:w="1952" w:type="dxa"/>
            <w:vMerge/>
          </w:tcPr>
          <w:p w14:paraId="1A8C2B28" w14:textId="022C103A" w:rsidR="00624B28" w:rsidRPr="42431986" w:rsidRDefault="00624B28" w:rsidP="42431986">
            <w:pPr>
              <w:rPr>
                <w:rFonts w:cs="Calibri"/>
                <w:sz w:val="18"/>
                <w:szCs w:val="18"/>
              </w:rPr>
            </w:pPr>
          </w:p>
        </w:tc>
      </w:tr>
      <w:tr w:rsidR="00624B28" w:rsidRPr="00B04D51" w14:paraId="2B3F03AC" w14:textId="120F870C" w:rsidTr="002719F9">
        <w:trPr>
          <w:trHeight w:val="269"/>
        </w:trPr>
        <w:tc>
          <w:tcPr>
            <w:tcW w:w="2008" w:type="dxa"/>
            <w:vMerge/>
            <w:hideMark/>
          </w:tcPr>
          <w:p w14:paraId="761A6F40" w14:textId="0031B7D1" w:rsidR="00624B28" w:rsidRPr="00B50173" w:rsidRDefault="00624B28" w:rsidP="00122871">
            <w:pPr>
              <w:rPr>
                <w:rFonts w:cs="Calibri"/>
                <w:b/>
                <w:color w:val="000000"/>
                <w:sz w:val="18"/>
                <w:szCs w:val="18"/>
              </w:rPr>
            </w:pPr>
          </w:p>
        </w:tc>
        <w:tc>
          <w:tcPr>
            <w:tcW w:w="5325" w:type="dxa"/>
            <w:hideMark/>
          </w:tcPr>
          <w:p w14:paraId="6F2AF2EB" w14:textId="39121A33" w:rsidR="00624B28" w:rsidRPr="00B04D51" w:rsidRDefault="00624B28" w:rsidP="00122871">
            <w:pPr>
              <w:rPr>
                <w:rFonts w:cs="Calibri"/>
                <w:color w:val="000000"/>
                <w:sz w:val="18"/>
                <w:szCs w:val="18"/>
              </w:rPr>
            </w:pPr>
            <w:r w:rsidRPr="00B04D51">
              <w:rPr>
                <w:rFonts w:cs="Calibri"/>
                <w:color w:val="000000"/>
                <w:sz w:val="18"/>
                <w:szCs w:val="18"/>
              </w:rPr>
              <w:t xml:space="preserve">Gender composition of employees who have been awarded higher duties </w:t>
            </w:r>
            <w:r>
              <w:rPr>
                <w:rFonts w:cs="Calibri"/>
                <w:color w:val="000000"/>
                <w:sz w:val="18"/>
                <w:szCs w:val="18"/>
              </w:rPr>
              <w:t>from 1 July 2020 to 30 June 2021</w:t>
            </w:r>
            <w:r w:rsidRPr="00B04D51">
              <w:rPr>
                <w:rFonts w:cs="Calibri"/>
                <w:color w:val="000000"/>
                <w:sz w:val="18"/>
                <w:szCs w:val="18"/>
              </w:rPr>
              <w:t>, by classification and employment basis</w:t>
            </w:r>
            <w:r>
              <w:rPr>
                <w:rFonts w:cs="Calibri"/>
                <w:color w:val="000000"/>
                <w:sz w:val="18"/>
                <w:szCs w:val="18"/>
              </w:rPr>
              <w:t xml:space="preserve"> (Table 5.4)</w:t>
            </w:r>
          </w:p>
        </w:tc>
        <w:tc>
          <w:tcPr>
            <w:tcW w:w="1952" w:type="dxa"/>
            <w:vMerge/>
          </w:tcPr>
          <w:p w14:paraId="0E859AFC" w14:textId="2A4FB7E2" w:rsidR="00624B28" w:rsidRPr="42431986" w:rsidRDefault="00624B28" w:rsidP="42431986">
            <w:pPr>
              <w:rPr>
                <w:rFonts w:cs="Calibri"/>
                <w:sz w:val="18"/>
                <w:szCs w:val="18"/>
              </w:rPr>
            </w:pPr>
          </w:p>
        </w:tc>
      </w:tr>
      <w:tr w:rsidR="00624B28" w:rsidRPr="00B04D51" w14:paraId="7E8FD665" w14:textId="2F4AB1BB" w:rsidTr="002719F9">
        <w:trPr>
          <w:trHeight w:val="250"/>
        </w:trPr>
        <w:tc>
          <w:tcPr>
            <w:tcW w:w="2008" w:type="dxa"/>
            <w:vMerge/>
            <w:hideMark/>
          </w:tcPr>
          <w:p w14:paraId="2B7CB6A7" w14:textId="0EC45850" w:rsidR="00624B28" w:rsidRPr="00B50173" w:rsidRDefault="00624B28" w:rsidP="00122871">
            <w:pPr>
              <w:rPr>
                <w:rFonts w:cs="Calibri"/>
                <w:b/>
                <w:color w:val="000000"/>
                <w:sz w:val="18"/>
                <w:szCs w:val="18"/>
              </w:rPr>
            </w:pPr>
          </w:p>
        </w:tc>
        <w:tc>
          <w:tcPr>
            <w:tcW w:w="5325" w:type="dxa"/>
            <w:hideMark/>
          </w:tcPr>
          <w:p w14:paraId="6A77DDFC" w14:textId="0683E428" w:rsidR="00624B28" w:rsidRPr="00B04D51" w:rsidRDefault="00624B28" w:rsidP="00122871">
            <w:pPr>
              <w:rPr>
                <w:rFonts w:cs="Calibri"/>
                <w:color w:val="000000"/>
                <w:sz w:val="18"/>
                <w:szCs w:val="18"/>
              </w:rPr>
            </w:pPr>
            <w:r w:rsidRPr="0392E569">
              <w:rPr>
                <w:rFonts w:cs="Calibri"/>
                <w:color w:val="000000" w:themeColor="text1"/>
                <w:sz w:val="18"/>
                <w:szCs w:val="18"/>
              </w:rPr>
              <w:t>Gender composition of employees who have been awarded internal secondments at the same level from 1 July 2020 to 30 June 2021, by classification and employment basis (Table 5.</w:t>
            </w:r>
            <w:r>
              <w:rPr>
                <w:rFonts w:cs="Calibri"/>
                <w:color w:val="000000" w:themeColor="text1"/>
                <w:sz w:val="18"/>
                <w:szCs w:val="18"/>
              </w:rPr>
              <w:t>5</w:t>
            </w:r>
            <w:r w:rsidRPr="0392E569">
              <w:rPr>
                <w:rFonts w:cs="Calibri"/>
                <w:color w:val="000000" w:themeColor="text1"/>
                <w:sz w:val="18"/>
                <w:szCs w:val="18"/>
              </w:rPr>
              <w:t>)</w:t>
            </w:r>
          </w:p>
        </w:tc>
        <w:tc>
          <w:tcPr>
            <w:tcW w:w="1952" w:type="dxa"/>
            <w:vMerge/>
          </w:tcPr>
          <w:p w14:paraId="3F608F50" w14:textId="4548A44B" w:rsidR="00624B28" w:rsidRPr="42431986" w:rsidRDefault="00624B28" w:rsidP="42431986">
            <w:pPr>
              <w:rPr>
                <w:rFonts w:cs="Calibri"/>
                <w:sz w:val="18"/>
                <w:szCs w:val="18"/>
              </w:rPr>
            </w:pPr>
          </w:p>
        </w:tc>
      </w:tr>
      <w:tr w:rsidR="00624B28" w:rsidRPr="00B04D51" w14:paraId="6F65BC37" w14:textId="77777777" w:rsidTr="007019E1">
        <w:trPr>
          <w:trHeight w:val="457"/>
        </w:trPr>
        <w:tc>
          <w:tcPr>
            <w:tcW w:w="2008" w:type="dxa"/>
            <w:vMerge/>
          </w:tcPr>
          <w:p w14:paraId="7510E647" w14:textId="77777777" w:rsidR="00624B28" w:rsidRPr="00B50173" w:rsidRDefault="00624B28" w:rsidP="00122871">
            <w:pPr>
              <w:rPr>
                <w:rFonts w:cs="Calibri"/>
                <w:b/>
                <w:color w:val="000000"/>
                <w:sz w:val="18"/>
                <w:szCs w:val="18"/>
              </w:rPr>
            </w:pPr>
          </w:p>
        </w:tc>
        <w:tc>
          <w:tcPr>
            <w:tcW w:w="5325" w:type="dxa"/>
          </w:tcPr>
          <w:p w14:paraId="245F1B4B" w14:textId="6891BF49" w:rsidR="00624B28" w:rsidRPr="0392E569" w:rsidRDefault="00624B28" w:rsidP="00122871">
            <w:pPr>
              <w:rPr>
                <w:rFonts w:cs="Calibri"/>
                <w:color w:val="000000" w:themeColor="text1"/>
                <w:sz w:val="18"/>
                <w:szCs w:val="18"/>
              </w:rPr>
            </w:pPr>
            <w:r w:rsidRPr="0392E569">
              <w:rPr>
                <w:rFonts w:cs="Calibri"/>
                <w:color w:val="000000" w:themeColor="text1"/>
                <w:sz w:val="18"/>
                <w:szCs w:val="18"/>
              </w:rPr>
              <w:t xml:space="preserve">Gender composition of employees who have </w:t>
            </w:r>
            <w:r>
              <w:rPr>
                <w:rFonts w:cs="Calibri"/>
                <w:color w:val="000000" w:themeColor="text1"/>
                <w:sz w:val="18"/>
                <w:szCs w:val="18"/>
              </w:rPr>
              <w:t>exited the defined entity</w:t>
            </w:r>
            <w:r w:rsidRPr="0392E569">
              <w:rPr>
                <w:rFonts w:cs="Calibri"/>
                <w:color w:val="000000" w:themeColor="text1"/>
                <w:sz w:val="18"/>
                <w:szCs w:val="18"/>
              </w:rPr>
              <w:t xml:space="preserve"> from 1 July 2020 to 30 June 2021, by classification and employment basis (Table 5.</w:t>
            </w:r>
            <w:r>
              <w:rPr>
                <w:rFonts w:cs="Calibri"/>
                <w:color w:val="000000" w:themeColor="text1"/>
                <w:sz w:val="18"/>
                <w:szCs w:val="18"/>
              </w:rPr>
              <w:t>6</w:t>
            </w:r>
            <w:r w:rsidRPr="0392E569">
              <w:rPr>
                <w:rFonts w:cs="Calibri"/>
                <w:color w:val="000000" w:themeColor="text1"/>
                <w:sz w:val="18"/>
                <w:szCs w:val="18"/>
              </w:rPr>
              <w:t>)</w:t>
            </w:r>
          </w:p>
        </w:tc>
        <w:tc>
          <w:tcPr>
            <w:tcW w:w="1952" w:type="dxa"/>
            <w:vMerge/>
          </w:tcPr>
          <w:p w14:paraId="6FA6DC7E" w14:textId="77777777" w:rsidR="00624B28" w:rsidRPr="42431986" w:rsidRDefault="00624B28" w:rsidP="42431986">
            <w:pPr>
              <w:rPr>
                <w:rFonts w:cs="Calibri"/>
                <w:sz w:val="18"/>
                <w:szCs w:val="18"/>
              </w:rPr>
            </w:pPr>
          </w:p>
        </w:tc>
      </w:tr>
      <w:tr w:rsidR="007019E1" w:rsidRPr="00B04D51" w14:paraId="731A26E8" w14:textId="77777777" w:rsidTr="00D52C66">
        <w:trPr>
          <w:trHeight w:val="457"/>
        </w:trPr>
        <w:tc>
          <w:tcPr>
            <w:tcW w:w="2008" w:type="dxa"/>
            <w:vMerge/>
          </w:tcPr>
          <w:p w14:paraId="52B5EE73" w14:textId="77777777" w:rsidR="007019E1" w:rsidRPr="00B50173" w:rsidRDefault="007019E1" w:rsidP="00122871">
            <w:pPr>
              <w:rPr>
                <w:rFonts w:cs="Calibri"/>
                <w:b/>
                <w:color w:val="000000"/>
                <w:sz w:val="18"/>
                <w:szCs w:val="18"/>
              </w:rPr>
            </w:pPr>
          </w:p>
        </w:tc>
        <w:tc>
          <w:tcPr>
            <w:tcW w:w="5325" w:type="dxa"/>
            <w:shd w:val="clear" w:color="auto" w:fill="FFD966" w:themeFill="accent4" w:themeFillTint="99"/>
          </w:tcPr>
          <w:p w14:paraId="2889815A" w14:textId="1D2EBFE6" w:rsidR="007019E1" w:rsidRPr="0392E569" w:rsidRDefault="007019E1" w:rsidP="00122871">
            <w:pPr>
              <w:rPr>
                <w:rFonts w:cs="Calibri"/>
                <w:color w:val="000000" w:themeColor="text1"/>
                <w:sz w:val="18"/>
                <w:szCs w:val="18"/>
              </w:rPr>
            </w:pPr>
            <w:r w:rsidRPr="004B29A4">
              <w:rPr>
                <w:rFonts w:cs="Calibri"/>
                <w:sz w:val="18"/>
                <w:szCs w:val="18"/>
              </w:rPr>
              <w:t xml:space="preserve">Gender composition </w:t>
            </w:r>
            <w:r>
              <w:rPr>
                <w:rFonts w:cs="Calibri"/>
                <w:sz w:val="18"/>
                <w:szCs w:val="18"/>
              </w:rPr>
              <w:t xml:space="preserve">of recruitment and promotion data </w:t>
            </w:r>
            <w:r w:rsidRPr="004B29A4">
              <w:rPr>
                <w:rFonts w:cs="Calibri"/>
                <w:sz w:val="18"/>
                <w:szCs w:val="18"/>
              </w:rPr>
              <w:t xml:space="preserve">by Aboriginality, age, </w:t>
            </w:r>
            <w:r>
              <w:rPr>
                <w:rFonts w:cs="Calibri"/>
                <w:sz w:val="18"/>
                <w:szCs w:val="18"/>
              </w:rPr>
              <w:t xml:space="preserve">disability, ethnicity and </w:t>
            </w:r>
            <w:r w:rsidRPr="004B29A4">
              <w:rPr>
                <w:rFonts w:cs="Calibri"/>
                <w:sz w:val="18"/>
                <w:szCs w:val="18"/>
              </w:rPr>
              <w:t xml:space="preserve">race, </w:t>
            </w:r>
            <w:r>
              <w:rPr>
                <w:rFonts w:cs="Calibri"/>
                <w:sz w:val="18"/>
                <w:szCs w:val="18"/>
              </w:rPr>
              <w:t>religion and</w:t>
            </w:r>
            <w:r w:rsidRPr="004B29A4">
              <w:rPr>
                <w:rFonts w:cs="Calibri"/>
                <w:sz w:val="18"/>
                <w:szCs w:val="18"/>
              </w:rPr>
              <w:t xml:space="preserve"> sexual orientation</w:t>
            </w:r>
            <w:r>
              <w:rPr>
                <w:rFonts w:cs="Calibri"/>
                <w:sz w:val="18"/>
                <w:szCs w:val="18"/>
              </w:rPr>
              <w:t xml:space="preserve">, </w:t>
            </w:r>
            <w:r>
              <w:rPr>
                <w:rFonts w:cs="Calibri"/>
                <w:color w:val="000000"/>
                <w:sz w:val="18"/>
                <w:szCs w:val="18"/>
              </w:rPr>
              <w:t>from 1 July 2020 to 30 June 2021</w:t>
            </w:r>
            <w:r w:rsidRPr="004B29A4">
              <w:rPr>
                <w:rFonts w:cs="Calibri"/>
                <w:sz w:val="18"/>
                <w:szCs w:val="18"/>
              </w:rPr>
              <w:t xml:space="preserve"> </w:t>
            </w:r>
            <w:r>
              <w:rPr>
                <w:rFonts w:cs="Calibri"/>
                <w:sz w:val="18"/>
                <w:szCs w:val="18"/>
              </w:rPr>
              <w:t>(Sheet 5a)</w:t>
            </w:r>
          </w:p>
        </w:tc>
        <w:tc>
          <w:tcPr>
            <w:tcW w:w="1952" w:type="dxa"/>
            <w:vMerge/>
          </w:tcPr>
          <w:p w14:paraId="3E342FCA" w14:textId="77777777" w:rsidR="007019E1" w:rsidRPr="42431986" w:rsidRDefault="007019E1" w:rsidP="42431986">
            <w:pPr>
              <w:rPr>
                <w:rFonts w:cs="Calibri"/>
                <w:sz w:val="18"/>
                <w:szCs w:val="18"/>
              </w:rPr>
            </w:pPr>
          </w:p>
        </w:tc>
      </w:tr>
      <w:tr w:rsidR="00624B28" w:rsidRPr="00B04D51" w14:paraId="15407390" w14:textId="50FC634D" w:rsidTr="00D52C66">
        <w:trPr>
          <w:trHeight w:val="50"/>
        </w:trPr>
        <w:tc>
          <w:tcPr>
            <w:tcW w:w="2008" w:type="dxa"/>
            <w:vMerge w:val="restart"/>
            <w:hideMark/>
          </w:tcPr>
          <w:p w14:paraId="5D6DCADB" w14:textId="51ECDF1C" w:rsidR="00624B28" w:rsidRPr="00B50173" w:rsidRDefault="00624B28" w:rsidP="00122871">
            <w:pPr>
              <w:rPr>
                <w:rFonts w:cs="Calibri"/>
                <w:b/>
                <w:color w:val="000000"/>
                <w:sz w:val="18"/>
                <w:szCs w:val="18"/>
              </w:rPr>
            </w:pPr>
            <w:r w:rsidRPr="00B50173">
              <w:rPr>
                <w:rFonts w:cs="Calibri"/>
                <w:b/>
                <w:color w:val="000000"/>
                <w:sz w:val="18"/>
                <w:szCs w:val="18"/>
              </w:rPr>
              <w:t>6. Availability and utilisation of terms, conditions and practices relating to family violence leave, flexible working arrangements and working arrangements supporting workers with family or caring responsibilities</w:t>
            </w:r>
          </w:p>
          <w:p w14:paraId="6F20CC23" w14:textId="580C163D" w:rsidR="00624B28" w:rsidRPr="00B50173" w:rsidRDefault="00624B28" w:rsidP="00122871">
            <w:pPr>
              <w:rPr>
                <w:rFonts w:cs="Calibri"/>
                <w:b/>
                <w:color w:val="000000"/>
                <w:sz w:val="18"/>
                <w:szCs w:val="18"/>
              </w:rPr>
            </w:pPr>
            <w:r w:rsidRPr="00B50173">
              <w:rPr>
                <w:rFonts w:ascii="Cambria" w:hAnsi="Cambria" w:cs="Cambria"/>
                <w:b/>
                <w:color w:val="000000"/>
                <w:sz w:val="18"/>
                <w:szCs w:val="18"/>
              </w:rPr>
              <w:t> </w:t>
            </w:r>
          </w:p>
        </w:tc>
        <w:tc>
          <w:tcPr>
            <w:tcW w:w="5325" w:type="dxa"/>
            <w:hideMark/>
          </w:tcPr>
          <w:p w14:paraId="584446D6" w14:textId="67194B61" w:rsidR="00624B28" w:rsidRPr="00B04D51" w:rsidRDefault="00624B28" w:rsidP="00122871">
            <w:pPr>
              <w:rPr>
                <w:rFonts w:cs="Calibri"/>
                <w:color w:val="000000"/>
                <w:sz w:val="18"/>
                <w:szCs w:val="18"/>
              </w:rPr>
            </w:pPr>
            <w:r>
              <w:rPr>
                <w:rFonts w:cs="Calibri"/>
                <w:color w:val="000000"/>
                <w:sz w:val="18"/>
                <w:szCs w:val="18"/>
              </w:rPr>
              <w:t>Proportion</w:t>
            </w:r>
            <w:r w:rsidRPr="00B04D51">
              <w:rPr>
                <w:rFonts w:cs="Calibri"/>
                <w:color w:val="000000"/>
                <w:sz w:val="18"/>
                <w:szCs w:val="18"/>
              </w:rPr>
              <w:t xml:space="preserve"> of employees with formal </w:t>
            </w:r>
            <w:r w:rsidRPr="00B04D51">
              <w:rPr>
                <w:rFonts w:cs="Calibri"/>
                <w:color w:val="000000"/>
                <w:sz w:val="18"/>
                <w:szCs w:val="18"/>
                <w:u w:val="single"/>
              </w:rPr>
              <w:t>flexible work</w:t>
            </w:r>
            <w:r w:rsidRPr="00B04D51">
              <w:rPr>
                <w:rFonts w:cs="Calibri"/>
                <w:color w:val="000000"/>
                <w:sz w:val="18"/>
                <w:szCs w:val="18"/>
              </w:rPr>
              <w:t xml:space="preserve"> arrangements, by gender, </w:t>
            </w:r>
            <w:r w:rsidRPr="00B04D51">
              <w:rPr>
                <w:rFonts w:cs="Calibri"/>
                <w:color w:val="000000"/>
                <w:sz w:val="18"/>
                <w:szCs w:val="18"/>
                <w:u w:val="single"/>
              </w:rPr>
              <w:t>classification</w:t>
            </w:r>
            <w:r w:rsidRPr="00B04D51">
              <w:rPr>
                <w:rFonts w:cs="Calibri"/>
                <w:color w:val="000000"/>
                <w:sz w:val="18"/>
                <w:szCs w:val="18"/>
              </w:rPr>
              <w:t xml:space="preserve"> and </w:t>
            </w:r>
            <w:r w:rsidRPr="00B04D51">
              <w:rPr>
                <w:rFonts w:cs="Calibri"/>
                <w:color w:val="000000"/>
                <w:sz w:val="18"/>
                <w:szCs w:val="18"/>
                <w:u w:val="single"/>
              </w:rPr>
              <w:t>employment basis</w:t>
            </w:r>
            <w:r w:rsidRPr="007E6336">
              <w:rPr>
                <w:rFonts w:cs="Calibri"/>
                <w:color w:val="000000"/>
                <w:sz w:val="18"/>
                <w:szCs w:val="18"/>
              </w:rPr>
              <w:t>, as at 30 June 2021</w:t>
            </w:r>
            <w:r>
              <w:rPr>
                <w:rFonts w:cs="Calibri"/>
                <w:color w:val="000000"/>
                <w:sz w:val="18"/>
                <w:szCs w:val="18"/>
              </w:rPr>
              <w:t xml:space="preserve"> (Table 6.1)</w:t>
            </w:r>
          </w:p>
        </w:tc>
        <w:tc>
          <w:tcPr>
            <w:tcW w:w="1952" w:type="dxa"/>
            <w:vMerge w:val="restart"/>
          </w:tcPr>
          <w:p w14:paraId="076C38E4" w14:textId="6395821C" w:rsidR="00624B28" w:rsidRPr="00AD1401" w:rsidRDefault="00624B28" w:rsidP="00AD1401">
            <w:pPr>
              <w:rPr>
                <w:rFonts w:cs="Calibri"/>
                <w:sz w:val="18"/>
                <w:szCs w:val="18"/>
              </w:rPr>
            </w:pPr>
            <w:r w:rsidRPr="00AD1401">
              <w:rPr>
                <w:rFonts w:cs="Calibri"/>
                <w:sz w:val="18"/>
                <w:szCs w:val="18"/>
              </w:rPr>
              <w:t>10</w:t>
            </w:r>
            <w:r>
              <w:rPr>
                <w:rFonts w:cs="Calibri"/>
                <w:sz w:val="18"/>
                <w:szCs w:val="18"/>
              </w:rPr>
              <w:t xml:space="preserve">, </w:t>
            </w:r>
            <w:r w:rsidRPr="00AD1401">
              <w:rPr>
                <w:rFonts w:cs="Calibri"/>
                <w:sz w:val="18"/>
                <w:szCs w:val="18"/>
              </w:rPr>
              <w:t>14</w:t>
            </w:r>
            <w:r>
              <w:rPr>
                <w:rFonts w:cs="Calibri"/>
                <w:sz w:val="18"/>
                <w:szCs w:val="18"/>
              </w:rPr>
              <w:t>-22, 72, 78</w:t>
            </w:r>
          </w:p>
          <w:p w14:paraId="1386E130" w14:textId="1B5FCEB7" w:rsidR="00624B28" w:rsidRPr="42431986" w:rsidRDefault="00624B28" w:rsidP="42431986">
            <w:pPr>
              <w:rPr>
                <w:rFonts w:cs="Calibri"/>
                <w:sz w:val="18"/>
                <w:szCs w:val="18"/>
              </w:rPr>
            </w:pPr>
          </w:p>
        </w:tc>
      </w:tr>
      <w:tr w:rsidR="00624B28" w:rsidRPr="00B04D51" w14:paraId="4322F2B5" w14:textId="60D16FDB" w:rsidTr="00D52C66">
        <w:trPr>
          <w:trHeight w:val="480"/>
        </w:trPr>
        <w:tc>
          <w:tcPr>
            <w:tcW w:w="2008" w:type="dxa"/>
            <w:vMerge/>
            <w:hideMark/>
          </w:tcPr>
          <w:p w14:paraId="649E0DBD" w14:textId="3B1D18B9" w:rsidR="00624B28" w:rsidRPr="00B50173" w:rsidRDefault="00624B28" w:rsidP="00122871">
            <w:pPr>
              <w:rPr>
                <w:rFonts w:cs="Calibri"/>
                <w:b/>
                <w:color w:val="000000"/>
                <w:sz w:val="18"/>
                <w:szCs w:val="18"/>
              </w:rPr>
            </w:pPr>
          </w:p>
        </w:tc>
        <w:tc>
          <w:tcPr>
            <w:tcW w:w="5325" w:type="dxa"/>
            <w:hideMark/>
          </w:tcPr>
          <w:p w14:paraId="1E81EEDE" w14:textId="2BBD7D59" w:rsidR="00624B28" w:rsidRPr="00B04D51" w:rsidRDefault="00624B28" w:rsidP="00122871">
            <w:pPr>
              <w:rPr>
                <w:rFonts w:cs="Calibri"/>
                <w:color w:val="000000"/>
                <w:sz w:val="18"/>
                <w:szCs w:val="18"/>
              </w:rPr>
            </w:pPr>
            <w:r w:rsidRPr="00B04D51">
              <w:rPr>
                <w:rFonts w:cs="Calibri"/>
                <w:color w:val="000000"/>
                <w:sz w:val="18"/>
                <w:szCs w:val="18"/>
              </w:rPr>
              <w:t xml:space="preserve">Number of </w:t>
            </w:r>
            <w:r w:rsidRPr="00B04D51">
              <w:rPr>
                <w:rFonts w:cs="Calibri"/>
                <w:color w:val="000000"/>
                <w:sz w:val="18"/>
                <w:szCs w:val="18"/>
                <w:u w:val="single"/>
              </w:rPr>
              <w:t>senior leaders</w:t>
            </w:r>
            <w:r w:rsidRPr="00B04D51">
              <w:rPr>
                <w:rFonts w:cs="Calibri"/>
                <w:color w:val="000000"/>
                <w:sz w:val="18"/>
                <w:szCs w:val="18"/>
              </w:rPr>
              <w:t xml:space="preserve"> working with </w:t>
            </w:r>
            <w:r w:rsidRPr="00B04D51">
              <w:rPr>
                <w:rFonts w:cs="Calibri"/>
                <w:color w:val="000000"/>
                <w:sz w:val="18"/>
                <w:szCs w:val="18"/>
                <w:u w:val="single"/>
              </w:rPr>
              <w:t>flexible work</w:t>
            </w:r>
            <w:r w:rsidRPr="00B04D51">
              <w:rPr>
                <w:rFonts w:cs="Calibri"/>
                <w:color w:val="000000"/>
                <w:sz w:val="18"/>
                <w:szCs w:val="18"/>
              </w:rPr>
              <w:t xml:space="preserve"> arrangements, by gender</w:t>
            </w:r>
            <w:r>
              <w:rPr>
                <w:rFonts w:cs="Calibri"/>
                <w:color w:val="000000"/>
                <w:sz w:val="18"/>
                <w:szCs w:val="18"/>
              </w:rPr>
              <w:t xml:space="preserve"> and type of flexible work arrangement</w:t>
            </w:r>
            <w:r w:rsidRPr="009D079E">
              <w:rPr>
                <w:rFonts w:cs="Calibri"/>
                <w:color w:val="000000"/>
                <w:sz w:val="18"/>
                <w:szCs w:val="18"/>
              </w:rPr>
              <w:t>, as at 30 June 2021</w:t>
            </w:r>
            <w:r>
              <w:rPr>
                <w:rFonts w:cs="Calibri"/>
                <w:color w:val="000000"/>
                <w:sz w:val="18"/>
                <w:szCs w:val="18"/>
              </w:rPr>
              <w:t xml:space="preserve"> (Table 6.2)</w:t>
            </w:r>
          </w:p>
        </w:tc>
        <w:tc>
          <w:tcPr>
            <w:tcW w:w="1952" w:type="dxa"/>
            <w:vMerge/>
          </w:tcPr>
          <w:p w14:paraId="29D074DD" w14:textId="06552260" w:rsidR="00624B28" w:rsidRPr="42431986" w:rsidRDefault="00624B28" w:rsidP="42431986">
            <w:pPr>
              <w:rPr>
                <w:rFonts w:cs="Calibri"/>
                <w:sz w:val="18"/>
                <w:szCs w:val="18"/>
              </w:rPr>
            </w:pPr>
          </w:p>
        </w:tc>
      </w:tr>
      <w:tr w:rsidR="00624B28" w:rsidRPr="00B04D51" w14:paraId="0C34E589" w14:textId="0054373D" w:rsidTr="00D52C66">
        <w:trPr>
          <w:trHeight w:val="124"/>
        </w:trPr>
        <w:tc>
          <w:tcPr>
            <w:tcW w:w="2008" w:type="dxa"/>
            <w:vMerge/>
            <w:hideMark/>
          </w:tcPr>
          <w:p w14:paraId="2EC5E099" w14:textId="4E508304" w:rsidR="00624B28" w:rsidRPr="00B50173" w:rsidRDefault="00624B28" w:rsidP="00122871">
            <w:pPr>
              <w:rPr>
                <w:rFonts w:cs="Calibri"/>
                <w:b/>
                <w:color w:val="000000"/>
                <w:sz w:val="18"/>
                <w:szCs w:val="18"/>
              </w:rPr>
            </w:pPr>
          </w:p>
        </w:tc>
        <w:tc>
          <w:tcPr>
            <w:tcW w:w="5325" w:type="dxa"/>
            <w:hideMark/>
          </w:tcPr>
          <w:p w14:paraId="7846150F" w14:textId="108328E2" w:rsidR="00624B28" w:rsidRPr="00B04D51" w:rsidRDefault="00624B28" w:rsidP="00122871">
            <w:pPr>
              <w:rPr>
                <w:rFonts w:cs="Calibri"/>
                <w:color w:val="000000"/>
                <w:sz w:val="18"/>
                <w:szCs w:val="18"/>
              </w:rPr>
            </w:pPr>
            <w:r w:rsidRPr="6C1AB946">
              <w:rPr>
                <w:rFonts w:cs="Calibri"/>
                <w:color w:val="000000" w:themeColor="text1"/>
                <w:sz w:val="18"/>
                <w:szCs w:val="18"/>
              </w:rPr>
              <w:t xml:space="preserve">Number of people who have taken </w:t>
            </w:r>
            <w:r w:rsidR="007019E1">
              <w:rPr>
                <w:rFonts w:cs="Calibri"/>
                <w:color w:val="000000" w:themeColor="text1"/>
                <w:sz w:val="18"/>
                <w:szCs w:val="18"/>
              </w:rPr>
              <w:t xml:space="preserve">parental leave </w:t>
            </w:r>
            <w:r w:rsidRPr="6C1AB946">
              <w:rPr>
                <w:rFonts w:cs="Calibri"/>
                <w:color w:val="000000" w:themeColor="text1"/>
                <w:sz w:val="18"/>
                <w:szCs w:val="18"/>
              </w:rPr>
              <w:t xml:space="preserve">from 1 July 2020 to 30 June 2021, by gender, </w:t>
            </w:r>
            <w:r w:rsidRPr="6C1AB946">
              <w:rPr>
                <w:rFonts w:cs="Calibri"/>
                <w:color w:val="000000" w:themeColor="text1"/>
                <w:sz w:val="18"/>
                <w:szCs w:val="18"/>
                <w:u w:val="single"/>
              </w:rPr>
              <w:t>classification</w:t>
            </w:r>
            <w:r w:rsidRPr="007E6336">
              <w:rPr>
                <w:rFonts w:cs="Calibri"/>
                <w:color w:val="000000" w:themeColor="text1"/>
                <w:sz w:val="18"/>
                <w:szCs w:val="18"/>
              </w:rPr>
              <w:t>, length of leave</w:t>
            </w:r>
            <w:r w:rsidRPr="6C1AB946">
              <w:rPr>
                <w:rFonts w:cs="Calibri"/>
                <w:color w:val="000000" w:themeColor="text1"/>
                <w:sz w:val="18"/>
                <w:szCs w:val="18"/>
              </w:rPr>
              <w:t xml:space="preserve"> and by type of leave (paid or unpaid) (Table 6.3)</w:t>
            </w:r>
          </w:p>
        </w:tc>
        <w:tc>
          <w:tcPr>
            <w:tcW w:w="1952" w:type="dxa"/>
            <w:vMerge/>
          </w:tcPr>
          <w:p w14:paraId="106B1023" w14:textId="6FC98790" w:rsidR="00624B28" w:rsidRPr="42431986" w:rsidRDefault="00624B28" w:rsidP="42431986">
            <w:pPr>
              <w:rPr>
                <w:rFonts w:cs="Calibri"/>
                <w:sz w:val="18"/>
                <w:szCs w:val="18"/>
              </w:rPr>
            </w:pPr>
          </w:p>
        </w:tc>
      </w:tr>
      <w:tr w:rsidR="00624B28" w:rsidRPr="00B04D51" w14:paraId="31959352" w14:textId="39F3B7B2" w:rsidTr="00D52C66">
        <w:trPr>
          <w:trHeight w:val="240"/>
        </w:trPr>
        <w:tc>
          <w:tcPr>
            <w:tcW w:w="2008" w:type="dxa"/>
            <w:vMerge/>
            <w:hideMark/>
          </w:tcPr>
          <w:p w14:paraId="64567EE7" w14:textId="0BB82EF1" w:rsidR="00624B28" w:rsidRPr="00B50173" w:rsidRDefault="00624B28" w:rsidP="00122871">
            <w:pPr>
              <w:rPr>
                <w:rFonts w:cs="Calibri"/>
                <w:b/>
                <w:color w:val="000000"/>
                <w:sz w:val="18"/>
                <w:szCs w:val="18"/>
              </w:rPr>
            </w:pPr>
          </w:p>
        </w:tc>
        <w:tc>
          <w:tcPr>
            <w:tcW w:w="5325" w:type="dxa"/>
            <w:hideMark/>
          </w:tcPr>
          <w:p w14:paraId="654F3E5B" w14:textId="477850B2" w:rsidR="00624B28" w:rsidRPr="00B04D51" w:rsidRDefault="00624B28" w:rsidP="00122871">
            <w:pPr>
              <w:rPr>
                <w:rFonts w:cs="Calibri"/>
                <w:color w:val="000000"/>
                <w:sz w:val="18"/>
                <w:szCs w:val="18"/>
              </w:rPr>
            </w:pPr>
            <w:r w:rsidRPr="245EE939">
              <w:rPr>
                <w:rFonts w:cs="Calibri"/>
                <w:color w:val="000000" w:themeColor="text1"/>
                <w:sz w:val="18"/>
                <w:szCs w:val="18"/>
              </w:rPr>
              <w:t xml:space="preserve">Number of people who exited the </w:t>
            </w:r>
            <w:r>
              <w:rPr>
                <w:rFonts w:cs="Calibri"/>
                <w:color w:val="000000" w:themeColor="text1"/>
                <w:sz w:val="18"/>
                <w:szCs w:val="18"/>
              </w:rPr>
              <w:t>defined entity</w:t>
            </w:r>
            <w:r w:rsidRPr="245EE939">
              <w:rPr>
                <w:rFonts w:cs="Calibri"/>
                <w:color w:val="000000" w:themeColor="text1"/>
                <w:sz w:val="18"/>
                <w:szCs w:val="18"/>
              </w:rPr>
              <w:t xml:space="preserve"> during parental leave from 1 July 2020 to 30 June 2021, by gender (Table 6.4)</w:t>
            </w:r>
          </w:p>
        </w:tc>
        <w:tc>
          <w:tcPr>
            <w:tcW w:w="1952" w:type="dxa"/>
            <w:vMerge/>
          </w:tcPr>
          <w:p w14:paraId="4367F7B1" w14:textId="1BC497F3" w:rsidR="00624B28" w:rsidRPr="42431986" w:rsidRDefault="00624B28" w:rsidP="42431986">
            <w:pPr>
              <w:rPr>
                <w:rFonts w:cs="Calibri"/>
                <w:sz w:val="18"/>
                <w:szCs w:val="18"/>
              </w:rPr>
            </w:pPr>
          </w:p>
        </w:tc>
      </w:tr>
      <w:tr w:rsidR="00624B28" w:rsidRPr="00B04D51" w14:paraId="792DB16C" w14:textId="7D0A3C89" w:rsidTr="00D52C66">
        <w:trPr>
          <w:trHeight w:val="365"/>
        </w:trPr>
        <w:tc>
          <w:tcPr>
            <w:tcW w:w="2008" w:type="dxa"/>
            <w:vMerge/>
            <w:hideMark/>
          </w:tcPr>
          <w:p w14:paraId="52418203" w14:textId="7C7B687B" w:rsidR="00624B28" w:rsidRPr="00B50173" w:rsidRDefault="00624B28" w:rsidP="00122871">
            <w:pPr>
              <w:rPr>
                <w:rFonts w:cs="Calibri"/>
                <w:b/>
                <w:color w:val="000000"/>
                <w:sz w:val="18"/>
                <w:szCs w:val="18"/>
              </w:rPr>
            </w:pPr>
          </w:p>
        </w:tc>
        <w:tc>
          <w:tcPr>
            <w:tcW w:w="5325" w:type="dxa"/>
            <w:hideMark/>
          </w:tcPr>
          <w:p w14:paraId="36258309" w14:textId="6DBCA9D5" w:rsidR="00624B28" w:rsidRPr="00B04D51" w:rsidRDefault="00624B28" w:rsidP="00122871">
            <w:pPr>
              <w:rPr>
                <w:rFonts w:cs="Calibri"/>
                <w:color w:val="000000"/>
                <w:sz w:val="18"/>
                <w:szCs w:val="18"/>
              </w:rPr>
            </w:pPr>
            <w:r w:rsidRPr="00B04D51">
              <w:rPr>
                <w:rFonts w:cs="Calibri"/>
                <w:color w:val="000000"/>
                <w:sz w:val="18"/>
                <w:szCs w:val="18"/>
              </w:rPr>
              <w:t xml:space="preserve">Number of people accessing </w:t>
            </w:r>
            <w:r w:rsidRPr="00B50173">
              <w:rPr>
                <w:rFonts w:cs="Calibri"/>
                <w:color w:val="000000"/>
                <w:sz w:val="18"/>
                <w:szCs w:val="18"/>
                <w:u w:val="single"/>
              </w:rPr>
              <w:t>family violence leave</w:t>
            </w:r>
            <w:r w:rsidRPr="00B04D51">
              <w:rPr>
                <w:rFonts w:cs="Calibri"/>
                <w:color w:val="000000"/>
                <w:sz w:val="18"/>
                <w:szCs w:val="18"/>
              </w:rPr>
              <w:t xml:space="preserve"> </w:t>
            </w:r>
            <w:r>
              <w:rPr>
                <w:rFonts w:cs="Calibri"/>
                <w:color w:val="000000"/>
                <w:sz w:val="18"/>
                <w:szCs w:val="18"/>
              </w:rPr>
              <w:t>from 1 July 2020 to 30 June 2021</w:t>
            </w:r>
            <w:r w:rsidRPr="00B04D51">
              <w:rPr>
                <w:rFonts w:cs="Calibri"/>
                <w:color w:val="000000"/>
                <w:sz w:val="18"/>
                <w:szCs w:val="18"/>
              </w:rPr>
              <w:t>, by gender</w:t>
            </w:r>
            <w:r>
              <w:rPr>
                <w:rFonts w:cs="Calibri"/>
                <w:color w:val="000000"/>
                <w:sz w:val="18"/>
                <w:szCs w:val="18"/>
              </w:rPr>
              <w:t xml:space="preserve"> (Table 6.5)</w:t>
            </w:r>
          </w:p>
        </w:tc>
        <w:tc>
          <w:tcPr>
            <w:tcW w:w="1952" w:type="dxa"/>
            <w:vMerge/>
          </w:tcPr>
          <w:p w14:paraId="7C023FE7" w14:textId="715D4709" w:rsidR="00624B28" w:rsidRPr="42431986" w:rsidRDefault="00624B28" w:rsidP="42431986">
            <w:pPr>
              <w:rPr>
                <w:rFonts w:cs="Calibri"/>
                <w:sz w:val="18"/>
                <w:szCs w:val="18"/>
              </w:rPr>
            </w:pPr>
          </w:p>
        </w:tc>
      </w:tr>
      <w:tr w:rsidR="00624B28" w:rsidRPr="00B04D51" w14:paraId="05F4F027" w14:textId="0C0D375D" w:rsidTr="00D52C66">
        <w:trPr>
          <w:trHeight w:val="354"/>
        </w:trPr>
        <w:tc>
          <w:tcPr>
            <w:tcW w:w="2008" w:type="dxa"/>
            <w:vMerge/>
          </w:tcPr>
          <w:p w14:paraId="3E3D4AE9" w14:textId="77777777" w:rsidR="00624B28" w:rsidRPr="00B50173" w:rsidRDefault="00624B28" w:rsidP="00122871">
            <w:pPr>
              <w:rPr>
                <w:rFonts w:cs="Calibri"/>
                <w:b/>
                <w:color w:val="000000"/>
                <w:sz w:val="18"/>
                <w:szCs w:val="18"/>
              </w:rPr>
            </w:pPr>
          </w:p>
        </w:tc>
        <w:tc>
          <w:tcPr>
            <w:tcW w:w="5325" w:type="dxa"/>
          </w:tcPr>
          <w:p w14:paraId="506F964D" w14:textId="79CC432A" w:rsidR="00624B28" w:rsidRPr="00B50173" w:rsidRDefault="00624B28" w:rsidP="00122871">
            <w:pPr>
              <w:rPr>
                <w:rFonts w:cs="Calibri"/>
                <w:color w:val="000000"/>
                <w:sz w:val="18"/>
                <w:szCs w:val="18"/>
              </w:rPr>
            </w:pPr>
            <w:r w:rsidRPr="245EE939">
              <w:rPr>
                <w:rFonts w:cs="Calibri"/>
                <w:color w:val="000000" w:themeColor="text1"/>
                <w:sz w:val="18"/>
                <w:szCs w:val="18"/>
              </w:rPr>
              <w:t xml:space="preserve">Number of people accessing </w:t>
            </w:r>
            <w:r w:rsidRPr="245EE939">
              <w:rPr>
                <w:rFonts w:cs="Calibri"/>
                <w:color w:val="000000" w:themeColor="text1"/>
                <w:sz w:val="18"/>
                <w:szCs w:val="18"/>
                <w:u w:val="single"/>
              </w:rPr>
              <w:t>carers leave</w:t>
            </w:r>
            <w:r w:rsidRPr="245EE939">
              <w:rPr>
                <w:rFonts w:cs="Calibri"/>
                <w:color w:val="000000" w:themeColor="text1"/>
                <w:sz w:val="18"/>
                <w:szCs w:val="18"/>
              </w:rPr>
              <w:t xml:space="preserve"> from 1 July 2020 to 30 June 2021, by gender (Table 6.6)</w:t>
            </w:r>
          </w:p>
        </w:tc>
        <w:tc>
          <w:tcPr>
            <w:tcW w:w="1952" w:type="dxa"/>
            <w:vMerge/>
          </w:tcPr>
          <w:p w14:paraId="210E00E8" w14:textId="4F0F4556" w:rsidR="00624B28" w:rsidRPr="42431986" w:rsidRDefault="00624B28" w:rsidP="42431986">
            <w:pPr>
              <w:rPr>
                <w:rFonts w:cs="Calibri"/>
                <w:sz w:val="18"/>
                <w:szCs w:val="18"/>
              </w:rPr>
            </w:pPr>
          </w:p>
        </w:tc>
      </w:tr>
      <w:tr w:rsidR="00DE7213" w:rsidRPr="00B04D51" w14:paraId="348D8D75" w14:textId="64182795" w:rsidTr="00D52C66">
        <w:trPr>
          <w:trHeight w:val="730"/>
        </w:trPr>
        <w:tc>
          <w:tcPr>
            <w:tcW w:w="2008" w:type="dxa"/>
            <w:hideMark/>
          </w:tcPr>
          <w:p w14:paraId="68FC83B4" w14:textId="77777777" w:rsidR="00DE7213" w:rsidRPr="00B50173" w:rsidRDefault="00DE7213" w:rsidP="00122871">
            <w:pPr>
              <w:rPr>
                <w:rFonts w:cs="Calibri"/>
                <w:b/>
                <w:color w:val="000000"/>
                <w:sz w:val="18"/>
                <w:szCs w:val="18"/>
              </w:rPr>
            </w:pPr>
            <w:r w:rsidRPr="00B50173">
              <w:rPr>
                <w:rFonts w:cs="Calibri"/>
                <w:b/>
                <w:color w:val="000000"/>
                <w:sz w:val="18"/>
                <w:szCs w:val="18"/>
              </w:rPr>
              <w:t>7. Gendered segregation within the workplace</w:t>
            </w:r>
          </w:p>
        </w:tc>
        <w:tc>
          <w:tcPr>
            <w:tcW w:w="5325" w:type="dxa"/>
            <w:hideMark/>
          </w:tcPr>
          <w:p w14:paraId="3A5579D1" w14:textId="1AF4A822" w:rsidR="00DE7213" w:rsidRPr="00B04D51" w:rsidRDefault="00DE7213" w:rsidP="00122871">
            <w:pPr>
              <w:rPr>
                <w:rFonts w:cs="Calibri"/>
                <w:color w:val="000000"/>
                <w:sz w:val="18"/>
                <w:szCs w:val="18"/>
              </w:rPr>
            </w:pPr>
            <w:r w:rsidRPr="42431986">
              <w:rPr>
                <w:rFonts w:cs="Calibri"/>
                <w:color w:val="000000" w:themeColor="text1"/>
                <w:sz w:val="18"/>
                <w:szCs w:val="18"/>
              </w:rPr>
              <w:t xml:space="preserve">Gender composition of employees by occupation per </w:t>
            </w:r>
            <w:r w:rsidRPr="42431986">
              <w:rPr>
                <w:rFonts w:cs="Calibri"/>
                <w:color w:val="000000" w:themeColor="text1"/>
                <w:sz w:val="18"/>
                <w:szCs w:val="18"/>
                <w:u w:val="single"/>
              </w:rPr>
              <w:t>ANZSCO codes</w:t>
            </w:r>
            <w:r w:rsidR="004A1474" w:rsidRPr="42431986">
              <w:rPr>
                <w:rFonts w:cs="Calibri"/>
                <w:color w:val="000000" w:themeColor="text1"/>
                <w:sz w:val="18"/>
                <w:szCs w:val="18"/>
              </w:rPr>
              <w:t xml:space="preserve"> as at 30 June 2021</w:t>
            </w:r>
            <w:r w:rsidR="00B63042">
              <w:rPr>
                <w:rFonts w:cs="Calibri"/>
                <w:color w:val="000000" w:themeColor="text1"/>
                <w:sz w:val="18"/>
                <w:szCs w:val="18"/>
              </w:rPr>
              <w:t xml:space="preserve"> (Table 7.1)</w:t>
            </w:r>
            <w:r w:rsidRPr="42431986">
              <w:rPr>
                <w:rFonts w:cs="Calibri"/>
                <w:color w:val="000000" w:themeColor="text1"/>
                <w:sz w:val="18"/>
                <w:szCs w:val="18"/>
              </w:rPr>
              <w:t>.</w:t>
            </w:r>
          </w:p>
        </w:tc>
        <w:tc>
          <w:tcPr>
            <w:tcW w:w="1952" w:type="dxa"/>
          </w:tcPr>
          <w:p w14:paraId="77162124" w14:textId="1FFCECE2" w:rsidR="00CD70F7" w:rsidRPr="00CD70F7" w:rsidRDefault="00CD70F7" w:rsidP="00CD70F7">
            <w:pPr>
              <w:rPr>
                <w:rFonts w:cs="Calibri"/>
                <w:sz w:val="18"/>
                <w:szCs w:val="18"/>
              </w:rPr>
            </w:pPr>
            <w:r w:rsidRPr="00CD70F7">
              <w:rPr>
                <w:rFonts w:cs="Calibri"/>
                <w:sz w:val="18"/>
                <w:szCs w:val="18"/>
              </w:rPr>
              <w:t>3</w:t>
            </w:r>
            <w:r w:rsidR="008D2955">
              <w:rPr>
                <w:rFonts w:cs="Calibri"/>
                <w:sz w:val="18"/>
                <w:szCs w:val="18"/>
              </w:rPr>
              <w:t xml:space="preserve">, </w:t>
            </w:r>
            <w:r w:rsidRPr="00CD70F7">
              <w:rPr>
                <w:rFonts w:cs="Calibri"/>
                <w:sz w:val="18"/>
                <w:szCs w:val="18"/>
              </w:rPr>
              <w:t>5</w:t>
            </w:r>
            <w:r w:rsidR="008D2955">
              <w:rPr>
                <w:rFonts w:cs="Calibri"/>
                <w:sz w:val="18"/>
                <w:szCs w:val="18"/>
              </w:rPr>
              <w:t xml:space="preserve">, </w:t>
            </w:r>
            <w:r w:rsidRPr="00CD70F7">
              <w:rPr>
                <w:rFonts w:cs="Calibri"/>
                <w:sz w:val="18"/>
                <w:szCs w:val="18"/>
              </w:rPr>
              <w:t>11</w:t>
            </w:r>
            <w:r w:rsidR="008D2955">
              <w:rPr>
                <w:rFonts w:cs="Calibri"/>
                <w:sz w:val="18"/>
                <w:szCs w:val="18"/>
              </w:rPr>
              <w:t xml:space="preserve">, </w:t>
            </w:r>
            <w:r w:rsidRPr="00CD70F7">
              <w:rPr>
                <w:rFonts w:cs="Calibri"/>
                <w:sz w:val="18"/>
                <w:szCs w:val="18"/>
              </w:rPr>
              <w:t>12</w:t>
            </w:r>
            <w:r w:rsidR="00E906EC">
              <w:rPr>
                <w:rFonts w:cs="Calibri"/>
                <w:sz w:val="18"/>
                <w:szCs w:val="18"/>
              </w:rPr>
              <w:t xml:space="preserve">, </w:t>
            </w:r>
            <w:r w:rsidRPr="00E906EC">
              <w:rPr>
                <w:rFonts w:cs="Calibri"/>
                <w:sz w:val="18"/>
                <w:szCs w:val="18"/>
              </w:rPr>
              <w:t>13</w:t>
            </w:r>
            <w:r w:rsidR="00E906EC">
              <w:rPr>
                <w:rFonts w:cs="Calibri"/>
                <w:sz w:val="18"/>
                <w:szCs w:val="18"/>
              </w:rPr>
              <w:t xml:space="preserve">*, </w:t>
            </w:r>
            <w:r w:rsidRPr="00CD70F7">
              <w:rPr>
                <w:rFonts w:cs="Calibri"/>
                <w:sz w:val="18"/>
                <w:szCs w:val="18"/>
              </w:rPr>
              <w:t>40</w:t>
            </w:r>
            <w:r w:rsidR="00E906EC">
              <w:rPr>
                <w:rFonts w:cs="Calibri"/>
                <w:sz w:val="18"/>
                <w:szCs w:val="18"/>
              </w:rPr>
              <w:t>-52, 53*, 54*</w:t>
            </w:r>
          </w:p>
          <w:p w14:paraId="1C299690" w14:textId="7E23352C" w:rsidR="31478781" w:rsidRPr="42431986" w:rsidRDefault="00E906EC" w:rsidP="42431986">
            <w:pPr>
              <w:rPr>
                <w:rFonts w:cs="Calibri"/>
                <w:sz w:val="18"/>
                <w:szCs w:val="18"/>
              </w:rPr>
            </w:pPr>
            <w:r w:rsidRPr="00E906EC">
              <w:rPr>
                <w:rFonts w:eastAsia="Times" w:cs="Arial"/>
                <w:color w:val="000000"/>
                <w:sz w:val="14"/>
                <w:szCs w:val="14"/>
              </w:rPr>
              <w:t>*Free text employee experience survey responses are not being collected by the Commission</w:t>
            </w:r>
            <w:r>
              <w:rPr>
                <w:rFonts w:eastAsia="Times" w:cs="Arial"/>
                <w:color w:val="000000"/>
                <w:sz w:val="14"/>
                <w:szCs w:val="14"/>
              </w:rPr>
              <w:t xml:space="preserve">. </w:t>
            </w:r>
          </w:p>
        </w:tc>
      </w:tr>
    </w:tbl>
    <w:p w14:paraId="337D45A1" w14:textId="77777777" w:rsidR="00A45049" w:rsidRDefault="00A45049" w:rsidP="00C9404A">
      <w:pPr>
        <w:spacing w:line="300" w:lineRule="atLeast"/>
        <w:rPr>
          <w:rFonts w:eastAsia="Times" w:cs="Arial"/>
          <w:color w:val="000000"/>
        </w:rPr>
      </w:pPr>
    </w:p>
    <w:p w14:paraId="5D4FF797" w14:textId="77777777" w:rsidR="00753E7F" w:rsidRDefault="00753E7F" w:rsidP="00C9404A">
      <w:pPr>
        <w:spacing w:line="300" w:lineRule="atLeast"/>
        <w:rPr>
          <w:rFonts w:eastAsia="Times" w:cs="Arial"/>
          <w:color w:val="000000"/>
        </w:rPr>
      </w:pPr>
    </w:p>
    <w:p w14:paraId="07B213DE" w14:textId="77777777" w:rsidR="0011458F" w:rsidRDefault="0011458F">
      <w:pPr>
        <w:rPr>
          <w:rFonts w:eastAsiaTheme="majorEastAsia" w:cstheme="majorBidi"/>
          <w:color w:val="5C308D"/>
          <w:sz w:val="48"/>
          <w:szCs w:val="32"/>
        </w:rPr>
      </w:pPr>
      <w:bookmarkStart w:id="17" w:name="_Appendix_1:_Definitions"/>
      <w:bookmarkEnd w:id="17"/>
      <w:r>
        <w:br w:type="page"/>
      </w:r>
    </w:p>
    <w:p w14:paraId="09CD6B92" w14:textId="42490E30" w:rsidR="00A13EC5" w:rsidRPr="00A67293" w:rsidRDefault="00086C5D" w:rsidP="00C9404A">
      <w:pPr>
        <w:pStyle w:val="Heading1"/>
      </w:pPr>
      <w:bookmarkStart w:id="18" w:name="_Toc77249895"/>
      <w:r>
        <w:t xml:space="preserve">Appendix 1: </w:t>
      </w:r>
      <w:r w:rsidR="00492E7F">
        <w:t>Definitions and instructions</w:t>
      </w:r>
      <w:bookmarkEnd w:id="18"/>
      <w:r w:rsidR="00492E7F" w:rsidRPr="00A67293">
        <w:t xml:space="preserve"> </w:t>
      </w:r>
    </w:p>
    <w:p w14:paraId="43B34BF0" w14:textId="2F83A322" w:rsidR="00050748" w:rsidRPr="004B51F1" w:rsidRDefault="00050748" w:rsidP="00B16EC3">
      <w:pPr>
        <w:rPr>
          <w:b/>
          <w:bCs/>
        </w:rPr>
      </w:pPr>
      <w:r w:rsidRPr="004B51F1">
        <w:rPr>
          <w:b/>
          <w:bCs/>
        </w:rPr>
        <w:t>Overview</w:t>
      </w:r>
    </w:p>
    <w:p w14:paraId="1DF70A27" w14:textId="6B1E13F4" w:rsidR="00050748" w:rsidRPr="004B51F1" w:rsidRDefault="00050748" w:rsidP="00C9404A">
      <w:pPr>
        <w:pStyle w:val="DPCbody"/>
        <w:rPr>
          <w:rFonts w:ascii="VIC" w:hAnsi="VIC"/>
        </w:rPr>
      </w:pPr>
      <w:bookmarkStart w:id="19" w:name="_Hlk57044915"/>
      <w:r w:rsidRPr="00845162">
        <w:rPr>
          <w:rFonts w:ascii="VIC" w:hAnsi="VIC"/>
        </w:rPr>
        <w:t xml:space="preserve">This resource describes the data definitions to be applied when </w:t>
      </w:r>
      <w:r w:rsidR="001C5694" w:rsidRPr="004B51F1">
        <w:rPr>
          <w:rFonts w:ascii="VIC" w:hAnsi="VIC"/>
        </w:rPr>
        <w:t xml:space="preserve">doing a </w:t>
      </w:r>
      <w:r w:rsidRPr="004B51F1">
        <w:rPr>
          <w:rFonts w:ascii="VIC" w:hAnsi="VIC"/>
        </w:rPr>
        <w:t>workplace gender audit</w:t>
      </w:r>
      <w:r w:rsidR="001C5694" w:rsidRPr="004B51F1">
        <w:rPr>
          <w:rFonts w:ascii="VIC" w:hAnsi="VIC"/>
        </w:rPr>
        <w:t xml:space="preserve"> under the Gender Equality Act</w:t>
      </w:r>
      <w:r w:rsidRPr="004B51F1">
        <w:rPr>
          <w:rFonts w:ascii="VIC" w:hAnsi="VIC"/>
        </w:rPr>
        <w:t xml:space="preserve">. </w:t>
      </w:r>
    </w:p>
    <w:bookmarkEnd w:id="19"/>
    <w:p w14:paraId="33EF5D38" w14:textId="7871750A" w:rsidR="00050748" w:rsidRPr="004B51F1" w:rsidRDefault="00050748" w:rsidP="00B16EC3">
      <w:pPr>
        <w:rPr>
          <w:b/>
          <w:bCs/>
        </w:rPr>
      </w:pPr>
      <w:r w:rsidRPr="004B51F1">
        <w:rPr>
          <w:b/>
          <w:bCs/>
        </w:rPr>
        <w:t>Definitions</w:t>
      </w:r>
    </w:p>
    <w:p w14:paraId="51AE3158" w14:textId="77777777" w:rsidR="00050748" w:rsidRPr="00A67293" w:rsidRDefault="00050748" w:rsidP="00C9404A">
      <w:pPr>
        <w:pStyle w:val="DPCbodyafterbullets"/>
        <w:rPr>
          <w:rFonts w:ascii="VIC" w:hAnsi="VIC"/>
          <w:b/>
        </w:rPr>
      </w:pPr>
      <w:r w:rsidRPr="00A67293">
        <w:rPr>
          <w:rFonts w:ascii="VIC" w:hAnsi="VIC"/>
          <w:b/>
        </w:rPr>
        <w:t>ANZSCO codes</w:t>
      </w:r>
    </w:p>
    <w:p w14:paraId="22A7EC3D" w14:textId="120886A4" w:rsidR="00050748" w:rsidRPr="00A67293" w:rsidRDefault="00050748" w:rsidP="00C9404A">
      <w:pPr>
        <w:pStyle w:val="DPCbodyafterbullets"/>
        <w:rPr>
          <w:rFonts w:ascii="VIC" w:hAnsi="VIC"/>
        </w:rPr>
      </w:pPr>
      <w:r w:rsidRPr="00A67293">
        <w:rPr>
          <w:rFonts w:ascii="VIC" w:hAnsi="VIC"/>
        </w:rPr>
        <w:t xml:space="preserve">ANZSCO codes are drawn from the </w:t>
      </w:r>
      <w:r w:rsidRPr="00A67293">
        <w:rPr>
          <w:rFonts w:ascii="VIC" w:hAnsi="VIC"/>
          <w:i/>
        </w:rPr>
        <w:t>Australian and New Zealand Standard Classification of Occupations (ANZSCO) First Edition Revision 1.</w:t>
      </w:r>
      <w:r w:rsidR="00A64048">
        <w:rPr>
          <w:rFonts w:ascii="VIC" w:hAnsi="VIC"/>
          <w:i/>
        </w:rPr>
        <w:t>3</w:t>
      </w:r>
      <w:r w:rsidRPr="00A67293">
        <w:rPr>
          <w:rFonts w:ascii="VIC" w:hAnsi="VIC"/>
        </w:rPr>
        <w:t xml:space="preserve">. </w:t>
      </w:r>
    </w:p>
    <w:p w14:paraId="1F1EAFE3" w14:textId="4D3765AC" w:rsidR="00050748" w:rsidRDefault="00050748" w:rsidP="00C9404A">
      <w:pPr>
        <w:pStyle w:val="DPCbodyafterbullets"/>
        <w:rPr>
          <w:rFonts w:ascii="VIC" w:hAnsi="VIC"/>
        </w:rPr>
      </w:pPr>
      <w:r w:rsidRPr="00A67293">
        <w:rPr>
          <w:rFonts w:ascii="VIC" w:hAnsi="VIC"/>
        </w:rPr>
        <w:t>Guidance</w:t>
      </w:r>
      <w:r w:rsidR="00F72A6D">
        <w:rPr>
          <w:rFonts w:ascii="VIC" w:hAnsi="VIC"/>
        </w:rPr>
        <w:t xml:space="preserve"> on ANZ</w:t>
      </w:r>
      <w:r w:rsidR="000B11C4">
        <w:rPr>
          <w:rFonts w:ascii="VIC" w:hAnsi="VIC"/>
        </w:rPr>
        <w:t>S</w:t>
      </w:r>
      <w:r w:rsidR="00F72A6D">
        <w:rPr>
          <w:rFonts w:ascii="VIC" w:hAnsi="VIC"/>
        </w:rPr>
        <w:t>CO coding for public sector entities</w:t>
      </w:r>
      <w:r w:rsidRPr="00A67293">
        <w:rPr>
          <w:rFonts w:ascii="VIC" w:hAnsi="VIC"/>
        </w:rPr>
        <w:t xml:space="preserve"> is available through the </w:t>
      </w:r>
      <w:r w:rsidRPr="00A67293">
        <w:rPr>
          <w:rFonts w:ascii="VIC" w:hAnsi="VIC"/>
          <w:i/>
        </w:rPr>
        <w:t xml:space="preserve">ANZSCO </w:t>
      </w:r>
      <w:r w:rsidR="00DA5538" w:rsidRPr="00A67293">
        <w:rPr>
          <w:rFonts w:ascii="VIC" w:hAnsi="VIC"/>
          <w:i/>
        </w:rPr>
        <w:t>Coding G</w:t>
      </w:r>
      <w:r w:rsidRPr="00A67293">
        <w:rPr>
          <w:rFonts w:ascii="VIC" w:hAnsi="VIC"/>
          <w:i/>
        </w:rPr>
        <w:t>uid</w:t>
      </w:r>
      <w:r w:rsidR="00DA5538" w:rsidRPr="00A67293">
        <w:rPr>
          <w:rFonts w:ascii="VIC" w:hAnsi="VIC"/>
          <w:i/>
        </w:rPr>
        <w:t>es</w:t>
      </w:r>
      <w:r w:rsidR="003E3084">
        <w:rPr>
          <w:rFonts w:ascii="VIC" w:hAnsi="VIC"/>
          <w:iCs/>
        </w:rPr>
        <w:t xml:space="preserve"> on </w:t>
      </w:r>
      <w:hyperlink r:id="rId24" w:history="1">
        <w:r w:rsidR="003E3084" w:rsidRPr="003E3084">
          <w:rPr>
            <w:rStyle w:val="Hyperlink"/>
            <w:rFonts w:ascii="VIC" w:hAnsi="VIC"/>
            <w:iCs/>
          </w:rPr>
          <w:t>the VPSC website</w:t>
        </w:r>
      </w:hyperlink>
      <w:r w:rsidR="003E3084">
        <w:rPr>
          <w:rFonts w:ascii="VIC" w:hAnsi="VIC"/>
          <w:i/>
        </w:rPr>
        <w:t xml:space="preserve">. </w:t>
      </w:r>
      <w:r w:rsidR="000B11C4">
        <w:rPr>
          <w:rFonts w:ascii="VIC" w:hAnsi="VIC"/>
        </w:rPr>
        <w:t xml:space="preserve">The Commission </w:t>
      </w:r>
      <w:r w:rsidR="003E3084">
        <w:rPr>
          <w:rFonts w:ascii="VIC" w:hAnsi="VIC"/>
        </w:rPr>
        <w:t xml:space="preserve">has developed </w:t>
      </w:r>
      <w:r w:rsidR="000B11C4">
        <w:rPr>
          <w:rFonts w:ascii="VIC" w:hAnsi="VIC"/>
        </w:rPr>
        <w:t xml:space="preserve">specific guidance for local councils on ANZSCO coding </w:t>
      </w:r>
      <w:r w:rsidR="003E3084">
        <w:rPr>
          <w:rFonts w:ascii="VIC" w:hAnsi="VIC"/>
        </w:rPr>
        <w:t xml:space="preserve">which is available on </w:t>
      </w:r>
      <w:hyperlink r:id="rId25" w:anchor="anzsco-guidance-for-local-councils" w:history="1">
        <w:r w:rsidR="003E3084" w:rsidRPr="003E3084">
          <w:rPr>
            <w:rStyle w:val="Hyperlink"/>
            <w:rFonts w:ascii="VIC" w:hAnsi="VIC"/>
          </w:rPr>
          <w:t>our website</w:t>
        </w:r>
      </w:hyperlink>
      <w:r w:rsidR="000B11C4">
        <w:rPr>
          <w:rFonts w:ascii="VIC" w:hAnsi="VIC"/>
        </w:rPr>
        <w:t>.</w:t>
      </w:r>
    </w:p>
    <w:p w14:paraId="2B0DF01E" w14:textId="2DB4750E" w:rsidR="00170C6F" w:rsidRDefault="00D9331D" w:rsidP="00C9404A">
      <w:pPr>
        <w:pStyle w:val="DPCbodyafterbullets"/>
        <w:rPr>
          <w:rFonts w:ascii="VIC" w:hAnsi="VIC"/>
        </w:rPr>
      </w:pPr>
      <w:r>
        <w:rPr>
          <w:rFonts w:ascii="VIC" w:hAnsi="VIC"/>
        </w:rPr>
        <w:t>ANZSCO codes should be provided as 6</w:t>
      </w:r>
      <w:r w:rsidR="004A702D">
        <w:rPr>
          <w:rFonts w:ascii="VIC" w:hAnsi="VIC"/>
        </w:rPr>
        <w:t>-</w:t>
      </w:r>
      <w:r>
        <w:rPr>
          <w:rFonts w:ascii="VIC" w:hAnsi="VIC"/>
        </w:rPr>
        <w:t>digit codes where possible</w:t>
      </w:r>
      <w:r w:rsidR="00170C6F">
        <w:rPr>
          <w:rFonts w:ascii="VIC" w:hAnsi="VIC"/>
        </w:rPr>
        <w:t>;</w:t>
      </w:r>
      <w:r>
        <w:rPr>
          <w:rFonts w:ascii="VIC" w:hAnsi="VIC"/>
        </w:rPr>
        <w:t xml:space="preserve"> however</w:t>
      </w:r>
      <w:r w:rsidR="00170C6F">
        <w:rPr>
          <w:rFonts w:ascii="VIC" w:hAnsi="VIC"/>
        </w:rPr>
        <w:t>,</w:t>
      </w:r>
      <w:r>
        <w:rPr>
          <w:rFonts w:ascii="VIC" w:hAnsi="VIC"/>
        </w:rPr>
        <w:t xml:space="preserve"> the workforce reporting template will also accept 4</w:t>
      </w:r>
      <w:r w:rsidR="004A702D">
        <w:rPr>
          <w:rFonts w:ascii="VIC" w:hAnsi="VIC"/>
        </w:rPr>
        <w:t>-</w:t>
      </w:r>
      <w:r>
        <w:rPr>
          <w:rFonts w:ascii="VIC" w:hAnsi="VIC"/>
        </w:rPr>
        <w:t xml:space="preserve">digit codes. </w:t>
      </w:r>
      <w:r w:rsidR="00170C6F">
        <w:rPr>
          <w:rFonts w:ascii="VIC" w:hAnsi="VIC"/>
        </w:rPr>
        <w:t xml:space="preserve">The template will </w:t>
      </w:r>
      <w:r w:rsidR="004A702D">
        <w:rPr>
          <w:rFonts w:ascii="VIC" w:hAnsi="VIC"/>
        </w:rPr>
        <w:t>convert 4-digit ANZSCO codes (e.g. 1112 – General Managers) to the appropriate 6-digit equivalent (e.g. 111200 – General Managers, not further defined).</w:t>
      </w:r>
    </w:p>
    <w:p w14:paraId="06596397" w14:textId="3E4C1FAF" w:rsidR="00BD4053" w:rsidRDefault="00D9331D" w:rsidP="00C9404A">
      <w:pPr>
        <w:pStyle w:val="DPCbodyafterbullets"/>
        <w:rPr>
          <w:rFonts w:ascii="VIC" w:hAnsi="VIC"/>
        </w:rPr>
      </w:pPr>
      <w:r>
        <w:rPr>
          <w:rFonts w:ascii="VIC" w:hAnsi="VIC"/>
        </w:rPr>
        <w:t xml:space="preserve">Please ensure you </w:t>
      </w:r>
      <w:r w:rsidR="003D732E">
        <w:rPr>
          <w:rFonts w:ascii="VIC" w:hAnsi="VIC"/>
        </w:rPr>
        <w:t>click</w:t>
      </w:r>
      <w:r w:rsidR="002911A4">
        <w:rPr>
          <w:rFonts w:ascii="VIC" w:hAnsi="VIC"/>
        </w:rPr>
        <w:t xml:space="preserve"> the “</w:t>
      </w:r>
      <w:r w:rsidR="003D732E">
        <w:rPr>
          <w:rFonts w:ascii="VIC" w:hAnsi="VIC"/>
        </w:rPr>
        <w:t>Populate data measures</w:t>
      </w:r>
      <w:r w:rsidR="002911A4">
        <w:rPr>
          <w:rFonts w:ascii="VIC" w:hAnsi="VIC"/>
        </w:rPr>
        <w:t xml:space="preserve">” button to ensure your ANZSCO data is </w:t>
      </w:r>
      <w:r w:rsidR="00170C6F">
        <w:rPr>
          <w:rFonts w:ascii="VIC" w:hAnsi="VIC"/>
        </w:rPr>
        <w:t>processed</w:t>
      </w:r>
      <w:r w:rsidR="002911A4">
        <w:rPr>
          <w:rFonts w:ascii="VIC" w:hAnsi="VIC"/>
        </w:rPr>
        <w:t xml:space="preserve"> correctly. </w:t>
      </w:r>
    </w:p>
    <w:p w14:paraId="766BDF2D" w14:textId="56CEA046" w:rsidR="00BD4053" w:rsidRDefault="00BD4053" w:rsidP="00C9404A">
      <w:pPr>
        <w:pStyle w:val="DPCbodyafterbullets"/>
        <w:rPr>
          <w:rFonts w:ascii="VIC" w:hAnsi="VIC"/>
        </w:rPr>
      </w:pPr>
      <w:r>
        <w:rPr>
          <w:rFonts w:ascii="VIC" w:hAnsi="VIC"/>
        </w:rPr>
        <w:t xml:space="preserve">ANZSCO codes are a mandatory field in 2021. </w:t>
      </w:r>
      <w:r w:rsidR="00426DD4">
        <w:rPr>
          <w:rFonts w:ascii="VIC" w:hAnsi="VIC"/>
        </w:rPr>
        <w:t xml:space="preserve">If you are not able to map </w:t>
      </w:r>
      <w:r w:rsidR="00A81B89">
        <w:rPr>
          <w:rFonts w:ascii="VIC" w:hAnsi="VIC"/>
        </w:rPr>
        <w:t xml:space="preserve">certain employees to ANZSCO codes in 2021, please use the code 099888 (Response inadequately described). </w:t>
      </w:r>
    </w:p>
    <w:p w14:paraId="0594063A" w14:textId="42D86600" w:rsidR="00063F85" w:rsidRPr="00B26D9A" w:rsidRDefault="00063F85" w:rsidP="00C9404A">
      <w:pPr>
        <w:pStyle w:val="DPCbodyafterbullets"/>
        <w:rPr>
          <w:rFonts w:ascii="VIC" w:hAnsi="VIC"/>
          <w:b/>
          <w:bCs/>
        </w:rPr>
      </w:pPr>
      <w:r w:rsidRPr="00B26D9A">
        <w:rPr>
          <w:rFonts w:ascii="VIC" w:hAnsi="VIC"/>
          <w:b/>
          <w:bCs/>
        </w:rPr>
        <w:t>Career development</w:t>
      </w:r>
      <w:r w:rsidR="000F2FBF" w:rsidRPr="00B26D9A">
        <w:rPr>
          <w:rFonts w:ascii="VIC" w:hAnsi="VIC"/>
          <w:b/>
          <w:bCs/>
        </w:rPr>
        <w:t xml:space="preserve"> training </w:t>
      </w:r>
      <w:r w:rsidRPr="00B26D9A">
        <w:rPr>
          <w:rFonts w:ascii="VIC" w:hAnsi="VIC"/>
          <w:b/>
          <w:bCs/>
        </w:rPr>
        <w:t>opportunities</w:t>
      </w:r>
    </w:p>
    <w:p w14:paraId="1AD091C2" w14:textId="77777777" w:rsidR="003908BD" w:rsidRDefault="00DD257C" w:rsidP="00C9404A">
      <w:pPr>
        <w:pStyle w:val="DPCbodyafterbullets"/>
        <w:rPr>
          <w:rFonts w:ascii="VIC" w:hAnsi="VIC"/>
        </w:rPr>
      </w:pPr>
      <w:r w:rsidRPr="00B26D9A">
        <w:rPr>
          <w:rFonts w:ascii="VIC" w:hAnsi="VIC"/>
        </w:rPr>
        <w:t>Career development</w:t>
      </w:r>
      <w:r w:rsidR="000F2FBF" w:rsidRPr="00B26D9A">
        <w:rPr>
          <w:rFonts w:ascii="VIC" w:hAnsi="VIC"/>
        </w:rPr>
        <w:t xml:space="preserve"> training </w:t>
      </w:r>
      <w:r w:rsidRPr="00B26D9A">
        <w:rPr>
          <w:rFonts w:ascii="VIC" w:hAnsi="VIC"/>
        </w:rPr>
        <w:t>opportunities assist staff to progress their careers by building on their capacity and skills</w:t>
      </w:r>
      <w:r w:rsidR="000F2FBF" w:rsidRPr="00B26D9A">
        <w:rPr>
          <w:rFonts w:ascii="VIC" w:hAnsi="VIC"/>
        </w:rPr>
        <w:t xml:space="preserve"> through specific training</w:t>
      </w:r>
      <w:r w:rsidRPr="00B26D9A">
        <w:rPr>
          <w:rFonts w:ascii="VIC" w:hAnsi="VIC"/>
        </w:rPr>
        <w:t xml:space="preserve">. </w:t>
      </w:r>
      <w:r w:rsidR="00997356">
        <w:rPr>
          <w:rFonts w:ascii="VIC" w:hAnsi="VIC"/>
        </w:rPr>
        <w:t xml:space="preserve">This may include training opportunities that are specifically designed for preparing staff for career progression or promotion within your defined entity.  </w:t>
      </w:r>
    </w:p>
    <w:p w14:paraId="6260D979" w14:textId="02512D40" w:rsidR="00063F85" w:rsidRDefault="00B67E59" w:rsidP="00C9404A">
      <w:pPr>
        <w:pStyle w:val="DPCbodyafterbullets"/>
        <w:rPr>
          <w:rFonts w:ascii="VIC" w:hAnsi="VIC"/>
        </w:rPr>
      </w:pPr>
      <w:r w:rsidRPr="00B67E59">
        <w:rPr>
          <w:rFonts w:ascii="VIC" w:hAnsi="VIC"/>
        </w:rPr>
        <w:t>The Commission</w:t>
      </w:r>
      <w:r w:rsidR="003908BD">
        <w:rPr>
          <w:rFonts w:ascii="VIC" w:hAnsi="VIC"/>
        </w:rPr>
        <w:t xml:space="preserve"> recommends that defined </w:t>
      </w:r>
      <w:r w:rsidRPr="00B67E59">
        <w:rPr>
          <w:rFonts w:ascii="VIC" w:hAnsi="VIC"/>
        </w:rPr>
        <w:t xml:space="preserve">entities </w:t>
      </w:r>
      <w:r w:rsidR="003908BD">
        <w:rPr>
          <w:rFonts w:ascii="VIC" w:hAnsi="VIC"/>
        </w:rPr>
        <w:t>use</w:t>
      </w:r>
      <w:r w:rsidRPr="00B67E59">
        <w:rPr>
          <w:rFonts w:ascii="VIC" w:hAnsi="VIC"/>
        </w:rPr>
        <w:t xml:space="preserve"> their knowledge of their organisational context </w:t>
      </w:r>
      <w:r w:rsidR="003908BD">
        <w:rPr>
          <w:rFonts w:ascii="VIC" w:hAnsi="VIC"/>
        </w:rPr>
        <w:t xml:space="preserve">to determine </w:t>
      </w:r>
      <w:r w:rsidRPr="00B67E59">
        <w:rPr>
          <w:rFonts w:ascii="VIC" w:hAnsi="VIC"/>
        </w:rPr>
        <w:t xml:space="preserve">which learning and development opportunities are likely to lead to further career opportunities or promotions in the future. </w:t>
      </w:r>
      <w:r w:rsidR="00606F43">
        <w:rPr>
          <w:rFonts w:ascii="VIC" w:hAnsi="VIC"/>
        </w:rPr>
        <w:t>The Commission</w:t>
      </w:r>
      <w:r w:rsidRPr="00B67E59">
        <w:rPr>
          <w:rFonts w:ascii="VIC" w:hAnsi="VIC"/>
        </w:rPr>
        <w:t xml:space="preserve"> acknowledge</w:t>
      </w:r>
      <w:r w:rsidR="00606F43">
        <w:rPr>
          <w:rFonts w:ascii="VIC" w:hAnsi="VIC"/>
        </w:rPr>
        <w:t>s</w:t>
      </w:r>
      <w:r w:rsidRPr="00B67E59">
        <w:rPr>
          <w:rFonts w:ascii="VIC" w:hAnsi="VIC"/>
        </w:rPr>
        <w:t xml:space="preserve"> that in the first cycle of reporting there may be some inconsistency of reporting for some data measures including information around career development.  </w:t>
      </w:r>
    </w:p>
    <w:p w14:paraId="7F41AC90" w14:textId="096845A2" w:rsidR="003908BD" w:rsidRPr="00A67293" w:rsidRDefault="003908BD" w:rsidP="00C9404A">
      <w:pPr>
        <w:pStyle w:val="DPCbodyafterbullets"/>
        <w:rPr>
          <w:rFonts w:ascii="VIC" w:hAnsi="VIC"/>
        </w:rPr>
      </w:pPr>
      <w:r>
        <w:rPr>
          <w:rFonts w:ascii="VIC" w:hAnsi="VIC"/>
        </w:rPr>
        <w:t xml:space="preserve">Count </w:t>
      </w:r>
      <w:r w:rsidR="002668E2">
        <w:rPr>
          <w:rFonts w:ascii="VIC" w:hAnsi="VIC"/>
        </w:rPr>
        <w:t xml:space="preserve">each person only once </w:t>
      </w:r>
      <w:r w:rsidR="00BD4053">
        <w:rPr>
          <w:rFonts w:ascii="VIC" w:hAnsi="VIC"/>
        </w:rPr>
        <w:t xml:space="preserve">in your dataset </w:t>
      </w:r>
      <w:r w:rsidR="002668E2">
        <w:rPr>
          <w:rFonts w:ascii="VIC" w:hAnsi="VIC"/>
        </w:rPr>
        <w:t>for</w:t>
      </w:r>
      <w:r w:rsidR="00BD4053">
        <w:rPr>
          <w:rFonts w:ascii="VIC" w:hAnsi="VIC"/>
        </w:rPr>
        <w:t xml:space="preserve"> any number of</w:t>
      </w:r>
      <w:r w:rsidR="002668E2">
        <w:rPr>
          <w:rFonts w:ascii="VIC" w:hAnsi="VIC"/>
        </w:rPr>
        <w:t xml:space="preserve"> career development related measures </w:t>
      </w:r>
      <w:r w:rsidR="00BD4053">
        <w:rPr>
          <w:rFonts w:ascii="VIC" w:hAnsi="VIC"/>
        </w:rPr>
        <w:t xml:space="preserve">they have completed during the reporting period </w:t>
      </w:r>
      <w:r w:rsidR="002668E2">
        <w:rPr>
          <w:rFonts w:ascii="VIC" w:hAnsi="VIC"/>
        </w:rPr>
        <w:t>(</w:t>
      </w:r>
      <w:r w:rsidR="00D965DD">
        <w:rPr>
          <w:rFonts w:ascii="VIC" w:hAnsi="VIC"/>
        </w:rPr>
        <w:t>e</w:t>
      </w:r>
      <w:r w:rsidR="004A702D">
        <w:rPr>
          <w:rFonts w:ascii="VIC" w:hAnsi="VIC"/>
        </w:rPr>
        <w:t>.</w:t>
      </w:r>
      <w:r w:rsidR="002668E2">
        <w:rPr>
          <w:rFonts w:ascii="VIC" w:hAnsi="VIC"/>
        </w:rPr>
        <w:t xml:space="preserve">g. </w:t>
      </w:r>
      <w:r w:rsidR="004A702D">
        <w:rPr>
          <w:rFonts w:ascii="VIC" w:hAnsi="VIC"/>
        </w:rPr>
        <w:t>i</w:t>
      </w:r>
      <w:r w:rsidR="002668E2">
        <w:rPr>
          <w:rFonts w:ascii="VIC" w:hAnsi="VIC"/>
        </w:rPr>
        <w:t xml:space="preserve">f one person has </w:t>
      </w:r>
      <w:r w:rsidR="00C63F19">
        <w:rPr>
          <w:rFonts w:ascii="VIC" w:hAnsi="VIC"/>
        </w:rPr>
        <w:t>complete</w:t>
      </w:r>
      <w:r w:rsidR="004A702D">
        <w:rPr>
          <w:rFonts w:ascii="VIC" w:hAnsi="VIC"/>
        </w:rPr>
        <w:t>d</w:t>
      </w:r>
      <w:r w:rsidR="00C63F19">
        <w:rPr>
          <w:rFonts w:ascii="VIC" w:hAnsi="VIC"/>
        </w:rPr>
        <w:t xml:space="preserve"> two leadership training courses in the reporting period, </w:t>
      </w:r>
      <w:r w:rsidR="001A7079">
        <w:rPr>
          <w:rFonts w:ascii="VIC" w:hAnsi="VIC"/>
        </w:rPr>
        <w:t>include</w:t>
      </w:r>
      <w:r w:rsidR="00C63F19">
        <w:rPr>
          <w:rFonts w:ascii="VIC" w:hAnsi="VIC"/>
        </w:rPr>
        <w:t xml:space="preserve"> them only once)</w:t>
      </w:r>
      <w:r w:rsidR="00D965DD">
        <w:rPr>
          <w:rFonts w:ascii="VIC" w:hAnsi="VIC"/>
        </w:rPr>
        <w:t>.</w:t>
      </w:r>
    </w:p>
    <w:p w14:paraId="3D143A9F" w14:textId="6FAC1EBD" w:rsidR="001958CC" w:rsidRPr="00A67293" w:rsidRDefault="001958CC" w:rsidP="00C9404A">
      <w:pPr>
        <w:pStyle w:val="DPCbodyafterbullets"/>
        <w:rPr>
          <w:rFonts w:ascii="VIC" w:hAnsi="VIC"/>
          <w:b/>
        </w:rPr>
      </w:pPr>
      <w:r w:rsidRPr="00A67293">
        <w:rPr>
          <w:rFonts w:ascii="VIC" w:hAnsi="VIC"/>
          <w:b/>
        </w:rPr>
        <w:t>Classification</w:t>
      </w:r>
      <w:r w:rsidR="001F3350" w:rsidRPr="00A67293">
        <w:rPr>
          <w:rFonts w:ascii="VIC" w:hAnsi="VIC"/>
          <w:b/>
        </w:rPr>
        <w:t xml:space="preserve"> (level)</w:t>
      </w:r>
    </w:p>
    <w:p w14:paraId="0733679E" w14:textId="6ECB1CF7" w:rsidR="00672348" w:rsidRDefault="00C21CA5" w:rsidP="00C9404A">
      <w:pPr>
        <w:pStyle w:val="DPCbodyafterbullets"/>
        <w:rPr>
          <w:rFonts w:ascii="VIC" w:hAnsi="VIC"/>
          <w:bCs/>
        </w:rPr>
      </w:pPr>
      <w:r>
        <w:rPr>
          <w:rFonts w:ascii="VIC" w:hAnsi="VIC"/>
          <w:bCs/>
        </w:rPr>
        <w:t>The classification is the</w:t>
      </w:r>
      <w:r w:rsidR="006304DD" w:rsidRPr="00A67293">
        <w:rPr>
          <w:rFonts w:ascii="VIC" w:hAnsi="VIC"/>
          <w:bCs/>
        </w:rPr>
        <w:t xml:space="preserve"> grade or level </w:t>
      </w:r>
      <w:r>
        <w:rPr>
          <w:rFonts w:ascii="VIC" w:hAnsi="VIC"/>
          <w:bCs/>
        </w:rPr>
        <w:t xml:space="preserve">of the employee within </w:t>
      </w:r>
      <w:r w:rsidR="006304DD" w:rsidRPr="00A67293">
        <w:rPr>
          <w:rFonts w:ascii="VIC" w:hAnsi="VIC"/>
          <w:bCs/>
        </w:rPr>
        <w:t xml:space="preserve">the </w:t>
      </w:r>
      <w:r w:rsidR="00E62844">
        <w:rPr>
          <w:rFonts w:ascii="VIC" w:hAnsi="VIC"/>
          <w:bCs/>
        </w:rPr>
        <w:t>defined entity</w:t>
      </w:r>
      <w:r w:rsidR="006304DD" w:rsidRPr="00A67293">
        <w:rPr>
          <w:rFonts w:ascii="VIC" w:hAnsi="VIC"/>
          <w:bCs/>
        </w:rPr>
        <w:t>.</w:t>
      </w:r>
      <w:r w:rsidR="00BA6AD7">
        <w:rPr>
          <w:rFonts w:ascii="VIC" w:hAnsi="VIC"/>
          <w:bCs/>
        </w:rPr>
        <w:t xml:space="preserve"> For the purposes of this reporting, classification should be separated by reporting levels from the </w:t>
      </w:r>
      <w:r w:rsidR="0082646D">
        <w:rPr>
          <w:rFonts w:ascii="VIC" w:hAnsi="VIC"/>
          <w:bCs/>
        </w:rPr>
        <w:t xml:space="preserve">most senior level in your </w:t>
      </w:r>
      <w:r w:rsidR="00E62844">
        <w:rPr>
          <w:rFonts w:ascii="VIC" w:hAnsi="VIC"/>
          <w:bCs/>
        </w:rPr>
        <w:t>defined entity</w:t>
      </w:r>
      <w:r w:rsidR="0082646D">
        <w:rPr>
          <w:rFonts w:ascii="VIC" w:hAnsi="VIC"/>
          <w:bCs/>
        </w:rPr>
        <w:t xml:space="preserve">, for example </w:t>
      </w:r>
      <w:r w:rsidR="00BA6AD7">
        <w:rPr>
          <w:rFonts w:ascii="VIC" w:hAnsi="VIC"/>
          <w:bCs/>
        </w:rPr>
        <w:t>CEO</w:t>
      </w:r>
      <w:r w:rsidR="0082646D">
        <w:rPr>
          <w:rFonts w:ascii="VIC" w:hAnsi="VIC"/>
          <w:bCs/>
        </w:rPr>
        <w:t xml:space="preserve"> or equivalent</w:t>
      </w:r>
      <w:r w:rsidR="00BA6AD7">
        <w:rPr>
          <w:rFonts w:ascii="VIC" w:hAnsi="VIC"/>
          <w:bCs/>
        </w:rPr>
        <w:t xml:space="preserve">. This means that someone who reports directly to the CEO is classified as level -1, someone who is two reporting levels from the CEO is level -2 and so on. </w:t>
      </w:r>
    </w:p>
    <w:p w14:paraId="7D551939" w14:textId="01232945" w:rsidR="00F84AEA" w:rsidRDefault="00F11ED9" w:rsidP="00C9404A">
      <w:pPr>
        <w:pStyle w:val="DPCbodyafterbullets"/>
        <w:rPr>
          <w:rFonts w:ascii="VIC" w:hAnsi="VIC"/>
          <w:bCs/>
        </w:rPr>
      </w:pPr>
      <w:r>
        <w:rPr>
          <w:rFonts w:ascii="VIC" w:hAnsi="VIC"/>
          <w:bCs/>
        </w:rPr>
        <w:t>If your defined entity has an existing Ente</w:t>
      </w:r>
      <w:r w:rsidR="007871DC">
        <w:rPr>
          <w:rFonts w:ascii="VIC" w:hAnsi="VIC"/>
          <w:bCs/>
        </w:rPr>
        <w:t>r</w:t>
      </w:r>
      <w:r>
        <w:rPr>
          <w:rFonts w:ascii="VIC" w:hAnsi="VIC"/>
          <w:bCs/>
        </w:rPr>
        <w:t xml:space="preserve">prise Bargaining Agreement which incorporates a classification structure which sets out levels of the </w:t>
      </w:r>
      <w:r w:rsidR="00E62844">
        <w:rPr>
          <w:rFonts w:ascii="VIC" w:hAnsi="VIC"/>
          <w:bCs/>
        </w:rPr>
        <w:t>defined entity</w:t>
      </w:r>
      <w:r>
        <w:rPr>
          <w:rFonts w:ascii="VIC" w:hAnsi="VIC"/>
          <w:bCs/>
        </w:rPr>
        <w:t xml:space="preserve">, </w:t>
      </w:r>
      <w:r w:rsidR="00C36F82">
        <w:rPr>
          <w:rFonts w:ascii="VIC" w:hAnsi="VIC"/>
          <w:bCs/>
        </w:rPr>
        <w:t>it may be appropriate to use</w:t>
      </w:r>
      <w:r>
        <w:rPr>
          <w:rFonts w:ascii="VIC" w:hAnsi="VIC"/>
          <w:bCs/>
        </w:rPr>
        <w:t xml:space="preserve"> </w:t>
      </w:r>
      <w:r w:rsidR="007871DC">
        <w:rPr>
          <w:rFonts w:ascii="VIC" w:hAnsi="VIC"/>
          <w:bCs/>
        </w:rPr>
        <w:t xml:space="preserve">the existing classification structure </w:t>
      </w:r>
      <w:r>
        <w:rPr>
          <w:rFonts w:ascii="VIC" w:hAnsi="VIC"/>
          <w:bCs/>
        </w:rPr>
        <w:t>as a basis for your reporting levels</w:t>
      </w:r>
      <w:r w:rsidR="007871DC">
        <w:rPr>
          <w:rFonts w:ascii="VIC" w:hAnsi="VIC"/>
          <w:bCs/>
        </w:rPr>
        <w:t xml:space="preserve"> to CEO, to avoid duplicative work</w:t>
      </w:r>
      <w:r>
        <w:rPr>
          <w:rFonts w:ascii="VIC" w:hAnsi="VIC"/>
          <w:bCs/>
        </w:rPr>
        <w:t xml:space="preserve">. </w:t>
      </w:r>
    </w:p>
    <w:p w14:paraId="67BECFD9" w14:textId="4651E078" w:rsidR="00C36F82" w:rsidRPr="00BD4053" w:rsidRDefault="00C36F82" w:rsidP="00E16769">
      <w:pPr>
        <w:rPr>
          <w:bCs/>
        </w:rPr>
      </w:pPr>
      <w:r w:rsidRPr="00C36F82">
        <w:rPr>
          <w:rFonts w:eastAsia="Times" w:cs="Arial"/>
          <w:bCs/>
          <w:color w:val="000000" w:themeColor="text1"/>
        </w:rPr>
        <w:t xml:space="preserve">The </w:t>
      </w:r>
      <w:r w:rsidR="004A702D">
        <w:rPr>
          <w:rFonts w:eastAsia="Times" w:cs="Arial"/>
          <w:bCs/>
          <w:color w:val="000000" w:themeColor="text1"/>
        </w:rPr>
        <w:t>classification</w:t>
      </w:r>
      <w:r w:rsidRPr="00C36F82">
        <w:rPr>
          <w:rFonts w:eastAsia="Times" w:cs="Arial"/>
          <w:bCs/>
          <w:color w:val="000000" w:themeColor="text1"/>
        </w:rPr>
        <w:t xml:space="preserve"> framework should be applied as appropriate to your organisation, which may be a combination of seniority, level of responsibility, reporting lines, and other factors. Your defined entity may determine it</w:t>
      </w:r>
      <w:r w:rsidR="004A702D">
        <w:rPr>
          <w:rFonts w:eastAsia="Times" w:cs="Arial"/>
          <w:bCs/>
          <w:color w:val="000000" w:themeColor="text1"/>
        </w:rPr>
        <w:t xml:space="preserve"> i</w:t>
      </w:r>
      <w:r w:rsidRPr="00C36F82">
        <w:rPr>
          <w:rFonts w:eastAsia="Times" w:cs="Arial"/>
          <w:bCs/>
          <w:color w:val="000000" w:themeColor="text1"/>
        </w:rPr>
        <w:t>s more appropriate to reclassify employees at a different level to CEO due to their placement in the organisational structure and nature of the work they perform. This means you don’t have to work backwards from the CEO in a linear fashion for all parts of the organisation</w:t>
      </w:r>
      <w:r w:rsidR="00A17A49">
        <w:rPr>
          <w:rFonts w:eastAsia="Times" w:cs="Arial"/>
          <w:bCs/>
          <w:color w:val="000000" w:themeColor="text1"/>
        </w:rPr>
        <w:t xml:space="preserve"> and </w:t>
      </w:r>
      <w:r w:rsidRPr="00C36F82">
        <w:rPr>
          <w:rFonts w:eastAsia="Times" w:cs="Arial"/>
          <w:bCs/>
          <w:color w:val="000000" w:themeColor="text1"/>
        </w:rPr>
        <w:t xml:space="preserve">occupation types, and may skip certain levels if it is more appropriate for certain employees. </w:t>
      </w:r>
    </w:p>
    <w:p w14:paraId="684E23D1" w14:textId="45488E29" w:rsidR="00922A94" w:rsidRDefault="00922A94" w:rsidP="00C9404A">
      <w:pPr>
        <w:pStyle w:val="DPCbodyafterbullets"/>
        <w:rPr>
          <w:rFonts w:ascii="VIC" w:hAnsi="VIC"/>
          <w:b/>
          <w:color w:val="auto"/>
        </w:rPr>
      </w:pPr>
      <w:r>
        <w:rPr>
          <w:rFonts w:ascii="VIC" w:hAnsi="VIC"/>
          <w:b/>
          <w:color w:val="auto"/>
        </w:rPr>
        <w:t>Complaint</w:t>
      </w:r>
      <w:r w:rsidR="00FF6579">
        <w:rPr>
          <w:rFonts w:ascii="VIC" w:hAnsi="VIC"/>
          <w:b/>
          <w:color w:val="auto"/>
        </w:rPr>
        <w:t>/Complainant</w:t>
      </w:r>
      <w:r>
        <w:rPr>
          <w:rFonts w:ascii="VIC" w:hAnsi="VIC"/>
          <w:b/>
          <w:color w:val="auto"/>
        </w:rPr>
        <w:t xml:space="preserve"> </w:t>
      </w:r>
      <w:r w:rsidR="00A71704">
        <w:rPr>
          <w:rFonts w:ascii="VIC" w:hAnsi="VIC"/>
          <w:b/>
          <w:color w:val="auto"/>
        </w:rPr>
        <w:t xml:space="preserve">(Sexual </w:t>
      </w:r>
      <w:r w:rsidR="000D2E6F">
        <w:rPr>
          <w:rFonts w:ascii="VIC" w:hAnsi="VIC"/>
          <w:b/>
          <w:color w:val="auto"/>
        </w:rPr>
        <w:t>h</w:t>
      </w:r>
      <w:r w:rsidR="00A71704">
        <w:rPr>
          <w:rFonts w:ascii="VIC" w:hAnsi="VIC"/>
          <w:b/>
          <w:color w:val="auto"/>
        </w:rPr>
        <w:t>arassment)</w:t>
      </w:r>
    </w:p>
    <w:p w14:paraId="193E9676" w14:textId="009864A7" w:rsidR="00A654BC" w:rsidRPr="00A654BC" w:rsidRDefault="00A654BC" w:rsidP="00A654BC">
      <w:pPr>
        <w:pStyle w:val="DPCbodyafterbullets"/>
        <w:rPr>
          <w:rFonts w:ascii="VIC" w:hAnsi="VIC"/>
          <w:bCs/>
          <w:color w:val="auto"/>
        </w:rPr>
      </w:pPr>
      <w:r w:rsidRPr="00A654BC">
        <w:rPr>
          <w:rFonts w:ascii="VIC" w:hAnsi="VIC"/>
          <w:bCs/>
          <w:color w:val="auto"/>
        </w:rPr>
        <w:t>A complainant is an employee</w:t>
      </w:r>
      <w:r w:rsidR="00F2733A">
        <w:rPr>
          <w:rFonts w:ascii="VIC" w:hAnsi="VIC"/>
          <w:bCs/>
          <w:color w:val="auto"/>
        </w:rPr>
        <w:t>, member of the governing body,</w:t>
      </w:r>
      <w:r w:rsidRPr="00A654BC">
        <w:rPr>
          <w:rFonts w:ascii="VIC" w:hAnsi="VIC"/>
          <w:bCs/>
          <w:color w:val="auto"/>
        </w:rPr>
        <w:t xml:space="preserve"> or member of the public who makes a formal complaint of sexual harassment in a workplace or work-related setting. The complaint may be made internally with an employer or with an external agency</w:t>
      </w:r>
      <w:r w:rsidR="0030540A">
        <w:rPr>
          <w:rFonts w:ascii="VIC" w:hAnsi="VIC"/>
          <w:bCs/>
          <w:color w:val="auto"/>
        </w:rPr>
        <w:t>.</w:t>
      </w:r>
      <w:r w:rsidR="00025CCD">
        <w:rPr>
          <w:rStyle w:val="FootnoteReference"/>
          <w:rFonts w:ascii="VIC" w:hAnsi="VIC"/>
          <w:bCs/>
          <w:color w:val="auto"/>
        </w:rPr>
        <w:footnoteReference w:id="14"/>
      </w:r>
      <w:r w:rsidR="008B7A94">
        <w:rPr>
          <w:rFonts w:ascii="VIC" w:hAnsi="VIC"/>
          <w:bCs/>
          <w:color w:val="auto"/>
        </w:rPr>
        <w:t xml:space="preserve"> </w:t>
      </w:r>
      <w:r w:rsidRPr="00A654BC">
        <w:rPr>
          <w:rFonts w:ascii="VIC" w:hAnsi="VIC"/>
          <w:bCs/>
          <w:color w:val="auto"/>
        </w:rPr>
        <w:t>The complaint must have arisen in your workplace or as part of external workplace activities. Refer to the Victorian Equal Opportunity and Human Rights Commission Guideline ‘</w:t>
      </w:r>
      <w:hyperlink r:id="rId26" w:history="1">
        <w:r w:rsidRPr="00407EE1">
          <w:rPr>
            <w:rStyle w:val="Hyperlink"/>
            <w:rFonts w:ascii="VIC" w:hAnsi="VIC"/>
            <w:bCs/>
          </w:rPr>
          <w:t>Preventing and Responding to Workplace Sexual Harassment</w:t>
        </w:r>
      </w:hyperlink>
      <w:r w:rsidR="004A702D">
        <w:rPr>
          <w:rFonts w:ascii="VIC" w:hAnsi="VIC"/>
          <w:bCs/>
          <w:color w:val="auto"/>
        </w:rPr>
        <w:t>’</w:t>
      </w:r>
      <w:r w:rsidRPr="00A654BC">
        <w:rPr>
          <w:rFonts w:ascii="VIC" w:hAnsi="VIC"/>
          <w:bCs/>
          <w:color w:val="auto"/>
        </w:rPr>
        <w:t xml:space="preserve"> for guidance on the definition of a ‘workplace’.</w:t>
      </w:r>
    </w:p>
    <w:p w14:paraId="1CBF413C" w14:textId="66467185" w:rsidR="00A654BC" w:rsidRDefault="00A654BC" w:rsidP="00A654BC">
      <w:pPr>
        <w:pStyle w:val="DPCbodyafterbullets"/>
        <w:rPr>
          <w:rFonts w:ascii="VIC" w:hAnsi="VIC"/>
          <w:color w:val="auto"/>
        </w:rPr>
      </w:pPr>
      <w:r w:rsidRPr="00A654BC">
        <w:rPr>
          <w:rFonts w:ascii="VIC" w:hAnsi="VIC"/>
          <w:bCs/>
          <w:color w:val="auto"/>
        </w:rPr>
        <w:t xml:space="preserve">For the purposes of workplace gender audits, please include information relating to the complainant of sexual harassment. </w:t>
      </w:r>
    </w:p>
    <w:p w14:paraId="5176C4E2" w14:textId="191A29F5" w:rsidR="009416EB" w:rsidRPr="00E16769" w:rsidRDefault="009416EB" w:rsidP="00922A94">
      <w:pPr>
        <w:pStyle w:val="DPCbodyafterbullets"/>
        <w:rPr>
          <w:rFonts w:ascii="VIC" w:hAnsi="VIC"/>
          <w:b/>
          <w:color w:val="auto"/>
        </w:rPr>
      </w:pPr>
      <w:r w:rsidRPr="00E16769">
        <w:rPr>
          <w:rFonts w:ascii="VIC" w:hAnsi="VIC"/>
          <w:b/>
          <w:color w:val="auto"/>
        </w:rPr>
        <w:t xml:space="preserve">Cultural identity </w:t>
      </w:r>
    </w:p>
    <w:p w14:paraId="417ECE9E" w14:textId="77777777" w:rsidR="008B0A98" w:rsidRDefault="008B0A98" w:rsidP="008B0A98">
      <w:r>
        <w:t>Cultural identity is the group to which a person feels they belong. This might be based on ancestry, tradition, language, geography and/or individual experience.</w:t>
      </w:r>
    </w:p>
    <w:p w14:paraId="6463A394" w14:textId="2C43C3C5" w:rsidR="009416EB" w:rsidRPr="00E16769" w:rsidRDefault="008B0A98" w:rsidP="008B0A98">
      <w:r>
        <w:t xml:space="preserve">Where possible, multiple responses should be collected for this data item to ensure respondents are able to list all groups that they identify with. </w:t>
      </w:r>
      <w:r w:rsidR="00F9605E">
        <w:t xml:space="preserve">Please refer to the data specification in the </w:t>
      </w:r>
      <w:r w:rsidR="00D52C66">
        <w:t>Workforce R</w:t>
      </w:r>
      <w:r w:rsidR="00F9605E">
        <w:t xml:space="preserve">eporting </w:t>
      </w:r>
      <w:r w:rsidR="00D52C66">
        <w:t>T</w:t>
      </w:r>
      <w:r w:rsidR="00F9605E">
        <w:t>emplate on how t</w:t>
      </w:r>
      <w:r>
        <w:t>o include multi-select responses in your workforce data</w:t>
      </w:r>
      <w:r w:rsidR="00F9605E">
        <w:t>.</w:t>
      </w:r>
    </w:p>
    <w:p w14:paraId="6775BEBA" w14:textId="1878911C" w:rsidR="00A47D3D" w:rsidRPr="00C110B5" w:rsidRDefault="00845162" w:rsidP="00A47D3D">
      <w:pPr>
        <w:rPr>
          <w:b/>
          <w:bCs/>
        </w:rPr>
      </w:pPr>
      <w:r>
        <w:rPr>
          <w:b/>
          <w:bCs/>
        </w:rPr>
        <w:t>Intersectional</w:t>
      </w:r>
      <w:r w:rsidR="00A47D3D" w:rsidRPr="00C110B5">
        <w:rPr>
          <w:b/>
          <w:bCs/>
        </w:rPr>
        <w:t xml:space="preserve"> gender inequality</w:t>
      </w:r>
      <w:r w:rsidR="00A47D3D">
        <w:rPr>
          <w:b/>
          <w:bCs/>
        </w:rPr>
        <w:br/>
      </w:r>
      <w:r w:rsidR="00A47D3D" w:rsidRPr="00C110B5">
        <w:t>Section 6(8) of the Act outlines that gender inequality may be compounded by other forms of disadvantage or discrimination that a person may experience based on Aboriginality, age, disability, ethnicity, gender identity, race, religion, sexual orientation and other attributes. For the purposes of this guidance, the Commission refers to this concept as “</w:t>
      </w:r>
      <w:r>
        <w:rPr>
          <w:b/>
          <w:bCs/>
        </w:rPr>
        <w:t>intersectional</w:t>
      </w:r>
      <w:r w:rsidR="00A47D3D" w:rsidRPr="00C110B5">
        <w:rPr>
          <w:b/>
          <w:bCs/>
        </w:rPr>
        <w:t xml:space="preserve"> gender inequality</w:t>
      </w:r>
      <w:r w:rsidR="00A47D3D" w:rsidRPr="00C110B5">
        <w:t xml:space="preserve">”.  </w:t>
      </w:r>
    </w:p>
    <w:p w14:paraId="2B22DCC8" w14:textId="26997343" w:rsidR="00A47D3D" w:rsidRPr="00C110B5" w:rsidRDefault="00A47D3D" w:rsidP="00A47D3D">
      <w:r w:rsidRPr="00C110B5">
        <w:t xml:space="preserve">The concept of </w:t>
      </w:r>
      <w:r w:rsidR="00845162">
        <w:t>intersectional</w:t>
      </w:r>
      <w:r w:rsidRPr="00C110B5">
        <w:t xml:space="preserve"> disadvantage or discrimination is sometimes called </w:t>
      </w:r>
      <w:r w:rsidRPr="00C110B5">
        <w:rPr>
          <w:i/>
          <w:iCs/>
        </w:rPr>
        <w:t>intersectionality</w:t>
      </w:r>
      <w:r w:rsidRPr="00C110B5">
        <w:t xml:space="preserve">. Intersectionality explains how people may experience overlapping forms of discrimination or disadvantage based on social characteristics such as (but not limited to) sex, gender identity, sexual orientation, ethnicity, language, religion, class, socioeconomic status, gender identity, ability or age. </w:t>
      </w:r>
    </w:p>
    <w:p w14:paraId="13968075" w14:textId="2FA5F2E9" w:rsidR="00A47D3D" w:rsidRPr="004B51F1" w:rsidRDefault="00A47D3D" w:rsidP="00A47D3D">
      <w:r w:rsidRPr="00C110B5">
        <w:t xml:space="preserve">To learn more about </w:t>
      </w:r>
      <w:r w:rsidR="00845162">
        <w:t>intersectional</w:t>
      </w:r>
      <w:r w:rsidRPr="00C110B5">
        <w:t xml:space="preserve"> gender inequality and intersectionality, please refer to </w:t>
      </w:r>
      <w:r>
        <w:t>the</w:t>
      </w:r>
      <w:r w:rsidRPr="00C110B5">
        <w:t xml:space="preserve"> </w:t>
      </w:r>
      <w:hyperlink r:id="rId27" w:history="1">
        <w:r w:rsidR="0039307D" w:rsidRPr="0039307D">
          <w:rPr>
            <w:rStyle w:val="Hyperlink"/>
          </w:rPr>
          <w:t>Leading practice r</w:t>
        </w:r>
        <w:r w:rsidRPr="0039307D">
          <w:rPr>
            <w:rStyle w:val="Hyperlink"/>
          </w:rPr>
          <w:t>esources</w:t>
        </w:r>
      </w:hyperlink>
      <w:r w:rsidRPr="00C110B5">
        <w:t xml:space="preserve"> page on our website.</w:t>
      </w:r>
    </w:p>
    <w:p w14:paraId="7EFD0765" w14:textId="30D62D2B" w:rsidR="00A47D3D" w:rsidRPr="004B51F1" w:rsidRDefault="00A47D3D" w:rsidP="00A47D3D">
      <w:pPr>
        <w:rPr>
          <w:b/>
          <w:bCs/>
        </w:rPr>
      </w:pPr>
      <w:r w:rsidRPr="001015C2">
        <w:rPr>
          <w:b/>
          <w:bCs/>
        </w:rPr>
        <w:t xml:space="preserve">Defined entities </w:t>
      </w:r>
      <w:r>
        <w:rPr>
          <w:b/>
          <w:bCs/>
        </w:rPr>
        <w:br/>
      </w:r>
      <w:r w:rsidRPr="001015C2">
        <w:t xml:space="preserve">The Act applies to </w:t>
      </w:r>
      <w:r w:rsidR="00E62844">
        <w:t>defined entit</w:t>
      </w:r>
      <w:r w:rsidR="00244965">
        <w:t>ie</w:t>
      </w:r>
      <w:r w:rsidRPr="001015C2">
        <w:t xml:space="preserve">s that have 50 or more employees, including: public service bodies, public entities, </w:t>
      </w:r>
      <w:r w:rsidRPr="00845162">
        <w:t xml:space="preserve">special bodies, local councils, universities, Court Services Victoria and the Office of Public Prosecutions (s5(1)). A list of </w:t>
      </w:r>
      <w:r w:rsidRPr="004B51F1">
        <w:t xml:space="preserve">defined entities is available at </w:t>
      </w:r>
      <w:hyperlink r:id="rId28" w:history="1">
        <w:r w:rsidR="000B3ABB" w:rsidRPr="00BB6911">
          <w:rPr>
            <w:rStyle w:val="Hyperlink"/>
          </w:rPr>
          <w:t>www.genderequalitycommission.vic.gov.au/list-defined-entities</w:t>
        </w:r>
      </w:hyperlink>
      <w:r w:rsidRPr="00845162">
        <w:t xml:space="preserve">. </w:t>
      </w:r>
    </w:p>
    <w:p w14:paraId="72A3392A" w14:textId="4B2509BF" w:rsidR="003210E5" w:rsidRPr="00A67293" w:rsidRDefault="003210E5" w:rsidP="00C9404A">
      <w:pPr>
        <w:pStyle w:val="DPCbodyafterbullets"/>
        <w:rPr>
          <w:rFonts w:ascii="VIC" w:hAnsi="VIC"/>
          <w:b/>
        </w:rPr>
      </w:pPr>
      <w:bookmarkStart w:id="20" w:name="_Hlk57044802"/>
      <w:r w:rsidRPr="00A67293">
        <w:rPr>
          <w:rFonts w:ascii="VIC" w:hAnsi="VIC"/>
          <w:b/>
        </w:rPr>
        <w:t xml:space="preserve">Employee  </w:t>
      </w:r>
    </w:p>
    <w:p w14:paraId="7AD4E33C" w14:textId="77777777" w:rsidR="003210E5" w:rsidRPr="00A67293" w:rsidRDefault="003210E5" w:rsidP="00C9404A">
      <w:pPr>
        <w:pStyle w:val="DPCbodyafterbullets"/>
        <w:rPr>
          <w:rFonts w:ascii="VIC" w:hAnsi="VIC"/>
          <w:bCs/>
        </w:rPr>
      </w:pPr>
      <w:r w:rsidRPr="00A67293">
        <w:rPr>
          <w:rFonts w:ascii="VIC" w:hAnsi="VIC"/>
          <w:bCs/>
        </w:rPr>
        <w:t xml:space="preserve">Section 3 of the Act defines an employee as follows: </w:t>
      </w:r>
    </w:p>
    <w:p w14:paraId="541E730D" w14:textId="563131E9" w:rsidR="003210E5" w:rsidRPr="00A67293" w:rsidRDefault="003210E5" w:rsidP="00C9404A">
      <w:pPr>
        <w:pStyle w:val="DPCbodyafterbullets"/>
        <w:rPr>
          <w:rFonts w:ascii="VIC" w:hAnsi="VIC"/>
          <w:bCs/>
        </w:rPr>
      </w:pPr>
      <w:r w:rsidRPr="00A67293">
        <w:rPr>
          <w:rFonts w:ascii="VIC" w:hAnsi="VIC"/>
          <w:bCs/>
        </w:rPr>
        <w:t xml:space="preserve">an employee, of a defined entity, means a person employed by the defined entity on a full-time, part-time, casual or fixed term basis (including an apprentice or trainee) but does </w:t>
      </w:r>
      <w:r w:rsidRPr="00A67293">
        <w:rPr>
          <w:rFonts w:ascii="VIC" w:hAnsi="VIC"/>
          <w:bCs/>
          <w:i/>
          <w:iCs/>
        </w:rPr>
        <w:t>not</w:t>
      </w:r>
      <w:r w:rsidRPr="00A67293">
        <w:rPr>
          <w:rFonts w:ascii="VIC" w:hAnsi="VIC"/>
          <w:bCs/>
        </w:rPr>
        <w:t xml:space="preserve"> include—</w:t>
      </w:r>
    </w:p>
    <w:p w14:paraId="2F30961C" w14:textId="77777777" w:rsidR="003210E5" w:rsidRPr="00A67293" w:rsidRDefault="003210E5" w:rsidP="00C9404A">
      <w:pPr>
        <w:pStyle w:val="DPCbodyafterbullets"/>
        <w:rPr>
          <w:rFonts w:ascii="VIC" w:hAnsi="VIC"/>
          <w:bCs/>
        </w:rPr>
      </w:pPr>
      <w:r w:rsidRPr="00A67293">
        <w:rPr>
          <w:rFonts w:ascii="VIC" w:hAnsi="VIC"/>
          <w:bCs/>
        </w:rPr>
        <w:tab/>
        <w:t>(a)</w:t>
      </w:r>
      <w:r w:rsidRPr="00A67293">
        <w:rPr>
          <w:rFonts w:ascii="VIC" w:hAnsi="VIC"/>
          <w:bCs/>
        </w:rPr>
        <w:tab/>
        <w:t>a contractor or subcontractor; or</w:t>
      </w:r>
    </w:p>
    <w:p w14:paraId="75FB8896" w14:textId="77777777" w:rsidR="003210E5" w:rsidRPr="00A67293" w:rsidRDefault="003210E5" w:rsidP="00C9404A">
      <w:pPr>
        <w:pStyle w:val="DPCbodyafterbullets"/>
        <w:rPr>
          <w:rFonts w:ascii="VIC" w:hAnsi="VIC"/>
          <w:bCs/>
        </w:rPr>
      </w:pPr>
      <w:r w:rsidRPr="00A67293">
        <w:rPr>
          <w:rFonts w:ascii="VIC" w:hAnsi="VIC"/>
          <w:bCs/>
        </w:rPr>
        <w:tab/>
        <w:t>(b)</w:t>
      </w:r>
      <w:r w:rsidRPr="00A67293">
        <w:rPr>
          <w:rFonts w:ascii="VIC" w:hAnsi="VIC"/>
          <w:bCs/>
        </w:rPr>
        <w:tab/>
        <w:t>an outworker; or</w:t>
      </w:r>
    </w:p>
    <w:p w14:paraId="4DB3C938" w14:textId="77777777" w:rsidR="003210E5" w:rsidRPr="00A67293" w:rsidRDefault="003210E5" w:rsidP="00C9404A">
      <w:pPr>
        <w:pStyle w:val="DPCbodyafterbullets"/>
        <w:rPr>
          <w:rFonts w:ascii="VIC" w:hAnsi="VIC"/>
          <w:bCs/>
        </w:rPr>
      </w:pPr>
      <w:r w:rsidRPr="00A67293">
        <w:rPr>
          <w:rFonts w:ascii="VIC" w:hAnsi="VIC"/>
          <w:bCs/>
        </w:rPr>
        <w:tab/>
        <w:t>(c)</w:t>
      </w:r>
      <w:r w:rsidRPr="00A67293">
        <w:rPr>
          <w:rFonts w:ascii="VIC" w:hAnsi="VIC"/>
          <w:bCs/>
        </w:rPr>
        <w:tab/>
        <w:t>a person on a vocational placement; or</w:t>
      </w:r>
    </w:p>
    <w:p w14:paraId="053B4463" w14:textId="77777777" w:rsidR="003210E5" w:rsidRPr="00A67293" w:rsidRDefault="003210E5" w:rsidP="00C9404A">
      <w:pPr>
        <w:pStyle w:val="DPCbodyafterbullets"/>
        <w:rPr>
          <w:rFonts w:ascii="VIC" w:hAnsi="VIC"/>
          <w:bCs/>
        </w:rPr>
      </w:pPr>
      <w:r w:rsidRPr="00A67293">
        <w:rPr>
          <w:rFonts w:ascii="VIC" w:hAnsi="VIC"/>
          <w:bCs/>
        </w:rPr>
        <w:tab/>
        <w:t>(d)</w:t>
      </w:r>
      <w:r w:rsidRPr="00A67293">
        <w:rPr>
          <w:rFonts w:ascii="VIC" w:hAnsi="VIC"/>
          <w:bCs/>
        </w:rPr>
        <w:tab/>
        <w:t>a student gaining work experience; or</w:t>
      </w:r>
    </w:p>
    <w:p w14:paraId="4DBB31AD" w14:textId="45DD8F98" w:rsidR="003210E5" w:rsidRDefault="003210E5" w:rsidP="00C9404A">
      <w:pPr>
        <w:pStyle w:val="DPCbodyafterbullets"/>
        <w:rPr>
          <w:rFonts w:ascii="VIC" w:hAnsi="VIC"/>
          <w:bCs/>
        </w:rPr>
      </w:pPr>
      <w:r w:rsidRPr="00A67293">
        <w:rPr>
          <w:rFonts w:ascii="VIC" w:hAnsi="VIC"/>
          <w:bCs/>
        </w:rPr>
        <w:tab/>
        <w:t>(e)</w:t>
      </w:r>
      <w:r w:rsidRPr="00A67293">
        <w:rPr>
          <w:rFonts w:ascii="VIC" w:hAnsi="VIC"/>
          <w:bCs/>
        </w:rPr>
        <w:tab/>
        <w:t>a volunteer</w:t>
      </w:r>
      <w:r w:rsidR="0039307D">
        <w:rPr>
          <w:rFonts w:ascii="VIC" w:hAnsi="VIC"/>
          <w:bCs/>
        </w:rPr>
        <w:t>.</w:t>
      </w:r>
    </w:p>
    <w:p w14:paraId="37F98B89" w14:textId="4BF3AE42" w:rsidR="00C82C28" w:rsidRPr="00A67293" w:rsidRDefault="00C82C28" w:rsidP="00C9404A">
      <w:pPr>
        <w:pStyle w:val="DPCbodyafterbullets"/>
        <w:rPr>
          <w:rFonts w:ascii="VIC" w:hAnsi="VIC"/>
          <w:bCs/>
        </w:rPr>
      </w:pPr>
      <w:r>
        <w:rPr>
          <w:rFonts w:ascii="VIC" w:hAnsi="VIC"/>
          <w:bCs/>
        </w:rPr>
        <w:t xml:space="preserve">Your unit level data should only include people who </w:t>
      </w:r>
      <w:r w:rsidR="00CA0BBA">
        <w:rPr>
          <w:rFonts w:ascii="VIC" w:hAnsi="VIC"/>
          <w:bCs/>
        </w:rPr>
        <w:t xml:space="preserve">meet the </w:t>
      </w:r>
      <w:r w:rsidR="003225F7">
        <w:rPr>
          <w:rFonts w:ascii="VIC" w:hAnsi="VIC"/>
          <w:bCs/>
        </w:rPr>
        <w:t xml:space="preserve">Act’s definition of an employee. Governing body members (including those who are not employees of the defined entity) should be included in workforce data for Indicator 2 and Indicator 4.   </w:t>
      </w:r>
    </w:p>
    <w:bookmarkEnd w:id="20"/>
    <w:p w14:paraId="216D9E07" w14:textId="77777777" w:rsidR="003210E5" w:rsidRPr="00A67293" w:rsidRDefault="003210E5" w:rsidP="00C9404A">
      <w:pPr>
        <w:pStyle w:val="DPCbodyafterbullets"/>
        <w:rPr>
          <w:rFonts w:ascii="VIC" w:hAnsi="VIC"/>
          <w:b/>
        </w:rPr>
      </w:pPr>
      <w:r w:rsidRPr="00A67293">
        <w:rPr>
          <w:rFonts w:ascii="VIC" w:hAnsi="VIC"/>
          <w:b/>
        </w:rPr>
        <w:t xml:space="preserve">Employment basis </w:t>
      </w:r>
    </w:p>
    <w:p w14:paraId="1324BFA3" w14:textId="42F739FA" w:rsidR="00050748" w:rsidRDefault="00244965" w:rsidP="00C9404A">
      <w:pPr>
        <w:pStyle w:val="DPCbodyafterbullets"/>
        <w:rPr>
          <w:rFonts w:ascii="VIC" w:hAnsi="VIC"/>
          <w:bCs/>
        </w:rPr>
      </w:pPr>
      <w:r>
        <w:rPr>
          <w:rFonts w:ascii="VIC" w:hAnsi="VIC"/>
          <w:bCs/>
        </w:rPr>
        <w:t>Whether a person is</w:t>
      </w:r>
      <w:r w:rsidR="003210E5" w:rsidRPr="00A67293">
        <w:rPr>
          <w:rFonts w:ascii="VIC" w:hAnsi="VIC"/>
          <w:bCs/>
        </w:rPr>
        <w:t xml:space="preserve"> employed on a full-time, part-time, casual</w:t>
      </w:r>
      <w:r>
        <w:rPr>
          <w:rFonts w:ascii="VIC" w:hAnsi="VIC"/>
          <w:bCs/>
        </w:rPr>
        <w:t>, ongoing/permanent</w:t>
      </w:r>
      <w:r w:rsidR="003210E5" w:rsidRPr="00A67293">
        <w:rPr>
          <w:rFonts w:ascii="VIC" w:hAnsi="VIC"/>
          <w:bCs/>
        </w:rPr>
        <w:t xml:space="preserve"> or fixed term</w:t>
      </w:r>
      <w:r>
        <w:rPr>
          <w:rFonts w:ascii="VIC" w:hAnsi="VIC"/>
          <w:bCs/>
        </w:rPr>
        <w:t>/contract</w:t>
      </w:r>
      <w:r w:rsidR="003210E5" w:rsidRPr="00A67293">
        <w:rPr>
          <w:rFonts w:ascii="VIC" w:hAnsi="VIC"/>
          <w:bCs/>
        </w:rPr>
        <w:t xml:space="preserve"> basis (including an apprentice or trainee).</w:t>
      </w:r>
    </w:p>
    <w:p w14:paraId="684FD928" w14:textId="559457D8" w:rsidR="00E21E12" w:rsidRPr="00E21E12" w:rsidRDefault="0007077E" w:rsidP="00E21E12">
      <w:pPr>
        <w:pStyle w:val="DPCbodyafterbullets"/>
        <w:rPr>
          <w:rFonts w:ascii="VIC" w:hAnsi="VIC"/>
          <w:bCs/>
        </w:rPr>
      </w:pPr>
      <w:r>
        <w:rPr>
          <w:rFonts w:ascii="VIC" w:hAnsi="VIC"/>
          <w:bCs/>
        </w:rPr>
        <w:t>The Workforce Reporting Template uses the following codes to i</w:t>
      </w:r>
      <w:r w:rsidR="00E21E12" w:rsidRPr="00E21E12">
        <w:rPr>
          <w:rFonts w:ascii="VIC" w:hAnsi="VIC"/>
          <w:bCs/>
        </w:rPr>
        <w:t>ndicate the employment basis of each employee</w:t>
      </w:r>
      <w:r w:rsidR="00E21E12">
        <w:rPr>
          <w:rFonts w:ascii="VIC" w:hAnsi="VIC"/>
          <w:bCs/>
        </w:rPr>
        <w:t>:</w:t>
      </w:r>
    </w:p>
    <w:p w14:paraId="5A4AD06F" w14:textId="77777777" w:rsidR="00E21E12" w:rsidRPr="00E21E12" w:rsidRDefault="00E21E12" w:rsidP="00E21E12">
      <w:pPr>
        <w:pStyle w:val="DPCbodyafterbullets"/>
        <w:rPr>
          <w:rFonts w:ascii="VIC" w:hAnsi="VIC"/>
          <w:bCs/>
        </w:rPr>
      </w:pPr>
      <w:r w:rsidRPr="00E21E12">
        <w:rPr>
          <w:rFonts w:ascii="VIC" w:hAnsi="VIC"/>
          <w:bCs/>
        </w:rPr>
        <w:t xml:space="preserve">  FTO - full-time ongoing / permanent employees</w:t>
      </w:r>
    </w:p>
    <w:p w14:paraId="032B2AAA" w14:textId="77777777" w:rsidR="00E21E12" w:rsidRPr="00E21E12" w:rsidRDefault="00E21E12" w:rsidP="00E21E12">
      <w:pPr>
        <w:pStyle w:val="DPCbodyafterbullets"/>
        <w:rPr>
          <w:rFonts w:ascii="VIC" w:hAnsi="VIC"/>
          <w:bCs/>
        </w:rPr>
      </w:pPr>
      <w:r w:rsidRPr="00E21E12">
        <w:rPr>
          <w:rFonts w:ascii="VIC" w:hAnsi="VIC"/>
          <w:bCs/>
        </w:rPr>
        <w:t xml:space="preserve">  FTT - full-time fixed term employees</w:t>
      </w:r>
    </w:p>
    <w:p w14:paraId="2A10644C" w14:textId="77777777" w:rsidR="00E21E12" w:rsidRPr="00E21E12" w:rsidRDefault="00E21E12" w:rsidP="00E21E12">
      <w:pPr>
        <w:pStyle w:val="DPCbodyafterbullets"/>
        <w:rPr>
          <w:rFonts w:ascii="VIC" w:hAnsi="VIC"/>
          <w:bCs/>
        </w:rPr>
      </w:pPr>
      <w:r w:rsidRPr="00E21E12">
        <w:rPr>
          <w:rFonts w:ascii="VIC" w:hAnsi="VIC"/>
          <w:bCs/>
        </w:rPr>
        <w:t xml:space="preserve">  PTO - part-time ongoing / permanent employees</w:t>
      </w:r>
    </w:p>
    <w:p w14:paraId="51E4755A" w14:textId="77777777" w:rsidR="00E21E12" w:rsidRPr="00E21E12" w:rsidRDefault="00E21E12" w:rsidP="00E21E12">
      <w:pPr>
        <w:pStyle w:val="DPCbodyafterbullets"/>
        <w:rPr>
          <w:rFonts w:ascii="VIC" w:hAnsi="VIC"/>
          <w:bCs/>
        </w:rPr>
      </w:pPr>
      <w:r w:rsidRPr="00E21E12">
        <w:rPr>
          <w:rFonts w:ascii="VIC" w:hAnsi="VIC"/>
          <w:bCs/>
        </w:rPr>
        <w:t xml:space="preserve">  PTT - part-time fixed term employees</w:t>
      </w:r>
    </w:p>
    <w:p w14:paraId="2177F45A" w14:textId="4476E1F3" w:rsidR="00E21E12" w:rsidRPr="00A67293" w:rsidRDefault="00E21E12" w:rsidP="00E21E12">
      <w:pPr>
        <w:pStyle w:val="DPCbodyafterbullets"/>
        <w:rPr>
          <w:rFonts w:ascii="VIC" w:hAnsi="VIC"/>
          <w:bCs/>
        </w:rPr>
      </w:pPr>
      <w:r w:rsidRPr="00E21E12">
        <w:rPr>
          <w:rFonts w:ascii="VIC" w:hAnsi="VIC"/>
          <w:bCs/>
        </w:rPr>
        <w:t xml:space="preserve">  C - Casual employees</w:t>
      </w:r>
    </w:p>
    <w:p w14:paraId="62883D68" w14:textId="3A64E7A4" w:rsidR="007418A5" w:rsidRPr="00A67293" w:rsidRDefault="007418A5" w:rsidP="00C9404A">
      <w:pPr>
        <w:pStyle w:val="DPCbodyafterbullets"/>
        <w:rPr>
          <w:rFonts w:ascii="VIC" w:hAnsi="VIC"/>
          <w:b/>
        </w:rPr>
      </w:pPr>
      <w:r w:rsidRPr="00A67293">
        <w:rPr>
          <w:rFonts w:ascii="VIC" w:hAnsi="VIC"/>
          <w:b/>
        </w:rPr>
        <w:t>Flexible work</w:t>
      </w:r>
      <w:r w:rsidR="00050EB9" w:rsidRPr="00A67293">
        <w:rPr>
          <w:rFonts w:ascii="VIC" w:hAnsi="VIC"/>
          <w:b/>
        </w:rPr>
        <w:t>ing</w:t>
      </w:r>
    </w:p>
    <w:p w14:paraId="7C09F7D3" w14:textId="015A3FD0" w:rsidR="00B802E1" w:rsidRPr="00A67293" w:rsidRDefault="00B55677" w:rsidP="00C9404A">
      <w:pPr>
        <w:pStyle w:val="DPCbodyafterbullets"/>
        <w:rPr>
          <w:rFonts w:ascii="VIC" w:hAnsi="VIC"/>
        </w:rPr>
      </w:pPr>
      <w:r>
        <w:rPr>
          <w:rFonts w:ascii="VIC" w:hAnsi="VIC"/>
        </w:rPr>
        <w:t>Flexible working is d</w:t>
      </w:r>
      <w:r w:rsidR="00B802E1" w:rsidRPr="00A67293">
        <w:rPr>
          <w:rFonts w:ascii="VIC" w:hAnsi="VIC"/>
        </w:rPr>
        <w:t>efined as access to one or more of the following arrangements</w:t>
      </w:r>
      <w:r w:rsidR="007240DB">
        <w:rPr>
          <w:rFonts w:ascii="VIC" w:hAnsi="VIC"/>
        </w:rPr>
        <w:t xml:space="preserve">, </w:t>
      </w:r>
      <w:r w:rsidR="007240DB" w:rsidRPr="003D02AC">
        <w:rPr>
          <w:rFonts w:ascii="VIC" w:hAnsi="VIC"/>
        </w:rPr>
        <w:t>as chosen by the empl</w:t>
      </w:r>
      <w:r w:rsidR="007240DB" w:rsidRPr="0039307D">
        <w:rPr>
          <w:rFonts w:ascii="VIC" w:hAnsi="VIC"/>
        </w:rPr>
        <w:t>oyee</w:t>
      </w:r>
      <w:r>
        <w:rPr>
          <w:rFonts w:ascii="VIC" w:hAnsi="VIC"/>
        </w:rPr>
        <w:t>.</w:t>
      </w:r>
    </w:p>
    <w:p w14:paraId="257556DC" w14:textId="77777777" w:rsidR="00B802E1" w:rsidRPr="00A67293" w:rsidRDefault="00B802E1" w:rsidP="00E16769">
      <w:pPr>
        <w:pStyle w:val="DPCbullet1"/>
        <w:numPr>
          <w:ilvl w:val="0"/>
          <w:numId w:val="59"/>
        </w:numPr>
      </w:pPr>
      <w:r w:rsidRPr="00A67293">
        <w:t>Working more hours over fewer days</w:t>
      </w:r>
    </w:p>
    <w:p w14:paraId="2191FD7B" w14:textId="77777777" w:rsidR="00B802E1" w:rsidRPr="00A67293" w:rsidRDefault="00B802E1" w:rsidP="00E16769">
      <w:pPr>
        <w:pStyle w:val="DPCbullet1"/>
        <w:numPr>
          <w:ilvl w:val="0"/>
          <w:numId w:val="59"/>
        </w:numPr>
      </w:pPr>
      <w:r w:rsidRPr="00A67293">
        <w:t>Flexible start and finish times</w:t>
      </w:r>
    </w:p>
    <w:p w14:paraId="78B61D10" w14:textId="029D0EF0" w:rsidR="00B802E1" w:rsidRPr="00A67293" w:rsidRDefault="00B802E1" w:rsidP="00E16769">
      <w:pPr>
        <w:pStyle w:val="DPCbullet1"/>
        <w:numPr>
          <w:ilvl w:val="0"/>
          <w:numId w:val="59"/>
        </w:numPr>
      </w:pPr>
      <w:r w:rsidRPr="00A67293">
        <w:t>Working remotely</w:t>
      </w:r>
      <w:r w:rsidR="002B039D">
        <w:t xml:space="preserve"> (negotiated by the employee – i.e. not as a requirement under COVID-19 restrictions)</w:t>
      </w:r>
    </w:p>
    <w:p w14:paraId="7D85F6A7" w14:textId="13AE6A71" w:rsidR="00B802E1" w:rsidRPr="00A67293" w:rsidRDefault="00B802E1" w:rsidP="00E16769">
      <w:pPr>
        <w:pStyle w:val="DPCbullet1"/>
        <w:numPr>
          <w:ilvl w:val="0"/>
          <w:numId w:val="59"/>
        </w:numPr>
      </w:pPr>
      <w:r w:rsidRPr="00A67293">
        <w:t>Working part-time</w:t>
      </w:r>
      <w:r w:rsidR="002B039D">
        <w:t xml:space="preserve"> (negotiated by the employee only)</w:t>
      </w:r>
    </w:p>
    <w:p w14:paraId="17547103" w14:textId="77777777" w:rsidR="00B802E1" w:rsidRPr="00A67293" w:rsidRDefault="00B802E1" w:rsidP="00E16769">
      <w:pPr>
        <w:pStyle w:val="DPCbullet1"/>
        <w:numPr>
          <w:ilvl w:val="0"/>
          <w:numId w:val="59"/>
        </w:numPr>
      </w:pPr>
      <w:r w:rsidRPr="00A67293">
        <w:t>Shift swap</w:t>
      </w:r>
    </w:p>
    <w:p w14:paraId="1D803BCF" w14:textId="77777777" w:rsidR="00B802E1" w:rsidRPr="00A67293" w:rsidRDefault="00B802E1" w:rsidP="00E16769">
      <w:pPr>
        <w:pStyle w:val="DPCbullet1"/>
        <w:numPr>
          <w:ilvl w:val="0"/>
          <w:numId w:val="59"/>
        </w:numPr>
      </w:pPr>
      <w:r w:rsidRPr="00A67293">
        <w:t>Job sharing</w:t>
      </w:r>
    </w:p>
    <w:p w14:paraId="5B83451F" w14:textId="77777777" w:rsidR="00B802E1" w:rsidRPr="00A67293" w:rsidRDefault="00B802E1" w:rsidP="00E16769">
      <w:pPr>
        <w:pStyle w:val="DPCbullet1"/>
        <w:numPr>
          <w:ilvl w:val="0"/>
          <w:numId w:val="59"/>
        </w:numPr>
      </w:pPr>
      <w:r w:rsidRPr="00A67293">
        <w:t>Study leave</w:t>
      </w:r>
    </w:p>
    <w:p w14:paraId="55FF96B2" w14:textId="77777777" w:rsidR="00B802E1" w:rsidRPr="00A67293" w:rsidRDefault="00B802E1" w:rsidP="00E16769">
      <w:pPr>
        <w:pStyle w:val="DPCbullet1"/>
        <w:numPr>
          <w:ilvl w:val="0"/>
          <w:numId w:val="59"/>
        </w:numPr>
      </w:pPr>
      <w:r w:rsidRPr="00A67293">
        <w:t>Purchased leave</w:t>
      </w:r>
    </w:p>
    <w:p w14:paraId="4944FBBC" w14:textId="112CB25D" w:rsidR="00B802E1" w:rsidRDefault="00B802E1" w:rsidP="00E16769">
      <w:pPr>
        <w:pStyle w:val="DPCbullet1"/>
        <w:numPr>
          <w:ilvl w:val="0"/>
          <w:numId w:val="59"/>
        </w:numPr>
      </w:pPr>
      <w:r w:rsidRPr="00A67293">
        <w:t>Using leave to work flexible hours</w:t>
      </w:r>
    </w:p>
    <w:p w14:paraId="7AC35B0B" w14:textId="2E5FCC58" w:rsidR="00F15D24" w:rsidRPr="009D6192" w:rsidRDefault="002B039D" w:rsidP="007E6336">
      <w:pPr>
        <w:pStyle w:val="DPCbodyafterbullets"/>
        <w:rPr>
          <w:rFonts w:ascii="VIC" w:hAnsi="VIC"/>
          <w:bCs/>
        </w:rPr>
      </w:pPr>
      <w:r>
        <w:rPr>
          <w:rFonts w:ascii="VIC" w:hAnsi="VIC"/>
          <w:bCs/>
        </w:rPr>
        <w:t xml:space="preserve">Note that </w:t>
      </w:r>
      <w:r w:rsidRPr="000F2FBF">
        <w:rPr>
          <w:rFonts w:ascii="VIC" w:hAnsi="VIC"/>
          <w:bCs/>
          <w:u w:val="single"/>
        </w:rPr>
        <w:t>p</w:t>
      </w:r>
      <w:r w:rsidR="00F15D24" w:rsidRPr="000F2FBF">
        <w:rPr>
          <w:rFonts w:ascii="VIC" w:hAnsi="VIC"/>
          <w:bCs/>
          <w:u w:val="single"/>
        </w:rPr>
        <w:t>art</w:t>
      </w:r>
      <w:r w:rsidRPr="000F2FBF">
        <w:rPr>
          <w:rFonts w:ascii="VIC" w:hAnsi="VIC"/>
          <w:bCs/>
          <w:u w:val="single"/>
        </w:rPr>
        <w:t>-</w:t>
      </w:r>
      <w:r w:rsidR="00F15D24" w:rsidRPr="000F2FBF">
        <w:rPr>
          <w:rFonts w:ascii="VIC" w:hAnsi="VIC"/>
          <w:bCs/>
          <w:u w:val="single"/>
        </w:rPr>
        <w:t xml:space="preserve">time or remote working arrangements that are mandated </w:t>
      </w:r>
      <w:r w:rsidR="00320D6C" w:rsidRPr="000F2FBF">
        <w:rPr>
          <w:rFonts w:ascii="VIC" w:hAnsi="VIC"/>
          <w:bCs/>
          <w:u w:val="single"/>
        </w:rPr>
        <w:t xml:space="preserve">or instigated </w:t>
      </w:r>
      <w:r w:rsidR="00F15D24" w:rsidRPr="000F2FBF">
        <w:rPr>
          <w:rFonts w:ascii="VIC" w:hAnsi="VIC"/>
          <w:bCs/>
          <w:u w:val="single"/>
        </w:rPr>
        <w:t xml:space="preserve">by </w:t>
      </w:r>
      <w:r w:rsidR="00320D6C" w:rsidRPr="000F2FBF">
        <w:rPr>
          <w:rFonts w:ascii="VIC" w:hAnsi="VIC"/>
          <w:bCs/>
          <w:u w:val="single"/>
        </w:rPr>
        <w:t xml:space="preserve">an employer </w:t>
      </w:r>
      <w:r w:rsidRPr="000F2FBF">
        <w:rPr>
          <w:rFonts w:ascii="VIC" w:hAnsi="VIC"/>
          <w:bCs/>
          <w:u w:val="single"/>
        </w:rPr>
        <w:t xml:space="preserve">and/or by government requirements relating to COVID-19 restrictions </w:t>
      </w:r>
      <w:r w:rsidR="00320D6C" w:rsidRPr="000F2FBF">
        <w:rPr>
          <w:rFonts w:ascii="VIC" w:hAnsi="VIC"/>
          <w:bCs/>
          <w:u w:val="single"/>
        </w:rPr>
        <w:t xml:space="preserve">are not considered </w:t>
      </w:r>
      <w:r w:rsidR="00F15D24" w:rsidRPr="000F2FBF">
        <w:rPr>
          <w:rFonts w:ascii="VIC" w:hAnsi="VIC"/>
          <w:bCs/>
          <w:u w:val="single"/>
        </w:rPr>
        <w:t>flexible</w:t>
      </w:r>
      <w:r w:rsidR="00320D6C" w:rsidRPr="000F2FBF">
        <w:rPr>
          <w:rFonts w:ascii="VIC" w:hAnsi="VIC"/>
          <w:bCs/>
          <w:u w:val="single"/>
        </w:rPr>
        <w:t xml:space="preserve"> working</w:t>
      </w:r>
      <w:r w:rsidR="00F15D24" w:rsidRPr="009D6192">
        <w:rPr>
          <w:rFonts w:ascii="VIC" w:hAnsi="VIC"/>
          <w:bCs/>
        </w:rPr>
        <w:t>.</w:t>
      </w:r>
      <w:r w:rsidR="00320D6C" w:rsidRPr="009D6192">
        <w:rPr>
          <w:rFonts w:ascii="VIC" w:hAnsi="VIC"/>
          <w:bCs/>
        </w:rPr>
        <w:t xml:space="preserve"> There may be other definitions and requirements relating to flexible working in industrial instruments relevant to your defined entity. </w:t>
      </w:r>
    </w:p>
    <w:p w14:paraId="6F324EB6" w14:textId="77777777" w:rsidR="00F608A9" w:rsidRPr="00A67293" w:rsidRDefault="00F608A9" w:rsidP="00C9404A">
      <w:pPr>
        <w:pStyle w:val="DPCbodyafterbullets"/>
        <w:rPr>
          <w:rFonts w:ascii="VIC" w:hAnsi="VIC"/>
          <w:b/>
        </w:rPr>
      </w:pPr>
      <w:r w:rsidRPr="00A67293">
        <w:rPr>
          <w:rFonts w:ascii="VIC" w:hAnsi="VIC"/>
          <w:b/>
        </w:rPr>
        <w:t>Full time equivalent (FTE)</w:t>
      </w:r>
    </w:p>
    <w:p w14:paraId="3290B174" w14:textId="646025D2" w:rsidR="00244965" w:rsidRDefault="00F608A9" w:rsidP="00C9404A">
      <w:pPr>
        <w:pStyle w:val="DPCbodyafterbullets"/>
        <w:rPr>
          <w:rFonts w:ascii="VIC" w:hAnsi="VIC"/>
        </w:rPr>
      </w:pPr>
      <w:r w:rsidRPr="00A67293">
        <w:rPr>
          <w:rFonts w:ascii="VIC" w:hAnsi="VIC"/>
        </w:rPr>
        <w:t xml:space="preserve">The proportion of a full-time week </w:t>
      </w:r>
      <w:r w:rsidR="00244965">
        <w:rPr>
          <w:rFonts w:ascii="VIC" w:hAnsi="VIC"/>
        </w:rPr>
        <w:t>that the employee is normally</w:t>
      </w:r>
      <w:r w:rsidR="00244965" w:rsidRPr="00A67293">
        <w:rPr>
          <w:rFonts w:ascii="VIC" w:hAnsi="VIC"/>
        </w:rPr>
        <w:t xml:space="preserve"> </w:t>
      </w:r>
      <w:r w:rsidRPr="00A67293">
        <w:rPr>
          <w:rFonts w:ascii="VIC" w:hAnsi="VIC"/>
        </w:rPr>
        <w:t xml:space="preserve">contracted to work, excluding overtime. </w:t>
      </w:r>
    </w:p>
    <w:p w14:paraId="5797E0CC" w14:textId="16D4E39E" w:rsidR="0045787B" w:rsidRDefault="0045787B" w:rsidP="00C9404A">
      <w:pPr>
        <w:pStyle w:val="DPCbodyafterbullets"/>
        <w:rPr>
          <w:rFonts w:ascii="VIC" w:hAnsi="VIC"/>
        </w:rPr>
      </w:pPr>
      <w:r w:rsidRPr="0045787B">
        <w:rPr>
          <w:rFonts w:ascii="VIC" w:hAnsi="VIC"/>
        </w:rPr>
        <w:t>This should be a number with up to two decimal places that is greater than 0 and less than or equal to 1.</w:t>
      </w:r>
    </w:p>
    <w:p w14:paraId="78028829" w14:textId="36FADF5F" w:rsidR="00F608A9" w:rsidRPr="00A67293" w:rsidRDefault="00F608A9" w:rsidP="00C9404A">
      <w:pPr>
        <w:pStyle w:val="DPCbodyafterbullets"/>
        <w:rPr>
          <w:rFonts w:ascii="VIC" w:hAnsi="VIC"/>
        </w:rPr>
      </w:pPr>
      <w:r w:rsidRPr="00A67293">
        <w:rPr>
          <w:rFonts w:ascii="VIC" w:hAnsi="VIC"/>
        </w:rPr>
        <w:t>A full working week equals 1 FTE. (</w:t>
      </w:r>
      <w:r w:rsidR="006A4D20">
        <w:rPr>
          <w:rFonts w:ascii="VIC" w:hAnsi="VIC"/>
        </w:rPr>
        <w:t>e</w:t>
      </w:r>
      <w:r w:rsidRPr="00A67293">
        <w:rPr>
          <w:rFonts w:ascii="VIC" w:hAnsi="VIC"/>
        </w:rPr>
        <w:t>.g. 3</w:t>
      </w:r>
      <w:r w:rsidR="00244965">
        <w:rPr>
          <w:rFonts w:ascii="VIC" w:hAnsi="VIC"/>
        </w:rPr>
        <w:t>8</w:t>
      </w:r>
      <w:r w:rsidRPr="00A67293">
        <w:rPr>
          <w:rFonts w:ascii="VIC" w:hAnsi="VIC"/>
        </w:rPr>
        <w:t xml:space="preserve"> hours in a 38-hour week or 40 hours in a 40-hour week). </w:t>
      </w:r>
    </w:p>
    <w:p w14:paraId="34360F11" w14:textId="51581A8D" w:rsidR="00244965" w:rsidRDefault="00F608A9" w:rsidP="00C9404A">
      <w:pPr>
        <w:pStyle w:val="DPCbodyafterbullets"/>
        <w:rPr>
          <w:rFonts w:ascii="VIC" w:hAnsi="VIC"/>
        </w:rPr>
      </w:pPr>
      <w:r w:rsidRPr="00A67293">
        <w:rPr>
          <w:rFonts w:ascii="VIC" w:hAnsi="VIC"/>
        </w:rPr>
        <w:t>A part</w:t>
      </w:r>
      <w:r w:rsidR="006A4D20">
        <w:rPr>
          <w:rFonts w:ascii="VIC" w:hAnsi="VIC"/>
        </w:rPr>
        <w:t>-</w:t>
      </w:r>
      <w:r w:rsidRPr="00A67293">
        <w:rPr>
          <w:rFonts w:ascii="VIC" w:hAnsi="VIC"/>
        </w:rPr>
        <w:t>time working week is less than 1 FTE. (</w:t>
      </w:r>
      <w:r w:rsidR="002B039D">
        <w:rPr>
          <w:rFonts w:ascii="VIC" w:hAnsi="VIC"/>
        </w:rPr>
        <w:t>e</w:t>
      </w:r>
      <w:r w:rsidRPr="00A67293">
        <w:rPr>
          <w:rFonts w:ascii="VIC" w:hAnsi="VIC"/>
        </w:rPr>
        <w:t xml:space="preserve">.g. 4 days in working week [30.2 hours in a 38-hour week] is an FTE of 0.8). </w:t>
      </w:r>
    </w:p>
    <w:p w14:paraId="0B66E8E0" w14:textId="77777777" w:rsidR="00244965" w:rsidRPr="00244965" w:rsidRDefault="00244965" w:rsidP="00244965">
      <w:pPr>
        <w:pStyle w:val="DPCbodyafterbullets"/>
        <w:rPr>
          <w:rFonts w:ascii="VIC" w:hAnsi="VIC"/>
        </w:rPr>
      </w:pPr>
      <w:r w:rsidRPr="00244965">
        <w:rPr>
          <w:rFonts w:ascii="VIC" w:hAnsi="VIC"/>
        </w:rPr>
        <w:t>The FTE for casuals should be based on the number of hours worked in the last pay cycle of the reporting period.</w:t>
      </w:r>
    </w:p>
    <w:p w14:paraId="2F1D01D8" w14:textId="12A70D9B" w:rsidR="005925C1" w:rsidRDefault="00F608A9" w:rsidP="00C9404A">
      <w:pPr>
        <w:pStyle w:val="DPCbodyafterbullets"/>
        <w:rPr>
          <w:rFonts w:ascii="VIC" w:hAnsi="VIC"/>
        </w:rPr>
      </w:pPr>
      <w:r w:rsidRPr="00A67293">
        <w:rPr>
          <w:rFonts w:ascii="VIC" w:hAnsi="VIC"/>
        </w:rPr>
        <w:t>A full-time staff member with a purchased leave arrangement is 1 FTE.</w:t>
      </w:r>
    </w:p>
    <w:p w14:paraId="4D4FC64F" w14:textId="2DC1AD14" w:rsidR="00F608A9" w:rsidRPr="00A67293" w:rsidRDefault="005925C1" w:rsidP="00C9404A">
      <w:pPr>
        <w:pStyle w:val="DPCbodyafterbullets"/>
        <w:rPr>
          <w:rFonts w:ascii="VIC" w:hAnsi="VIC"/>
        </w:rPr>
      </w:pPr>
      <w:r>
        <w:rPr>
          <w:rFonts w:ascii="VIC" w:hAnsi="VIC"/>
        </w:rPr>
        <w:t xml:space="preserve">See </w:t>
      </w:r>
      <w:r w:rsidRPr="00D52C66">
        <w:rPr>
          <w:rFonts w:ascii="VIC" w:hAnsi="VIC"/>
        </w:rPr>
        <w:t>Remuneration</w:t>
      </w:r>
      <w:r>
        <w:rPr>
          <w:rFonts w:ascii="VIC" w:hAnsi="VIC"/>
        </w:rPr>
        <w:t xml:space="preserve"> definition below for information on when to convert </w:t>
      </w:r>
      <w:r w:rsidR="003E1473">
        <w:rPr>
          <w:rFonts w:ascii="VIC" w:hAnsi="VIC"/>
        </w:rPr>
        <w:t>remuneration to full time equivalent.</w:t>
      </w:r>
    </w:p>
    <w:p w14:paraId="3C67A504" w14:textId="318881CD" w:rsidR="00F608A9" w:rsidRPr="00A67293" w:rsidRDefault="00F608A9" w:rsidP="00C9404A">
      <w:pPr>
        <w:pStyle w:val="DPCbodyafterbullets"/>
        <w:rPr>
          <w:rFonts w:ascii="VIC" w:hAnsi="VIC"/>
          <w:b/>
        </w:rPr>
      </w:pPr>
      <w:r w:rsidRPr="00A67293">
        <w:rPr>
          <w:rFonts w:ascii="VIC" w:hAnsi="VIC"/>
          <w:b/>
        </w:rPr>
        <w:t>Gender Equality Action Plan (GEAP)</w:t>
      </w:r>
    </w:p>
    <w:p w14:paraId="60006987" w14:textId="4EE3C26A" w:rsidR="00B60778" w:rsidRPr="00A67293" w:rsidRDefault="00EA020F" w:rsidP="007E6336">
      <w:pPr>
        <w:pStyle w:val="DPCbodyafterbullets"/>
        <w:rPr>
          <w:rFonts w:ascii="VIC" w:hAnsi="VIC"/>
        </w:rPr>
      </w:pPr>
      <w:r w:rsidRPr="00A67293">
        <w:rPr>
          <w:rFonts w:ascii="VIC" w:hAnsi="VIC"/>
        </w:rPr>
        <w:t xml:space="preserve">A GEAP is a key requirement under the </w:t>
      </w:r>
      <w:r w:rsidR="00B766F2">
        <w:rPr>
          <w:rFonts w:ascii="VIC" w:hAnsi="VIC"/>
        </w:rPr>
        <w:t>Act</w:t>
      </w:r>
      <w:r w:rsidR="008A30C2" w:rsidRPr="007E6336">
        <w:rPr>
          <w:rFonts w:ascii="VIC" w:hAnsi="VIC"/>
        </w:rPr>
        <w:t xml:space="preserve"> </w:t>
      </w:r>
      <w:r w:rsidR="008A30C2">
        <w:rPr>
          <w:rFonts w:ascii="VIC" w:hAnsi="VIC"/>
        </w:rPr>
        <w:t>which includes strategies and measures that promote gender equality in the workplace of a defined entity, based on the results of a workplace gender audit</w:t>
      </w:r>
      <w:r w:rsidRPr="00A67293">
        <w:rPr>
          <w:rFonts w:ascii="VIC" w:hAnsi="VIC"/>
        </w:rPr>
        <w:t xml:space="preserve">. </w:t>
      </w:r>
      <w:r w:rsidR="00244965">
        <w:rPr>
          <w:rFonts w:ascii="VIC" w:hAnsi="VIC"/>
        </w:rPr>
        <w:t xml:space="preserve">For more information on GEAPs, please visit </w:t>
      </w:r>
      <w:hyperlink r:id="rId29" w:history="1">
        <w:r w:rsidR="00244965" w:rsidRPr="00244965">
          <w:rPr>
            <w:rStyle w:val="Hyperlink"/>
            <w:rFonts w:ascii="VIC" w:hAnsi="VIC"/>
          </w:rPr>
          <w:t>our website</w:t>
        </w:r>
      </w:hyperlink>
      <w:r w:rsidR="00244965">
        <w:rPr>
          <w:rFonts w:ascii="VIC" w:hAnsi="VIC"/>
        </w:rPr>
        <w:t>.</w:t>
      </w:r>
    </w:p>
    <w:p w14:paraId="620D09BA" w14:textId="2ECF78FA" w:rsidR="00EA020F" w:rsidRPr="00A67293" w:rsidRDefault="00EA020F" w:rsidP="00C9404A">
      <w:pPr>
        <w:pStyle w:val="DPCbodyafterbullets"/>
        <w:rPr>
          <w:rFonts w:ascii="VIC" w:hAnsi="VIC"/>
          <w:b/>
        </w:rPr>
      </w:pPr>
      <w:r w:rsidRPr="00A67293">
        <w:rPr>
          <w:rFonts w:ascii="VIC" w:hAnsi="VIC"/>
          <w:b/>
        </w:rPr>
        <w:t xml:space="preserve">Gender </w:t>
      </w:r>
      <w:r w:rsidR="005B7C0B" w:rsidRPr="00A67293">
        <w:rPr>
          <w:rFonts w:ascii="VIC" w:hAnsi="VIC"/>
          <w:b/>
        </w:rPr>
        <w:t>p</w:t>
      </w:r>
      <w:r w:rsidRPr="00A67293">
        <w:rPr>
          <w:rFonts w:ascii="VIC" w:hAnsi="VIC"/>
          <w:b/>
        </w:rPr>
        <w:t xml:space="preserve">ay </w:t>
      </w:r>
      <w:r w:rsidR="005B7C0B" w:rsidRPr="00A67293">
        <w:rPr>
          <w:rFonts w:ascii="VIC" w:hAnsi="VIC"/>
          <w:b/>
        </w:rPr>
        <w:t>g</w:t>
      </w:r>
      <w:r w:rsidRPr="00A67293">
        <w:rPr>
          <w:rFonts w:ascii="VIC" w:hAnsi="VIC"/>
          <w:b/>
        </w:rPr>
        <w:t>ap</w:t>
      </w:r>
    </w:p>
    <w:p w14:paraId="293B1EA1" w14:textId="0A4F38F1" w:rsidR="00EA020F" w:rsidRPr="00A67293" w:rsidRDefault="00EA020F" w:rsidP="00C9404A">
      <w:pPr>
        <w:pStyle w:val="DPCbodyafterbullets"/>
        <w:rPr>
          <w:rFonts w:ascii="VIC" w:hAnsi="VIC"/>
        </w:rPr>
      </w:pPr>
      <w:r w:rsidRPr="00A67293">
        <w:rPr>
          <w:rFonts w:ascii="VIC" w:hAnsi="VIC"/>
        </w:rPr>
        <w:t xml:space="preserve">The gender pay gap is the difference between women’s </w:t>
      </w:r>
      <w:r w:rsidR="00B42F65">
        <w:rPr>
          <w:rFonts w:ascii="VIC" w:hAnsi="VIC"/>
        </w:rPr>
        <w:t xml:space="preserve">or people of self-described gender’s </w:t>
      </w:r>
      <w:r w:rsidRPr="00A67293">
        <w:rPr>
          <w:rFonts w:ascii="VIC" w:hAnsi="VIC"/>
        </w:rPr>
        <w:t xml:space="preserve">and men’s average full-time base annualised salary earnings, expressed as a percentage of men’s earnings. </w:t>
      </w:r>
      <w:r w:rsidR="008A30C2">
        <w:rPr>
          <w:rFonts w:ascii="VIC" w:hAnsi="VIC"/>
        </w:rPr>
        <w:t xml:space="preserve">For the purposes of </w:t>
      </w:r>
      <w:r w:rsidR="00244965">
        <w:rPr>
          <w:rFonts w:ascii="VIC" w:hAnsi="VIC"/>
        </w:rPr>
        <w:t>your workplace gender audit,</w:t>
      </w:r>
      <w:r w:rsidR="00B42F65">
        <w:rPr>
          <w:rFonts w:ascii="VIC" w:hAnsi="VIC"/>
        </w:rPr>
        <w:t xml:space="preserve"> analysis is focused on</w:t>
      </w:r>
      <w:r w:rsidRPr="00A67293">
        <w:rPr>
          <w:rFonts w:ascii="VIC" w:hAnsi="VIC"/>
        </w:rPr>
        <w:t xml:space="preserve"> </w:t>
      </w:r>
      <w:r w:rsidR="00B42F65">
        <w:rPr>
          <w:rFonts w:ascii="VIC" w:hAnsi="VIC"/>
        </w:rPr>
        <w:t xml:space="preserve">the pay gap for each </w:t>
      </w:r>
      <w:r w:rsidRPr="00A67293">
        <w:rPr>
          <w:rFonts w:ascii="VIC" w:hAnsi="VIC"/>
        </w:rPr>
        <w:t>classification.</w:t>
      </w:r>
    </w:p>
    <w:p w14:paraId="49AED114" w14:textId="54EF45F1" w:rsidR="009C7F90" w:rsidRPr="00A67293" w:rsidRDefault="00EA020F" w:rsidP="00C9404A">
      <w:pPr>
        <w:pStyle w:val="DPCbodyafterbullets"/>
        <w:rPr>
          <w:rFonts w:ascii="VIC" w:hAnsi="VIC"/>
          <w:b/>
          <w:color w:val="auto"/>
          <w:u w:val="single"/>
        </w:rPr>
      </w:pPr>
      <w:r w:rsidRPr="00A67293">
        <w:rPr>
          <w:rFonts w:ascii="VIC" w:hAnsi="VIC"/>
        </w:rPr>
        <w:t xml:space="preserve">The formula for the gender pay gap </w:t>
      </w:r>
      <w:r w:rsidR="009B7F59" w:rsidRPr="00A67293">
        <w:rPr>
          <w:rFonts w:ascii="VIC" w:hAnsi="VIC"/>
        </w:rPr>
        <w:t xml:space="preserve">(percentage) </w:t>
      </w:r>
      <w:r w:rsidRPr="00A67293">
        <w:rPr>
          <w:rFonts w:ascii="VIC" w:hAnsi="VIC"/>
        </w:rPr>
        <w:t>is expressed as follows:</w:t>
      </w:r>
    </w:p>
    <w:p w14:paraId="74C879CC" w14:textId="694D656A" w:rsidR="00831CAB" w:rsidRPr="00445476" w:rsidRDefault="00746A0C" w:rsidP="00C9404A">
      <w:pPr>
        <w:pStyle w:val="DPCbodyafterbullets"/>
        <w:rPr>
          <w:rFonts w:ascii="VIC" w:hAnsi="VIC"/>
        </w:rPr>
      </w:pPr>
      <m:oMathPara>
        <m:oMath>
          <m:d>
            <m:dPr>
              <m:ctrlPr>
                <w:rPr>
                  <w:rFonts w:ascii="Cambria Math" w:hAnsi="Cambria Math"/>
                  <w:i/>
                </w:rPr>
              </m:ctrlPr>
            </m:dPr>
            <m:e>
              <m:f>
                <m:fPr>
                  <m:ctrlPr>
                    <w:rPr>
                      <w:rFonts w:ascii="Cambria Math" w:hAnsi="Cambria Math"/>
                      <w:i/>
                    </w:rPr>
                  </m:ctrlPr>
                </m:fPr>
                <m:num>
                  <m:r>
                    <w:rPr>
                      <w:rFonts w:ascii="Cambria Math" w:hAnsi="Cambria Math"/>
                    </w:rPr>
                    <m:t>Salary received by men-Salary received by women</m:t>
                  </m:r>
                </m:num>
                <m:den>
                  <m:r>
                    <w:rPr>
                      <w:rFonts w:ascii="Cambria Math" w:hAnsi="Cambria Math"/>
                    </w:rPr>
                    <m:t>Salary received by men</m:t>
                  </m:r>
                </m:den>
              </m:f>
            </m:e>
          </m:d>
          <m:r>
            <w:rPr>
              <w:rFonts w:ascii="Cambria Math" w:hAnsi="Cambria Math"/>
            </w:rPr>
            <m:t>×100%</m:t>
          </m:r>
        </m:oMath>
      </m:oMathPara>
    </w:p>
    <w:p w14:paraId="3D21CE2B" w14:textId="3A791393" w:rsidR="00445476" w:rsidRDefault="00746A0C" w:rsidP="00C9404A">
      <w:pPr>
        <w:pStyle w:val="DPCbodyafterbullets"/>
        <w:rPr>
          <w:rFonts w:ascii="VIC" w:hAnsi="VIC"/>
        </w:rPr>
      </w:pPr>
      <m:oMathPara>
        <m:oMath>
          <m:d>
            <m:dPr>
              <m:ctrlPr>
                <w:rPr>
                  <w:rFonts w:ascii="Cambria Math" w:hAnsi="Cambria Math"/>
                  <w:i/>
                </w:rPr>
              </m:ctrlPr>
            </m:dPr>
            <m:e>
              <m:f>
                <m:fPr>
                  <m:ctrlPr>
                    <w:rPr>
                      <w:rFonts w:ascii="Cambria Math" w:hAnsi="Cambria Math"/>
                      <w:i/>
                    </w:rPr>
                  </m:ctrlPr>
                </m:fPr>
                <m:num>
                  <m:r>
                    <w:rPr>
                      <w:rFonts w:ascii="Cambria Math" w:hAnsi="Cambria Math"/>
                    </w:rPr>
                    <m:t>Salary received by men-Salary received by people of self‐described gender</m:t>
                  </m:r>
                </m:num>
                <m:den>
                  <m:r>
                    <w:rPr>
                      <w:rFonts w:ascii="Cambria Math" w:hAnsi="Cambria Math"/>
                    </w:rPr>
                    <m:t>Salary received by men</m:t>
                  </m:r>
                </m:den>
              </m:f>
            </m:e>
          </m:d>
          <m:r>
            <w:rPr>
              <w:rFonts w:ascii="Cambria Math" w:hAnsi="Cambria Math"/>
            </w:rPr>
            <m:t>×100%</m:t>
          </m:r>
        </m:oMath>
      </m:oMathPara>
    </w:p>
    <w:p w14:paraId="0BF0F9FC" w14:textId="7EA6728C" w:rsidR="00EA020F" w:rsidRPr="00A67293" w:rsidRDefault="00EA020F" w:rsidP="00C9404A">
      <w:pPr>
        <w:pStyle w:val="DPCbodyafterbullets"/>
        <w:rPr>
          <w:rFonts w:ascii="VIC" w:hAnsi="VIC"/>
        </w:rPr>
      </w:pPr>
      <w:r w:rsidRPr="00A67293">
        <w:rPr>
          <w:rFonts w:ascii="VIC" w:hAnsi="VIC"/>
        </w:rPr>
        <w:t>A gender pay gap that is positive (i.e. &gt;0) means that the average annualised full-time salaries of men are greater than women</w:t>
      </w:r>
      <w:r w:rsidR="0044060E">
        <w:rPr>
          <w:rFonts w:ascii="VIC" w:hAnsi="VIC"/>
        </w:rPr>
        <w:t xml:space="preserve"> </w:t>
      </w:r>
      <w:r w:rsidR="00EC57B0">
        <w:rPr>
          <w:rFonts w:ascii="VIC" w:hAnsi="VIC"/>
        </w:rPr>
        <w:t>or people of self-described gender</w:t>
      </w:r>
      <w:r w:rsidRPr="00A67293">
        <w:rPr>
          <w:rFonts w:ascii="VIC" w:hAnsi="VIC"/>
        </w:rPr>
        <w:t xml:space="preserve">, while a gender pay gap that is negative (i.e. &lt;0) means that the average annualised full-time salaries of women </w:t>
      </w:r>
      <w:r w:rsidR="006304DD" w:rsidRPr="00A67293">
        <w:rPr>
          <w:rFonts w:ascii="VIC" w:hAnsi="VIC"/>
        </w:rPr>
        <w:t xml:space="preserve">or people of self-described gender </w:t>
      </w:r>
      <w:r w:rsidRPr="00A67293">
        <w:rPr>
          <w:rFonts w:ascii="VIC" w:hAnsi="VIC"/>
        </w:rPr>
        <w:t>are greater than men.</w:t>
      </w:r>
    </w:p>
    <w:p w14:paraId="109FA98F" w14:textId="2C9FA9C4" w:rsidR="00050EB9" w:rsidRDefault="00050EB9" w:rsidP="00C9404A">
      <w:pPr>
        <w:pStyle w:val="DPCbodyafterbullets"/>
        <w:rPr>
          <w:rFonts w:ascii="VIC" w:hAnsi="VIC"/>
        </w:rPr>
      </w:pPr>
      <w:r w:rsidRPr="00A67293">
        <w:rPr>
          <w:rFonts w:ascii="VIC" w:hAnsi="VIC"/>
        </w:rPr>
        <w:t>The above formula</w:t>
      </w:r>
      <w:r w:rsidR="00CE0BE5">
        <w:rPr>
          <w:rFonts w:ascii="VIC" w:hAnsi="VIC"/>
        </w:rPr>
        <w:t>s</w:t>
      </w:r>
      <w:r w:rsidRPr="00A67293">
        <w:rPr>
          <w:rFonts w:ascii="VIC" w:hAnsi="VIC"/>
        </w:rPr>
        <w:t xml:space="preserve"> </w:t>
      </w:r>
      <w:r w:rsidR="00CE0BE5">
        <w:rPr>
          <w:rFonts w:ascii="VIC" w:hAnsi="VIC"/>
        </w:rPr>
        <w:t>are</w:t>
      </w:r>
      <w:r w:rsidRPr="00A67293">
        <w:rPr>
          <w:rFonts w:ascii="VIC" w:hAnsi="VIC"/>
        </w:rPr>
        <w:t xml:space="preserve"> embedded within the </w:t>
      </w:r>
      <w:r w:rsidR="00967992">
        <w:rPr>
          <w:rFonts w:ascii="VIC" w:hAnsi="VIC"/>
        </w:rPr>
        <w:t>Workforce R</w:t>
      </w:r>
      <w:r w:rsidR="00621187">
        <w:rPr>
          <w:rFonts w:ascii="VIC" w:hAnsi="VIC"/>
        </w:rPr>
        <w:t xml:space="preserve">eporting </w:t>
      </w:r>
      <w:r w:rsidR="00967992">
        <w:rPr>
          <w:rFonts w:ascii="VIC" w:hAnsi="VIC"/>
        </w:rPr>
        <w:t>T</w:t>
      </w:r>
      <w:r w:rsidR="00621187">
        <w:rPr>
          <w:rFonts w:ascii="VIC" w:hAnsi="VIC"/>
        </w:rPr>
        <w:t xml:space="preserve">emplate </w:t>
      </w:r>
      <w:r w:rsidRPr="00A67293">
        <w:rPr>
          <w:rFonts w:ascii="VIC" w:hAnsi="VIC"/>
        </w:rPr>
        <w:t xml:space="preserve">and will automatically calculate </w:t>
      </w:r>
      <w:r w:rsidR="00DC5322">
        <w:rPr>
          <w:rFonts w:ascii="VIC" w:hAnsi="VIC"/>
        </w:rPr>
        <w:t>when the ‘Populate data measures’ button is clicked</w:t>
      </w:r>
      <w:r w:rsidRPr="00A67293">
        <w:rPr>
          <w:rFonts w:ascii="VIC" w:hAnsi="VIC"/>
        </w:rPr>
        <w:t xml:space="preserve">. There is no need to write any formulae into the </w:t>
      </w:r>
      <w:r w:rsidR="0039307D">
        <w:rPr>
          <w:rFonts w:ascii="VIC" w:hAnsi="VIC"/>
        </w:rPr>
        <w:t>reporting template</w:t>
      </w:r>
      <w:r w:rsidR="00B766F2">
        <w:rPr>
          <w:rFonts w:ascii="VIC" w:hAnsi="VIC"/>
        </w:rPr>
        <w:t xml:space="preserve"> if you are providing unit level data</w:t>
      </w:r>
      <w:r w:rsidRPr="00A67293">
        <w:rPr>
          <w:rFonts w:ascii="VIC" w:hAnsi="VIC"/>
        </w:rPr>
        <w:t>.</w:t>
      </w:r>
    </w:p>
    <w:p w14:paraId="744A8A4A" w14:textId="2D03BFC2" w:rsidR="000A670A" w:rsidRDefault="008615AB" w:rsidP="00C9404A">
      <w:pPr>
        <w:pStyle w:val="DPCbodyafterbullets"/>
        <w:rPr>
          <w:rFonts w:ascii="VIC" w:hAnsi="VIC"/>
        </w:rPr>
      </w:pPr>
      <w:r>
        <w:rPr>
          <w:rFonts w:ascii="VIC" w:hAnsi="VIC"/>
        </w:rPr>
        <w:t xml:space="preserve">The </w:t>
      </w:r>
      <w:r w:rsidR="0039307D">
        <w:rPr>
          <w:rFonts w:ascii="VIC" w:hAnsi="VIC"/>
        </w:rPr>
        <w:t>reporting template</w:t>
      </w:r>
      <w:r>
        <w:rPr>
          <w:rFonts w:ascii="VIC" w:hAnsi="VIC"/>
        </w:rPr>
        <w:t xml:space="preserve"> will calculate the gender pay gap for each classification based on both mean</w:t>
      </w:r>
      <w:r w:rsidR="000A670A">
        <w:rPr>
          <w:rFonts w:ascii="VIC" w:hAnsi="VIC"/>
        </w:rPr>
        <w:t xml:space="preserve"> (average)</w:t>
      </w:r>
      <w:r>
        <w:rPr>
          <w:rFonts w:ascii="VIC" w:hAnsi="VIC"/>
        </w:rPr>
        <w:t xml:space="preserve"> and median. </w:t>
      </w:r>
    </w:p>
    <w:p w14:paraId="471AD691" w14:textId="63F5036C" w:rsidR="000A670A" w:rsidRDefault="008615AB" w:rsidP="00C9404A">
      <w:pPr>
        <w:pStyle w:val="DPCbodyafterbullets"/>
        <w:rPr>
          <w:rFonts w:ascii="VIC" w:hAnsi="VIC"/>
        </w:rPr>
      </w:pPr>
      <w:r>
        <w:rPr>
          <w:rFonts w:ascii="VIC" w:hAnsi="VIC"/>
        </w:rPr>
        <w:t xml:space="preserve">The mean </w:t>
      </w:r>
      <w:r w:rsidR="000A670A">
        <w:rPr>
          <w:rFonts w:ascii="VIC" w:hAnsi="VIC"/>
        </w:rPr>
        <w:t xml:space="preserve">(or average) salary </w:t>
      </w:r>
      <w:r>
        <w:rPr>
          <w:rFonts w:ascii="VIC" w:hAnsi="VIC"/>
        </w:rPr>
        <w:t xml:space="preserve">is </w:t>
      </w:r>
      <w:r w:rsidR="000A670A">
        <w:rPr>
          <w:rFonts w:ascii="VIC" w:hAnsi="VIC"/>
        </w:rPr>
        <w:t>calculated by summing the</w:t>
      </w:r>
      <w:r w:rsidR="003D6FF8">
        <w:rPr>
          <w:rFonts w:ascii="VIC" w:hAnsi="VIC"/>
        </w:rPr>
        <w:t xml:space="preserve"> salaries</w:t>
      </w:r>
      <w:r w:rsidR="000A670A">
        <w:rPr>
          <w:rFonts w:ascii="VIC" w:hAnsi="VIC"/>
        </w:rPr>
        <w:t xml:space="preserve"> of individuals within a classification band and dividing the sum </w:t>
      </w:r>
      <w:r w:rsidR="003D6FF8">
        <w:rPr>
          <w:rFonts w:ascii="VIC" w:hAnsi="VIC"/>
        </w:rPr>
        <w:t xml:space="preserve">by the number of people </w:t>
      </w:r>
      <w:r w:rsidR="000A670A">
        <w:rPr>
          <w:rFonts w:ascii="VIC" w:hAnsi="VIC"/>
        </w:rPr>
        <w:t>at</w:t>
      </w:r>
      <w:r w:rsidR="003D6FF8">
        <w:rPr>
          <w:rFonts w:ascii="VIC" w:hAnsi="VIC"/>
        </w:rPr>
        <w:t xml:space="preserve"> that classification. </w:t>
      </w:r>
      <w:r w:rsidR="000A670A">
        <w:rPr>
          <w:rFonts w:ascii="VIC" w:hAnsi="VIC"/>
        </w:rPr>
        <w:t>It is the most commonly used measure, but i</w:t>
      </w:r>
      <w:r w:rsidR="003D6FF8">
        <w:rPr>
          <w:rFonts w:ascii="VIC" w:hAnsi="VIC"/>
        </w:rPr>
        <w:t>t can be skewed by</w:t>
      </w:r>
      <w:r w:rsidR="000A670A">
        <w:rPr>
          <w:rFonts w:ascii="VIC" w:hAnsi="VIC"/>
        </w:rPr>
        <w:t xml:space="preserve"> one or more</w:t>
      </w:r>
      <w:r w:rsidR="003D6FF8">
        <w:rPr>
          <w:rFonts w:ascii="VIC" w:hAnsi="VIC"/>
        </w:rPr>
        <w:t xml:space="preserve"> </w:t>
      </w:r>
      <w:r w:rsidR="00F61316">
        <w:rPr>
          <w:rFonts w:ascii="VIC" w:hAnsi="VIC"/>
        </w:rPr>
        <w:t>individuals who have extremely high or extremely low salar</w:t>
      </w:r>
      <w:r w:rsidR="00DD56CD">
        <w:rPr>
          <w:rFonts w:ascii="VIC" w:hAnsi="VIC"/>
        </w:rPr>
        <w:t xml:space="preserve">ies, especially if there is a low number of number of people for that classification. </w:t>
      </w:r>
      <w:r w:rsidR="000A670A">
        <w:rPr>
          <w:rFonts w:ascii="VIC" w:hAnsi="VIC"/>
        </w:rPr>
        <w:t xml:space="preserve">In such cases, the mean (average) salary may be a less useful measure. </w:t>
      </w:r>
    </w:p>
    <w:p w14:paraId="38C0778B" w14:textId="0C4A0DE3" w:rsidR="000A670A" w:rsidRDefault="00DD56CD" w:rsidP="00C9404A">
      <w:pPr>
        <w:pStyle w:val="DPCbodyafterbullets"/>
        <w:rPr>
          <w:rFonts w:ascii="VIC" w:hAnsi="VIC"/>
        </w:rPr>
      </w:pPr>
      <w:r>
        <w:rPr>
          <w:rFonts w:ascii="VIC" w:hAnsi="VIC"/>
        </w:rPr>
        <w:t>The median</w:t>
      </w:r>
      <w:r w:rsidR="000A670A">
        <w:rPr>
          <w:rFonts w:ascii="VIC" w:hAnsi="VIC"/>
        </w:rPr>
        <w:t xml:space="preserve"> salary</w:t>
      </w:r>
      <w:r>
        <w:rPr>
          <w:rFonts w:ascii="VIC" w:hAnsi="VIC"/>
        </w:rPr>
        <w:t xml:space="preserve"> is the middle </w:t>
      </w:r>
      <w:r w:rsidR="00AE2F02">
        <w:rPr>
          <w:rFonts w:ascii="VIC" w:hAnsi="VIC"/>
        </w:rPr>
        <w:t>salary</w:t>
      </w:r>
      <w:r>
        <w:rPr>
          <w:rFonts w:ascii="VIC" w:hAnsi="VIC"/>
        </w:rPr>
        <w:t xml:space="preserve"> </w:t>
      </w:r>
      <w:r w:rsidR="00BD1742">
        <w:rPr>
          <w:rFonts w:ascii="VIC" w:hAnsi="VIC"/>
        </w:rPr>
        <w:t>from a list of salaries</w:t>
      </w:r>
      <w:r w:rsidR="00AE2F02">
        <w:rPr>
          <w:rFonts w:ascii="VIC" w:hAnsi="VIC"/>
        </w:rPr>
        <w:t xml:space="preserve"> arranged in ascending or descending order. It may be more useful than the mean (average) when there are extreme values in the dataset as it is not affected by extreme values.</w:t>
      </w:r>
    </w:p>
    <w:p w14:paraId="3E50F6DA" w14:textId="10036D92" w:rsidR="008615AB" w:rsidRPr="00A67293" w:rsidRDefault="00BD1742" w:rsidP="00C9404A">
      <w:pPr>
        <w:pStyle w:val="DPCbodyafterbullets"/>
        <w:rPr>
          <w:rFonts w:ascii="VIC" w:hAnsi="VIC"/>
          <w:b/>
        </w:rPr>
      </w:pPr>
      <w:r>
        <w:rPr>
          <w:rFonts w:ascii="VIC" w:hAnsi="VIC"/>
        </w:rPr>
        <w:t xml:space="preserve">By looking at both the mean and median salary for each classification by gender, you </w:t>
      </w:r>
      <w:r w:rsidR="001653AE">
        <w:rPr>
          <w:rFonts w:ascii="VIC" w:hAnsi="VIC"/>
        </w:rPr>
        <w:t>will be able to gain a better understanding</w:t>
      </w:r>
      <w:r>
        <w:rPr>
          <w:rFonts w:ascii="VIC" w:hAnsi="VIC"/>
        </w:rPr>
        <w:t xml:space="preserve"> of the gender pay gap in your defined entity.</w:t>
      </w:r>
    </w:p>
    <w:p w14:paraId="68E17D44" w14:textId="519C6AFE" w:rsidR="00F608A9" w:rsidRPr="00A67293" w:rsidRDefault="00F608A9" w:rsidP="00C9404A">
      <w:pPr>
        <w:pStyle w:val="DPCbodyafterbullets"/>
        <w:rPr>
          <w:rFonts w:ascii="VIC" w:hAnsi="VIC"/>
          <w:b/>
          <w:bCs/>
        </w:rPr>
      </w:pPr>
      <w:bookmarkStart w:id="21" w:name="_Hlk57044777"/>
      <w:r w:rsidRPr="00A67293">
        <w:rPr>
          <w:rFonts w:ascii="VIC" w:hAnsi="VIC"/>
          <w:b/>
          <w:bCs/>
        </w:rPr>
        <w:t>Governing body</w:t>
      </w:r>
    </w:p>
    <w:p w14:paraId="7701D358" w14:textId="3AEE00D8" w:rsidR="00F90299" w:rsidRDefault="00F712B1" w:rsidP="00C9404A">
      <w:pPr>
        <w:pStyle w:val="DPCbodyafterbullets"/>
        <w:rPr>
          <w:rFonts w:ascii="VIC" w:hAnsi="VIC"/>
          <w:bCs/>
        </w:rPr>
      </w:pPr>
      <w:r>
        <w:rPr>
          <w:rFonts w:ascii="VIC" w:hAnsi="VIC"/>
          <w:bCs/>
          <w:color w:val="auto"/>
        </w:rPr>
        <w:t>A</w:t>
      </w:r>
      <w:r w:rsidRPr="00A67293">
        <w:rPr>
          <w:rFonts w:ascii="VIC" w:hAnsi="VIC"/>
          <w:bCs/>
          <w:color w:val="auto"/>
        </w:rPr>
        <w:t xml:space="preserve"> </w:t>
      </w:r>
      <w:r w:rsidR="00F90299" w:rsidRPr="00A67293">
        <w:rPr>
          <w:rFonts w:ascii="VIC" w:hAnsi="VIC"/>
          <w:bCs/>
          <w:color w:val="auto"/>
        </w:rPr>
        <w:t xml:space="preserve">governing body </w:t>
      </w:r>
      <w:r w:rsidR="00BA6AD7">
        <w:rPr>
          <w:rFonts w:ascii="VIC" w:hAnsi="VIC"/>
          <w:bCs/>
          <w:color w:val="auto"/>
        </w:rPr>
        <w:t>is</w:t>
      </w:r>
      <w:r w:rsidR="00F26308">
        <w:rPr>
          <w:rFonts w:ascii="VIC" w:hAnsi="VIC"/>
          <w:bCs/>
          <w:color w:val="auto"/>
        </w:rPr>
        <w:t xml:space="preserve"> </w:t>
      </w:r>
      <w:r w:rsidR="00B766F2">
        <w:rPr>
          <w:rFonts w:ascii="VIC" w:hAnsi="VIC"/>
          <w:bCs/>
          <w:color w:val="auto"/>
        </w:rPr>
        <w:t>the most senior</w:t>
      </w:r>
      <w:r w:rsidR="00C34951">
        <w:rPr>
          <w:rFonts w:ascii="VIC" w:hAnsi="VIC"/>
          <w:bCs/>
          <w:color w:val="auto"/>
        </w:rPr>
        <w:t xml:space="preserve"> group of people </w:t>
      </w:r>
      <w:r w:rsidR="00C34951" w:rsidRPr="00C34951">
        <w:rPr>
          <w:rFonts w:ascii="VIC" w:hAnsi="VIC"/>
          <w:bCs/>
          <w:color w:val="auto"/>
        </w:rPr>
        <w:t xml:space="preserve">governing the operations of </w:t>
      </w:r>
      <w:r>
        <w:rPr>
          <w:rFonts w:ascii="VIC" w:hAnsi="VIC"/>
          <w:bCs/>
          <w:color w:val="auto"/>
        </w:rPr>
        <w:t>a defined</w:t>
      </w:r>
      <w:r w:rsidR="00C34951" w:rsidRPr="00C34951">
        <w:rPr>
          <w:rFonts w:ascii="VIC" w:hAnsi="VIC"/>
          <w:bCs/>
          <w:color w:val="auto"/>
        </w:rPr>
        <w:t xml:space="preserve"> entity</w:t>
      </w:r>
      <w:r>
        <w:rPr>
          <w:rFonts w:ascii="VIC" w:hAnsi="VIC"/>
          <w:bCs/>
          <w:color w:val="auto"/>
        </w:rPr>
        <w:t xml:space="preserve">, such as </w:t>
      </w:r>
      <w:r w:rsidR="00B766F2">
        <w:rPr>
          <w:rFonts w:ascii="VIC" w:hAnsi="VIC"/>
          <w:bCs/>
          <w:color w:val="auto"/>
        </w:rPr>
        <w:t>the</w:t>
      </w:r>
      <w:r w:rsidR="00B766F2" w:rsidRPr="00A67293">
        <w:rPr>
          <w:rFonts w:ascii="VIC" w:hAnsi="VIC"/>
          <w:bCs/>
          <w:color w:val="auto"/>
        </w:rPr>
        <w:t xml:space="preserve"> </w:t>
      </w:r>
      <w:r w:rsidR="00F90299" w:rsidRPr="00A67293">
        <w:rPr>
          <w:rFonts w:ascii="VIC" w:hAnsi="VIC"/>
          <w:bCs/>
          <w:color w:val="auto"/>
        </w:rPr>
        <w:t>board, council</w:t>
      </w:r>
      <w:r w:rsidR="00B766F2">
        <w:rPr>
          <w:rFonts w:ascii="VIC" w:hAnsi="VIC"/>
          <w:bCs/>
          <w:color w:val="auto"/>
        </w:rPr>
        <w:t xml:space="preserve"> (for local government)</w:t>
      </w:r>
      <w:r w:rsidR="00F90299" w:rsidRPr="00A67293">
        <w:rPr>
          <w:rFonts w:ascii="VIC" w:hAnsi="VIC"/>
          <w:bCs/>
          <w:color w:val="auto"/>
        </w:rPr>
        <w:t>, or</w:t>
      </w:r>
      <w:r w:rsidR="00B766F2">
        <w:rPr>
          <w:rFonts w:ascii="VIC" w:hAnsi="VIC"/>
          <w:bCs/>
          <w:color w:val="auto"/>
        </w:rPr>
        <w:t xml:space="preserve"> executive</w:t>
      </w:r>
      <w:r w:rsidR="00F90299" w:rsidRPr="00A67293">
        <w:rPr>
          <w:rFonts w:ascii="VIC" w:hAnsi="VIC"/>
          <w:bCs/>
          <w:color w:val="auto"/>
        </w:rPr>
        <w:t xml:space="preserve"> committee of management</w:t>
      </w:r>
      <w:r w:rsidR="00F90299" w:rsidRPr="00BA6AD7">
        <w:rPr>
          <w:rFonts w:ascii="VIC" w:hAnsi="VIC"/>
          <w:bCs/>
        </w:rPr>
        <w:t>.</w:t>
      </w:r>
      <w:r w:rsidR="00BA6AD7" w:rsidRPr="00BA6AD7">
        <w:rPr>
          <w:rFonts w:ascii="VIC" w:hAnsi="VIC"/>
          <w:bCs/>
        </w:rPr>
        <w:t xml:space="preserve"> If there</w:t>
      </w:r>
      <w:r w:rsidR="00BA6AD7">
        <w:rPr>
          <w:rFonts w:ascii="VIC" w:hAnsi="VIC"/>
          <w:bCs/>
        </w:rPr>
        <w:t xml:space="preserve"> are multiple boards or sub-committees of management, choose the most senior governing body for the purposes of this reporting</w:t>
      </w:r>
      <w:r w:rsidR="00C3653F">
        <w:rPr>
          <w:rFonts w:ascii="VIC" w:hAnsi="VIC"/>
          <w:bCs/>
        </w:rPr>
        <w:t xml:space="preserve"> (although you may wish to </w:t>
      </w:r>
      <w:r w:rsidR="00B766F2">
        <w:rPr>
          <w:rFonts w:ascii="VIC" w:hAnsi="VIC"/>
          <w:bCs/>
        </w:rPr>
        <w:t xml:space="preserve">separately </w:t>
      </w:r>
      <w:r w:rsidR="00C3653F">
        <w:rPr>
          <w:rFonts w:ascii="VIC" w:hAnsi="VIC"/>
          <w:bCs/>
        </w:rPr>
        <w:t>analyse the gender composition of the others as well)</w:t>
      </w:r>
      <w:r w:rsidR="00BA6AD7">
        <w:rPr>
          <w:rFonts w:ascii="VIC" w:hAnsi="VIC"/>
          <w:bCs/>
        </w:rPr>
        <w:t xml:space="preserve">. </w:t>
      </w:r>
    </w:p>
    <w:p w14:paraId="6B53343A" w14:textId="0023D2D5" w:rsidR="008F2E70" w:rsidRDefault="008F2E70" w:rsidP="00C9404A">
      <w:pPr>
        <w:pStyle w:val="DPCbodyafterbullets"/>
        <w:rPr>
          <w:rFonts w:ascii="VIC" w:hAnsi="VIC"/>
          <w:bCs/>
        </w:rPr>
      </w:pPr>
      <w:r>
        <w:rPr>
          <w:rFonts w:ascii="VIC" w:hAnsi="VIC"/>
          <w:bCs/>
        </w:rPr>
        <w:t>For local government,</w:t>
      </w:r>
      <w:r w:rsidR="002C6F03">
        <w:rPr>
          <w:rFonts w:ascii="VIC" w:hAnsi="VIC"/>
          <w:bCs/>
        </w:rPr>
        <w:t xml:space="preserve"> the</w:t>
      </w:r>
      <w:r>
        <w:rPr>
          <w:rFonts w:ascii="VIC" w:hAnsi="VIC"/>
          <w:bCs/>
        </w:rPr>
        <w:t xml:space="preserve"> governing body of your defined entity will be the</w:t>
      </w:r>
      <w:r w:rsidR="00B766F2">
        <w:rPr>
          <w:rFonts w:ascii="VIC" w:hAnsi="VIC"/>
          <w:bCs/>
        </w:rPr>
        <w:t xml:space="preserve"> elected</w:t>
      </w:r>
      <w:r>
        <w:rPr>
          <w:rFonts w:ascii="VIC" w:hAnsi="VIC"/>
          <w:bCs/>
        </w:rPr>
        <w:t xml:space="preserve"> Councillors</w:t>
      </w:r>
      <w:r w:rsidR="00FD61E3">
        <w:rPr>
          <w:rFonts w:ascii="VIC" w:hAnsi="VIC"/>
          <w:bCs/>
        </w:rPr>
        <w:t xml:space="preserve"> of your </w:t>
      </w:r>
      <w:r w:rsidR="00B35B8F">
        <w:rPr>
          <w:rFonts w:ascii="VIC" w:hAnsi="VIC"/>
          <w:bCs/>
        </w:rPr>
        <w:t>local government area</w:t>
      </w:r>
      <w:r>
        <w:rPr>
          <w:rFonts w:ascii="VIC" w:hAnsi="VIC"/>
          <w:bCs/>
        </w:rPr>
        <w:t xml:space="preserve">. </w:t>
      </w:r>
    </w:p>
    <w:p w14:paraId="79B4F469" w14:textId="534A526A" w:rsidR="00F712B1" w:rsidRPr="007E6336" w:rsidRDefault="00F712B1" w:rsidP="00C9404A">
      <w:pPr>
        <w:pStyle w:val="DPCbodyafterbullets"/>
        <w:rPr>
          <w:rFonts w:ascii="VIC" w:hAnsi="VIC"/>
          <w:bCs/>
        </w:rPr>
      </w:pPr>
      <w:r>
        <w:rPr>
          <w:rFonts w:ascii="VIC" w:hAnsi="VIC"/>
          <w:bCs/>
        </w:rPr>
        <w:t xml:space="preserve">Not all defined entities have a governing body. </w:t>
      </w:r>
    </w:p>
    <w:bookmarkEnd w:id="21"/>
    <w:p w14:paraId="4F1D159B" w14:textId="14575FC5" w:rsidR="00050748" w:rsidRPr="00A67293" w:rsidRDefault="00050748" w:rsidP="00C9404A">
      <w:pPr>
        <w:pStyle w:val="DPCbodyafterbullets"/>
        <w:rPr>
          <w:rFonts w:ascii="VIC" w:hAnsi="VIC"/>
          <w:b/>
        </w:rPr>
      </w:pPr>
      <w:r w:rsidRPr="00A67293">
        <w:rPr>
          <w:rFonts w:ascii="VIC" w:hAnsi="VIC"/>
          <w:b/>
        </w:rPr>
        <w:t>Higher duties</w:t>
      </w:r>
    </w:p>
    <w:p w14:paraId="29D2B2AD" w14:textId="14C97C36" w:rsidR="00050748" w:rsidRPr="00A67293" w:rsidRDefault="00050748" w:rsidP="00C9404A">
      <w:pPr>
        <w:pStyle w:val="DPCbodyafterbullets"/>
        <w:rPr>
          <w:rFonts w:ascii="VIC" w:hAnsi="VIC"/>
        </w:rPr>
      </w:pPr>
      <w:r w:rsidRPr="00A67293">
        <w:rPr>
          <w:rFonts w:ascii="VIC" w:hAnsi="VIC"/>
        </w:rPr>
        <w:t xml:space="preserve">Higher duties assignments refer to </w:t>
      </w:r>
      <w:r w:rsidR="00E50D13">
        <w:rPr>
          <w:rFonts w:ascii="VIC" w:hAnsi="VIC"/>
        </w:rPr>
        <w:t xml:space="preserve">temporary </w:t>
      </w:r>
      <w:r w:rsidRPr="00A67293">
        <w:rPr>
          <w:rFonts w:ascii="VIC" w:hAnsi="VIC"/>
        </w:rPr>
        <w:t>internal arrangements where an employee moves into a higher classification</w:t>
      </w:r>
      <w:r w:rsidR="0046033F" w:rsidRPr="00A67293">
        <w:rPr>
          <w:rFonts w:ascii="VIC" w:hAnsi="VIC"/>
          <w:color w:val="FF0000"/>
        </w:rPr>
        <w:t xml:space="preserve"> </w:t>
      </w:r>
      <w:r w:rsidRPr="00A67293">
        <w:rPr>
          <w:rFonts w:ascii="VIC" w:hAnsi="VIC"/>
        </w:rPr>
        <w:t xml:space="preserve">for a period of more than two weeks. </w:t>
      </w:r>
    </w:p>
    <w:p w14:paraId="131D68BF" w14:textId="77777777" w:rsidR="00050748" w:rsidRPr="00A67293" w:rsidRDefault="00050748" w:rsidP="00C9404A">
      <w:pPr>
        <w:pStyle w:val="DPCbodyafterbullets"/>
        <w:rPr>
          <w:rFonts w:ascii="VIC" w:hAnsi="VIC"/>
          <w:b/>
        </w:rPr>
      </w:pPr>
      <w:r w:rsidRPr="00A67293">
        <w:rPr>
          <w:rFonts w:ascii="VIC" w:hAnsi="VIC"/>
          <w:b/>
        </w:rPr>
        <w:t>Parental leave</w:t>
      </w:r>
    </w:p>
    <w:p w14:paraId="6A482F51" w14:textId="7DAE0CFE" w:rsidR="00050748" w:rsidRDefault="00050748" w:rsidP="00C9404A">
      <w:pPr>
        <w:pStyle w:val="DPCbodyafterbullets"/>
        <w:rPr>
          <w:rFonts w:ascii="VIC" w:hAnsi="VIC"/>
        </w:rPr>
      </w:pPr>
      <w:r w:rsidRPr="00A67293">
        <w:rPr>
          <w:rFonts w:ascii="VIC" w:hAnsi="VIC"/>
        </w:rPr>
        <w:t xml:space="preserve">Parental leave refers to both paid and unpaid parental leave, which may be </w:t>
      </w:r>
      <w:r w:rsidR="001624E9">
        <w:rPr>
          <w:rFonts w:ascii="VIC" w:hAnsi="VIC"/>
        </w:rPr>
        <w:t>classified</w:t>
      </w:r>
      <w:r w:rsidR="001624E9" w:rsidRPr="00A67293">
        <w:rPr>
          <w:rFonts w:ascii="VIC" w:hAnsi="VIC"/>
        </w:rPr>
        <w:t xml:space="preserve"> </w:t>
      </w:r>
      <w:r w:rsidRPr="00A67293">
        <w:rPr>
          <w:rFonts w:ascii="VIC" w:hAnsi="VIC"/>
        </w:rPr>
        <w:t xml:space="preserve">as </w:t>
      </w:r>
      <w:r w:rsidR="00E531DA">
        <w:rPr>
          <w:rFonts w:ascii="VIC" w:hAnsi="VIC"/>
        </w:rPr>
        <w:t>P</w:t>
      </w:r>
      <w:r w:rsidRPr="00A67293">
        <w:rPr>
          <w:rFonts w:ascii="VIC" w:hAnsi="VIC"/>
        </w:rPr>
        <w:t>rimary</w:t>
      </w:r>
      <w:r w:rsidR="00E531DA">
        <w:rPr>
          <w:rFonts w:ascii="VIC" w:hAnsi="VIC"/>
        </w:rPr>
        <w:t xml:space="preserve"> Carers</w:t>
      </w:r>
      <w:r w:rsidRPr="00A67293">
        <w:rPr>
          <w:rFonts w:ascii="VIC" w:hAnsi="VIC"/>
        </w:rPr>
        <w:t xml:space="preserve">/Maternity/Birth Parent Leave or Partner/Secondary </w:t>
      </w:r>
      <w:r w:rsidR="00E531DA">
        <w:rPr>
          <w:rFonts w:ascii="VIC" w:hAnsi="VIC"/>
        </w:rPr>
        <w:t xml:space="preserve">Carers </w:t>
      </w:r>
      <w:r w:rsidRPr="00A67293">
        <w:rPr>
          <w:rFonts w:ascii="VIC" w:hAnsi="VIC"/>
        </w:rPr>
        <w:t>Parental Leave.</w:t>
      </w:r>
      <w:r w:rsidR="00477D74">
        <w:rPr>
          <w:rFonts w:ascii="VIC" w:hAnsi="VIC"/>
        </w:rPr>
        <w:t xml:space="preserve"> </w:t>
      </w:r>
      <w:r w:rsidR="00B766F2">
        <w:rPr>
          <w:rFonts w:ascii="VIC" w:hAnsi="VIC"/>
        </w:rPr>
        <w:t xml:space="preserve">This also includes adoption or surrogacy related leave. </w:t>
      </w:r>
    </w:p>
    <w:p w14:paraId="18160BC3" w14:textId="4D2BD9E1" w:rsidR="00477D74" w:rsidRPr="00A67293" w:rsidRDefault="00477D74" w:rsidP="00C9404A">
      <w:pPr>
        <w:pStyle w:val="DPCbodyafterbullets"/>
        <w:rPr>
          <w:rFonts w:ascii="VIC" w:hAnsi="VIC"/>
        </w:rPr>
      </w:pPr>
      <w:r>
        <w:rPr>
          <w:rFonts w:ascii="VIC" w:hAnsi="VIC"/>
        </w:rPr>
        <w:t xml:space="preserve">Include all people who have taken any type of parental leave </w:t>
      </w:r>
      <w:r w:rsidR="00B42C79">
        <w:rPr>
          <w:rFonts w:ascii="VIC" w:hAnsi="VIC"/>
        </w:rPr>
        <w:t>during the reporting period</w:t>
      </w:r>
      <w:r w:rsidR="00D127F7">
        <w:rPr>
          <w:rFonts w:ascii="VIC" w:hAnsi="VIC"/>
        </w:rPr>
        <w:t xml:space="preserve">, and how many weeks of paid and unpaid leave they have taken. </w:t>
      </w:r>
      <w:r w:rsidR="006232C0">
        <w:rPr>
          <w:rFonts w:ascii="VIC" w:hAnsi="VIC"/>
        </w:rPr>
        <w:t xml:space="preserve">The number of weeks of parental leave taken should be calculated based on the </w:t>
      </w:r>
      <w:r w:rsidR="006232C0" w:rsidRPr="006232C0">
        <w:rPr>
          <w:rFonts w:ascii="VIC" w:hAnsi="VIC"/>
        </w:rPr>
        <w:t>standard working week hours for the relevant employees (</w:t>
      </w:r>
      <w:r w:rsidR="006232C0">
        <w:rPr>
          <w:rFonts w:ascii="VIC" w:hAnsi="VIC"/>
        </w:rPr>
        <w:t>e</w:t>
      </w:r>
      <w:r w:rsidR="004070E2">
        <w:rPr>
          <w:rFonts w:ascii="VIC" w:hAnsi="VIC"/>
        </w:rPr>
        <w:t>.</w:t>
      </w:r>
      <w:r w:rsidR="006232C0">
        <w:rPr>
          <w:rFonts w:ascii="VIC" w:hAnsi="VIC"/>
        </w:rPr>
        <w:t>g</w:t>
      </w:r>
      <w:r w:rsidR="004070E2">
        <w:rPr>
          <w:rFonts w:ascii="VIC" w:hAnsi="VIC"/>
        </w:rPr>
        <w:t>.</w:t>
      </w:r>
      <w:r w:rsidR="006232C0" w:rsidRPr="006232C0">
        <w:rPr>
          <w:rFonts w:ascii="VIC" w:hAnsi="VIC"/>
        </w:rPr>
        <w:t xml:space="preserve"> if someone takes 24 hours of parental leave during a week, and their standard working week is 24 hours per week, that would count as 1 week of parental leave). </w:t>
      </w:r>
      <w:r w:rsidR="000A7C8C">
        <w:rPr>
          <w:rFonts w:ascii="VIC" w:hAnsi="VIC"/>
        </w:rPr>
        <w:t>Leave taken at half</w:t>
      </w:r>
      <w:r w:rsidR="00C44B79">
        <w:rPr>
          <w:rFonts w:ascii="VIC" w:hAnsi="VIC"/>
        </w:rPr>
        <w:t xml:space="preserve"> pay should be divided appropriately into paid and unpaid weeks (e.g. if someone takes </w:t>
      </w:r>
      <w:r w:rsidR="00402292">
        <w:rPr>
          <w:rFonts w:ascii="VIC" w:hAnsi="VIC"/>
        </w:rPr>
        <w:t>12 weeks at half pay this should be counted as 6 weeks of paid leave and 6 weeks of unpaid leave</w:t>
      </w:r>
      <w:r w:rsidR="00E26417">
        <w:rPr>
          <w:rFonts w:ascii="VIC" w:hAnsi="VIC"/>
        </w:rPr>
        <w:t>).</w:t>
      </w:r>
    </w:p>
    <w:p w14:paraId="17EBAB27" w14:textId="310CCD60" w:rsidR="00C10B3E" w:rsidRPr="00A67293" w:rsidRDefault="00C10B3E" w:rsidP="00C9404A">
      <w:pPr>
        <w:pStyle w:val="DPCbodyafterbullets"/>
        <w:rPr>
          <w:rFonts w:ascii="VIC" w:hAnsi="VIC"/>
          <w:b/>
          <w:bCs/>
        </w:rPr>
      </w:pPr>
      <w:r w:rsidRPr="00A67293">
        <w:rPr>
          <w:rFonts w:ascii="VIC" w:hAnsi="VIC"/>
          <w:b/>
          <w:bCs/>
        </w:rPr>
        <w:t>Promotion</w:t>
      </w:r>
    </w:p>
    <w:p w14:paraId="6CD3E751" w14:textId="53346C78" w:rsidR="00F90299" w:rsidRPr="00A67293" w:rsidRDefault="00F90299" w:rsidP="00C9404A">
      <w:pPr>
        <w:pStyle w:val="DPCbodyafterbullets"/>
        <w:rPr>
          <w:rFonts w:ascii="VIC" w:hAnsi="VIC"/>
          <w:color w:val="auto"/>
        </w:rPr>
      </w:pPr>
      <w:r w:rsidRPr="00A67293">
        <w:rPr>
          <w:rFonts w:ascii="VIC" w:hAnsi="VIC"/>
          <w:color w:val="auto"/>
        </w:rPr>
        <w:t xml:space="preserve">Promotion refers to an existing employee being appointed to a role at a classification higher than their previous role. This includes promotions awarded through competitive recruitment processes as well as promotions awarded after a fixed period. It does not include lateral transfers (at the same classification) or </w:t>
      </w:r>
      <w:r w:rsidR="001624E9">
        <w:rPr>
          <w:rFonts w:ascii="VIC" w:hAnsi="VIC"/>
          <w:color w:val="auto"/>
        </w:rPr>
        <w:t xml:space="preserve">temporary </w:t>
      </w:r>
      <w:r w:rsidRPr="00A67293">
        <w:rPr>
          <w:rFonts w:ascii="VIC" w:hAnsi="VIC"/>
          <w:color w:val="auto"/>
        </w:rPr>
        <w:t>higher duties opportunities.</w:t>
      </w:r>
    </w:p>
    <w:p w14:paraId="6E4C1EA6" w14:textId="77777777" w:rsidR="00050748" w:rsidRPr="00A67293" w:rsidRDefault="00050748" w:rsidP="00C9404A">
      <w:pPr>
        <w:pStyle w:val="DPCbodyafterbullets"/>
        <w:rPr>
          <w:rFonts w:ascii="VIC" w:hAnsi="VIC"/>
          <w:b/>
        </w:rPr>
      </w:pPr>
      <w:r w:rsidRPr="00A67293">
        <w:rPr>
          <w:rFonts w:ascii="VIC" w:hAnsi="VIC"/>
          <w:b/>
        </w:rPr>
        <w:t>Recruitment</w:t>
      </w:r>
    </w:p>
    <w:p w14:paraId="7940B98B" w14:textId="695CD084" w:rsidR="00050748" w:rsidRPr="00A67293" w:rsidRDefault="00050748" w:rsidP="00C9404A">
      <w:pPr>
        <w:pStyle w:val="DPCbodyafterbullets"/>
        <w:rPr>
          <w:rFonts w:ascii="VIC" w:hAnsi="VIC"/>
          <w:color w:val="auto"/>
        </w:rPr>
      </w:pPr>
      <w:r w:rsidRPr="00A67293">
        <w:rPr>
          <w:rFonts w:ascii="VIC" w:hAnsi="VIC"/>
          <w:color w:val="auto"/>
        </w:rPr>
        <w:t xml:space="preserve">Recruitment refers to </w:t>
      </w:r>
      <w:r w:rsidR="001624E9">
        <w:rPr>
          <w:rFonts w:ascii="VIC" w:hAnsi="VIC"/>
          <w:color w:val="auto"/>
        </w:rPr>
        <w:t xml:space="preserve">people who have been newly appointed to a role from </w:t>
      </w:r>
      <w:r w:rsidRPr="00A67293">
        <w:rPr>
          <w:rFonts w:ascii="VIC" w:hAnsi="VIC"/>
          <w:color w:val="auto"/>
        </w:rPr>
        <w:t xml:space="preserve">both internal </w:t>
      </w:r>
      <w:r w:rsidR="00320348" w:rsidRPr="00A67293">
        <w:rPr>
          <w:rFonts w:ascii="VIC" w:hAnsi="VIC"/>
          <w:color w:val="auto"/>
        </w:rPr>
        <w:t xml:space="preserve">(roles filled by employees within the </w:t>
      </w:r>
      <w:r w:rsidR="00E62844">
        <w:rPr>
          <w:rFonts w:ascii="VIC" w:hAnsi="VIC"/>
          <w:color w:val="auto"/>
        </w:rPr>
        <w:t>defined entity</w:t>
      </w:r>
      <w:r w:rsidR="00320348" w:rsidRPr="00A67293">
        <w:rPr>
          <w:rFonts w:ascii="VIC" w:hAnsi="VIC"/>
          <w:color w:val="auto"/>
        </w:rPr>
        <w:t xml:space="preserve">) </w:t>
      </w:r>
      <w:r w:rsidRPr="00A67293">
        <w:rPr>
          <w:rFonts w:ascii="VIC" w:hAnsi="VIC"/>
          <w:color w:val="auto"/>
        </w:rPr>
        <w:t xml:space="preserve">and </w:t>
      </w:r>
      <w:r w:rsidR="00703DAB" w:rsidRPr="00A67293">
        <w:rPr>
          <w:rFonts w:ascii="VIC" w:hAnsi="VIC"/>
          <w:color w:val="auto"/>
        </w:rPr>
        <w:t>external (</w:t>
      </w:r>
      <w:r w:rsidR="00320348" w:rsidRPr="00A67293">
        <w:rPr>
          <w:rFonts w:ascii="VIC" w:hAnsi="VIC"/>
          <w:color w:val="auto"/>
        </w:rPr>
        <w:t xml:space="preserve">roles filled by people from outside of the </w:t>
      </w:r>
      <w:r w:rsidR="00E62844">
        <w:rPr>
          <w:rFonts w:ascii="VIC" w:hAnsi="VIC"/>
          <w:color w:val="auto"/>
        </w:rPr>
        <w:t>defined entity</w:t>
      </w:r>
      <w:r w:rsidR="00320348" w:rsidRPr="00A67293">
        <w:rPr>
          <w:rFonts w:ascii="VIC" w:hAnsi="VIC"/>
          <w:color w:val="auto"/>
        </w:rPr>
        <w:t xml:space="preserve">) </w:t>
      </w:r>
      <w:r w:rsidRPr="00A67293">
        <w:rPr>
          <w:rFonts w:ascii="VIC" w:hAnsi="VIC"/>
          <w:color w:val="auto"/>
        </w:rPr>
        <w:t>recruitment</w:t>
      </w:r>
      <w:r w:rsidR="001624E9">
        <w:rPr>
          <w:rFonts w:ascii="VIC" w:hAnsi="VIC"/>
          <w:color w:val="auto"/>
        </w:rPr>
        <w:t xml:space="preserve"> processes. It does not include people who have been promoted. </w:t>
      </w:r>
    </w:p>
    <w:p w14:paraId="736F7434" w14:textId="26526E4C" w:rsidR="00621187" w:rsidRPr="00C50D9C" w:rsidRDefault="00621187" w:rsidP="00621187">
      <w:pPr>
        <w:pStyle w:val="DPCbodyafterbullets"/>
        <w:rPr>
          <w:rFonts w:ascii="VIC" w:hAnsi="VIC"/>
          <w:b/>
        </w:rPr>
      </w:pPr>
      <w:bookmarkStart w:id="22" w:name="_Hlk42591925"/>
      <w:r w:rsidRPr="00C50D9C">
        <w:rPr>
          <w:rFonts w:ascii="VIC" w:hAnsi="VIC"/>
          <w:b/>
        </w:rPr>
        <w:t xml:space="preserve">Remuneration  </w:t>
      </w:r>
    </w:p>
    <w:p w14:paraId="5DC24102" w14:textId="6CD72B74" w:rsidR="00C50D9C" w:rsidRPr="00E16769" w:rsidRDefault="00C50D9C" w:rsidP="00621187">
      <w:pPr>
        <w:pStyle w:val="DPCbody"/>
        <w:rPr>
          <w:rFonts w:ascii="VIC" w:hAnsi="VIC"/>
        </w:rPr>
      </w:pPr>
      <w:r w:rsidRPr="00E16769">
        <w:rPr>
          <w:rFonts w:ascii="VIC" w:hAnsi="VIC"/>
        </w:rPr>
        <w:t xml:space="preserve">Remuneration is being collected using three key categories: </w:t>
      </w:r>
      <w:r w:rsidR="0052309D">
        <w:rPr>
          <w:rFonts w:ascii="VIC" w:hAnsi="VIC"/>
        </w:rPr>
        <w:t>B</w:t>
      </w:r>
      <w:r w:rsidRPr="00E16769">
        <w:rPr>
          <w:rFonts w:ascii="VIC" w:hAnsi="VIC"/>
        </w:rPr>
        <w:t xml:space="preserve">ase salary, Fixed remuneration, and Total remuneration.  </w:t>
      </w:r>
    </w:p>
    <w:p w14:paraId="15C9E308" w14:textId="1DA8D6A1" w:rsidR="00621187" w:rsidRPr="00C50D9C" w:rsidRDefault="00C50D9C" w:rsidP="00E16769">
      <w:pPr>
        <w:pStyle w:val="DPCbody"/>
        <w:ind w:left="720"/>
        <w:rPr>
          <w:rFonts w:ascii="VIC" w:hAnsi="VIC"/>
        </w:rPr>
      </w:pPr>
      <w:r w:rsidRPr="00E16769">
        <w:rPr>
          <w:rFonts w:ascii="VIC" w:hAnsi="VIC"/>
          <w:b/>
        </w:rPr>
        <w:t>Base Salary</w:t>
      </w:r>
      <w:r>
        <w:rPr>
          <w:rFonts w:ascii="VIC" w:hAnsi="VIC"/>
        </w:rPr>
        <w:t xml:space="preserve"> is t</w:t>
      </w:r>
      <w:r w:rsidR="00621187" w:rsidRPr="00C50D9C">
        <w:rPr>
          <w:rFonts w:ascii="VIC" w:hAnsi="VIC"/>
        </w:rPr>
        <w:t>he</w:t>
      </w:r>
      <w:r w:rsidR="00BE2A28" w:rsidRPr="00BE2A28">
        <w:rPr>
          <w:rFonts w:ascii="VIC" w:hAnsi="VIC"/>
        </w:rPr>
        <w:t xml:space="preserve"> </w:t>
      </w:r>
      <w:r w:rsidR="00621187" w:rsidRPr="00BE2A28">
        <w:rPr>
          <w:rFonts w:ascii="VIC" w:hAnsi="VIC"/>
        </w:rPr>
        <w:t>full</w:t>
      </w:r>
      <w:r w:rsidR="00BE2A28" w:rsidRPr="00BE2A28">
        <w:rPr>
          <w:rFonts w:ascii="VIC" w:hAnsi="VIC"/>
        </w:rPr>
        <w:t xml:space="preserve"> </w:t>
      </w:r>
      <w:r w:rsidR="00621187" w:rsidRPr="00BE2A28">
        <w:rPr>
          <w:rFonts w:ascii="VIC" w:hAnsi="VIC"/>
        </w:rPr>
        <w:t xml:space="preserve">time </w:t>
      </w:r>
      <w:r>
        <w:rPr>
          <w:rFonts w:ascii="VIC" w:hAnsi="VIC"/>
        </w:rPr>
        <w:t xml:space="preserve">equivalent </w:t>
      </w:r>
      <w:r w:rsidR="00BE2A28" w:rsidRPr="00BE2A28">
        <w:rPr>
          <w:rFonts w:ascii="VIC" w:hAnsi="VIC"/>
        </w:rPr>
        <w:t>annualised salary specified in the relevant employee agreement for the individual</w:t>
      </w:r>
      <w:r w:rsidR="00BE2A28">
        <w:rPr>
          <w:rFonts w:ascii="VIC" w:hAnsi="VIC"/>
        </w:rPr>
        <w:t xml:space="preserve">. </w:t>
      </w:r>
    </w:p>
    <w:p w14:paraId="24700129" w14:textId="23511E08" w:rsidR="00DD6C2B" w:rsidRDefault="00DD6C2B">
      <w:pPr>
        <w:pStyle w:val="DPCbullet1"/>
        <w:numPr>
          <w:ilvl w:val="0"/>
          <w:numId w:val="64"/>
        </w:numPr>
        <w:ind w:left="1440"/>
      </w:pPr>
      <w:r>
        <w:t xml:space="preserve">Include: Salary payments, </w:t>
      </w:r>
      <w:r w:rsidRPr="00A04DA4">
        <w:rPr>
          <w:color w:val="auto"/>
        </w:rPr>
        <w:t xml:space="preserve">any packaged or salary sacrificed component, annual leave, leave loading, long service leave, workers compensation payments, </w:t>
      </w:r>
      <w:r w:rsidRPr="00D52C66">
        <w:rPr>
          <w:color w:val="auto"/>
        </w:rPr>
        <w:t>penalty rates</w:t>
      </w:r>
      <w:r w:rsidRPr="00E16769">
        <w:rPr>
          <w:color w:val="auto"/>
        </w:rPr>
        <w:t xml:space="preserve"> </w:t>
      </w:r>
      <w:r w:rsidR="00B93D0B" w:rsidRPr="00E16769">
        <w:rPr>
          <w:color w:val="auto"/>
        </w:rPr>
        <w:t>(if part of an employee’s usual working hours)</w:t>
      </w:r>
    </w:p>
    <w:p w14:paraId="5E5AB57D" w14:textId="713E9CAD" w:rsidR="00DD6C2B" w:rsidRDefault="00621187" w:rsidP="00E16769">
      <w:pPr>
        <w:pStyle w:val="DPCbullet1"/>
        <w:numPr>
          <w:ilvl w:val="0"/>
          <w:numId w:val="64"/>
        </w:numPr>
        <w:ind w:left="1440"/>
      </w:pPr>
      <w:r w:rsidRPr="00C50D9C">
        <w:t>Exclude</w:t>
      </w:r>
      <w:r w:rsidR="00DD6C2B">
        <w:t>:</w:t>
      </w:r>
      <w:r w:rsidRPr="00C50D9C">
        <w:t xml:space="preserve"> employer contribution to </w:t>
      </w:r>
      <w:r w:rsidR="00DD6C2B">
        <w:t>superannuation</w:t>
      </w:r>
      <w:r w:rsidR="007031E5">
        <w:t>, fixed remuneration (see below)</w:t>
      </w:r>
    </w:p>
    <w:p w14:paraId="18AF3D91" w14:textId="3AC1FAC4" w:rsidR="00B26526" w:rsidRPr="00C50D9C" w:rsidRDefault="00DD6C2B" w:rsidP="00E16769">
      <w:pPr>
        <w:pStyle w:val="DPCbullet1"/>
        <w:numPr>
          <w:ilvl w:val="0"/>
          <w:numId w:val="64"/>
        </w:numPr>
        <w:ind w:left="1440"/>
      </w:pPr>
      <w:r>
        <w:t>Annualise base salary for a complete pay year</w:t>
      </w:r>
      <w:r w:rsidR="00B26526">
        <w:t>, and</w:t>
      </w:r>
      <w:r>
        <w:t xml:space="preserve"> </w:t>
      </w:r>
      <w:r w:rsidR="00B26526">
        <w:t>c</w:t>
      </w:r>
      <w:r>
        <w:t xml:space="preserve">onvert to 1 FTE. </w:t>
      </w:r>
    </w:p>
    <w:p w14:paraId="33DA1708" w14:textId="383B4D11" w:rsidR="00621187" w:rsidRPr="00C50D9C" w:rsidRDefault="00621187" w:rsidP="00E16769">
      <w:pPr>
        <w:pStyle w:val="DPCbullet1"/>
        <w:numPr>
          <w:ilvl w:val="1"/>
          <w:numId w:val="64"/>
        </w:numPr>
        <w:ind w:left="2160"/>
      </w:pPr>
      <w:r w:rsidRPr="00C50D9C">
        <w:t>For example, if a person is hired to a position where the FTE is $</w:t>
      </w:r>
      <w:r w:rsidR="001624E9" w:rsidRPr="00C50D9C">
        <w:t>8</w:t>
      </w:r>
      <w:r w:rsidRPr="00C50D9C">
        <w:t xml:space="preserve">0,000 per annum, regardless of the actual time worked (whether part-time/full-time or over </w:t>
      </w:r>
      <w:r w:rsidR="00967D18" w:rsidRPr="00C50D9C">
        <w:t>6- or 12-month</w:t>
      </w:r>
      <w:r w:rsidRPr="00C50D9C">
        <w:t xml:space="preserve"> period), the annual base salary </w:t>
      </w:r>
      <w:r w:rsidR="001624E9" w:rsidRPr="00C50D9C">
        <w:t xml:space="preserve">should be recorded as </w:t>
      </w:r>
      <w:r w:rsidRPr="00C50D9C">
        <w:t>$</w:t>
      </w:r>
      <w:r w:rsidR="001624E9" w:rsidRPr="00C50D9C">
        <w:t>8</w:t>
      </w:r>
      <w:r w:rsidRPr="00C50D9C">
        <w:t>0,000.</w:t>
      </w:r>
    </w:p>
    <w:p w14:paraId="5D4A50D6" w14:textId="044AD676" w:rsidR="00A849D1" w:rsidRDefault="00522A02" w:rsidP="00E16769">
      <w:pPr>
        <w:pStyle w:val="DPCbodyafterbullets"/>
        <w:ind w:left="720"/>
        <w:rPr>
          <w:rFonts w:ascii="VIC" w:hAnsi="VIC"/>
        </w:rPr>
      </w:pPr>
      <w:r w:rsidRPr="00E16769">
        <w:rPr>
          <w:rFonts w:ascii="VIC" w:hAnsi="VIC"/>
          <w:b/>
        </w:rPr>
        <w:t>Fixed remuneration</w:t>
      </w:r>
      <w:r w:rsidR="00B962A8" w:rsidRPr="00E16769">
        <w:rPr>
          <w:rFonts w:ascii="VIC" w:hAnsi="VIC"/>
          <w:bCs/>
        </w:rPr>
        <w:t xml:space="preserve"> is the compensation that an employee receives</w:t>
      </w:r>
      <w:r w:rsidR="00B962A8">
        <w:rPr>
          <w:rFonts w:ascii="VIC" w:hAnsi="VIC"/>
        </w:rPr>
        <w:t xml:space="preserve"> </w:t>
      </w:r>
      <w:r w:rsidR="00960FC2">
        <w:rPr>
          <w:rFonts w:ascii="VIC" w:hAnsi="VIC"/>
          <w:bCs/>
        </w:rPr>
        <w:t>as a fixed payment</w:t>
      </w:r>
      <w:r w:rsidR="00B962A8" w:rsidRPr="00E16769">
        <w:rPr>
          <w:rFonts w:ascii="VIC" w:hAnsi="VIC"/>
          <w:bCs/>
        </w:rPr>
        <w:t xml:space="preserve"> regardless of the number of hours they work. This may include bonuses or other payment types that are not associated with the number of hours worked, and outside of base salary. Fixed remuneration payments should be reported as actual amounts. Do not annualise or convert these to a full-time equivalent amount.</w:t>
      </w:r>
      <w:r w:rsidR="00960FC2">
        <w:rPr>
          <w:rFonts w:ascii="VIC" w:hAnsi="VIC"/>
          <w:bCs/>
        </w:rPr>
        <w:t xml:space="preserve"> This field should be recorded as 0 if there are no fixed payments being made to an employee. </w:t>
      </w:r>
    </w:p>
    <w:p w14:paraId="3B8F325D" w14:textId="4852CA23" w:rsidR="00960FC2" w:rsidRPr="00E16769" w:rsidRDefault="00960FC2">
      <w:pPr>
        <w:pStyle w:val="DPCbullet1"/>
        <w:numPr>
          <w:ilvl w:val="0"/>
          <w:numId w:val="64"/>
        </w:numPr>
        <w:ind w:left="1440"/>
      </w:pPr>
      <w:r>
        <w:t xml:space="preserve">Include: </w:t>
      </w:r>
      <w:r w:rsidRPr="00E16769">
        <w:t>Fixed allowances (</w:t>
      </w:r>
      <w:proofErr w:type="spellStart"/>
      <w:r w:rsidRPr="00E16769">
        <w:t>eg</w:t>
      </w:r>
      <w:proofErr w:type="spellEnd"/>
      <w:r w:rsidRPr="00E16769">
        <w:t xml:space="preserve"> first aid, clothing, accommodation, study)</w:t>
      </w:r>
      <w:r>
        <w:t xml:space="preserve">, </w:t>
      </w:r>
      <w:r w:rsidR="00FC5529">
        <w:t>f</w:t>
      </w:r>
      <w:r w:rsidRPr="00E16769">
        <w:t>ixed bonuses</w:t>
      </w:r>
      <w:r>
        <w:t xml:space="preserve">, </w:t>
      </w:r>
      <w:r w:rsidR="00FC5529">
        <w:t>f</w:t>
      </w:r>
      <w:r w:rsidRPr="00E16769">
        <w:t>ixed discretionary pay</w:t>
      </w:r>
      <w:r>
        <w:t xml:space="preserve">, </w:t>
      </w:r>
      <w:r w:rsidR="000817F5" w:rsidRPr="00E16769">
        <w:rPr>
          <w:rFonts w:cstheme="minorHAnsi"/>
          <w:color w:val="auto"/>
        </w:rPr>
        <w:t>o</w:t>
      </w:r>
      <w:r w:rsidR="0074181D" w:rsidRPr="00E16769">
        <w:rPr>
          <w:rFonts w:cstheme="minorHAnsi"/>
          <w:color w:val="auto"/>
        </w:rPr>
        <w:t xml:space="preserve">vertime </w:t>
      </w:r>
      <w:r w:rsidR="00FC5529" w:rsidRPr="00E16769">
        <w:rPr>
          <w:rFonts w:cstheme="minorHAnsi"/>
          <w:color w:val="auto"/>
        </w:rPr>
        <w:t>(including penalty rates where not part of an employee’s usual working hours)</w:t>
      </w:r>
    </w:p>
    <w:p w14:paraId="7DDC3B55" w14:textId="1017749A" w:rsidR="00960FC2" w:rsidRDefault="00960FC2">
      <w:pPr>
        <w:pStyle w:val="DPCbullet1"/>
        <w:numPr>
          <w:ilvl w:val="0"/>
          <w:numId w:val="64"/>
        </w:numPr>
        <w:ind w:left="1440"/>
        <w:rPr>
          <w:color w:val="auto"/>
        </w:rPr>
      </w:pPr>
      <w:r w:rsidRPr="00E16769">
        <w:rPr>
          <w:color w:val="auto"/>
        </w:rPr>
        <w:t>Exclude</w:t>
      </w:r>
      <w:r>
        <w:rPr>
          <w:color w:val="auto"/>
        </w:rPr>
        <w:t xml:space="preserve">: Any amounts already included in base salary </w:t>
      </w:r>
    </w:p>
    <w:p w14:paraId="7F027BB0" w14:textId="7DECEB9F" w:rsidR="00B26526" w:rsidRPr="00E16769" w:rsidRDefault="00960FC2" w:rsidP="00E16769">
      <w:pPr>
        <w:pStyle w:val="DPCbullet1"/>
        <w:numPr>
          <w:ilvl w:val="0"/>
          <w:numId w:val="64"/>
        </w:numPr>
        <w:ind w:left="1440"/>
        <w:rPr>
          <w:color w:val="auto"/>
        </w:rPr>
      </w:pPr>
      <w:r>
        <w:rPr>
          <w:color w:val="auto"/>
        </w:rPr>
        <w:t>Do not annualise fixed remuneration for a complete pay year</w:t>
      </w:r>
      <w:r w:rsidR="00B26526">
        <w:rPr>
          <w:color w:val="auto"/>
        </w:rPr>
        <w:t>, and d</w:t>
      </w:r>
      <w:r w:rsidR="00B26526" w:rsidRPr="003F4435">
        <w:rPr>
          <w:color w:val="auto"/>
        </w:rPr>
        <w:t xml:space="preserve">o not convert </w:t>
      </w:r>
      <w:r w:rsidR="00B26526" w:rsidRPr="00B575DB">
        <w:rPr>
          <w:color w:val="auto"/>
        </w:rPr>
        <w:t>to full time eq</w:t>
      </w:r>
      <w:r w:rsidR="00B26526" w:rsidRPr="00E16769">
        <w:rPr>
          <w:color w:val="auto"/>
        </w:rPr>
        <w:t xml:space="preserve">uivalent. Only include actual amounts paid. </w:t>
      </w:r>
    </w:p>
    <w:p w14:paraId="205FFC47" w14:textId="04F450D6" w:rsidR="000F596D" w:rsidRDefault="00621187" w:rsidP="00E16769">
      <w:pPr>
        <w:pStyle w:val="DPCbodyafterbullets"/>
        <w:ind w:left="720"/>
        <w:rPr>
          <w:rFonts w:ascii="VIC" w:hAnsi="VIC"/>
        </w:rPr>
      </w:pPr>
      <w:r w:rsidRPr="00E16769">
        <w:rPr>
          <w:rFonts w:ascii="VIC" w:hAnsi="VIC"/>
          <w:b/>
        </w:rPr>
        <w:t>Total remuneration</w:t>
      </w:r>
      <w:r>
        <w:rPr>
          <w:rFonts w:ascii="VIC" w:hAnsi="VIC"/>
        </w:rPr>
        <w:t xml:space="preserve"> </w:t>
      </w:r>
      <w:r w:rsidR="00ED5A36">
        <w:rPr>
          <w:rFonts w:ascii="VIC" w:hAnsi="VIC"/>
        </w:rPr>
        <w:t>is equal</w:t>
      </w:r>
      <w:r w:rsidR="002D523D">
        <w:rPr>
          <w:rFonts w:ascii="VIC" w:hAnsi="VIC"/>
        </w:rPr>
        <w:t xml:space="preserve"> </w:t>
      </w:r>
      <w:r w:rsidR="00ED2BFD">
        <w:rPr>
          <w:rFonts w:ascii="VIC" w:hAnsi="VIC"/>
        </w:rPr>
        <w:t xml:space="preserve">to </w:t>
      </w:r>
      <w:r w:rsidR="000F596D">
        <w:rPr>
          <w:rFonts w:ascii="VIC" w:hAnsi="VIC"/>
        </w:rPr>
        <w:t xml:space="preserve">the total of </w:t>
      </w:r>
      <w:r w:rsidR="00576F11">
        <w:rPr>
          <w:rFonts w:ascii="VIC" w:hAnsi="VIC"/>
        </w:rPr>
        <w:t xml:space="preserve">base salary </w:t>
      </w:r>
      <w:r w:rsidR="000F596D">
        <w:rPr>
          <w:rFonts w:ascii="VIC" w:hAnsi="VIC"/>
        </w:rPr>
        <w:t xml:space="preserve">(as described above) </w:t>
      </w:r>
      <w:r w:rsidR="007C79B4">
        <w:rPr>
          <w:rFonts w:ascii="VIC" w:hAnsi="VIC"/>
        </w:rPr>
        <w:t xml:space="preserve">plus </w:t>
      </w:r>
      <w:r w:rsidR="00ED2BFD">
        <w:rPr>
          <w:rFonts w:ascii="VIC" w:hAnsi="VIC"/>
        </w:rPr>
        <w:t xml:space="preserve">fixed remuneration </w:t>
      </w:r>
      <w:r w:rsidR="00E15BD9">
        <w:rPr>
          <w:rFonts w:ascii="VIC" w:hAnsi="VIC"/>
        </w:rPr>
        <w:t xml:space="preserve">(as described above) </w:t>
      </w:r>
      <w:r w:rsidR="00ED2BFD">
        <w:rPr>
          <w:rFonts w:ascii="VIC" w:hAnsi="VIC"/>
        </w:rPr>
        <w:t>pl</w:t>
      </w:r>
      <w:r w:rsidR="0053762F">
        <w:rPr>
          <w:rFonts w:ascii="VIC" w:hAnsi="VIC"/>
        </w:rPr>
        <w:t xml:space="preserve">us </w:t>
      </w:r>
      <w:r w:rsidR="00D33311">
        <w:rPr>
          <w:rFonts w:ascii="VIC" w:hAnsi="VIC"/>
        </w:rPr>
        <w:t xml:space="preserve">any non-fixed </w:t>
      </w:r>
      <w:r w:rsidR="000F596D">
        <w:rPr>
          <w:rFonts w:ascii="VIC" w:hAnsi="VIC"/>
        </w:rPr>
        <w:t xml:space="preserve">remuneration amount. </w:t>
      </w:r>
    </w:p>
    <w:p w14:paraId="313E4A2C" w14:textId="6626364D" w:rsidR="00621187" w:rsidRPr="00C50D9C" w:rsidRDefault="00E15BD9" w:rsidP="00E16769">
      <w:pPr>
        <w:pStyle w:val="DPCbodyafterbullets"/>
        <w:ind w:left="720"/>
        <w:rPr>
          <w:rFonts w:ascii="VIC" w:hAnsi="VIC"/>
        </w:rPr>
      </w:pPr>
      <w:r>
        <w:rPr>
          <w:rFonts w:ascii="VIC" w:hAnsi="VIC"/>
        </w:rPr>
        <w:t xml:space="preserve">Non-fixed remuneration amounts include any amounts paid that are not already included in base salary or fixed salary, such as </w:t>
      </w:r>
      <w:r w:rsidR="007C79B4">
        <w:rPr>
          <w:rFonts w:ascii="VIC" w:hAnsi="VIC"/>
        </w:rPr>
        <w:t>superannuation</w:t>
      </w:r>
      <w:r>
        <w:rPr>
          <w:rFonts w:ascii="VIC" w:hAnsi="VIC"/>
        </w:rPr>
        <w:t xml:space="preserve">, travel or meal allowances. </w:t>
      </w:r>
    </w:p>
    <w:p w14:paraId="204AF3CA" w14:textId="738A4953" w:rsidR="00E15BD9" w:rsidRDefault="00E15BD9" w:rsidP="00E16769">
      <w:pPr>
        <w:pStyle w:val="DPCbodyafterbullets"/>
        <w:ind w:left="720"/>
        <w:rPr>
          <w:rFonts w:ascii="VIC" w:hAnsi="VIC"/>
        </w:rPr>
      </w:pPr>
      <w:r>
        <w:rPr>
          <w:rFonts w:ascii="VIC" w:hAnsi="VIC"/>
        </w:rPr>
        <w:t>Total remuneration should exclude</w:t>
      </w:r>
      <w:r w:rsidRPr="00D52C66">
        <w:rPr>
          <w:rFonts w:ascii="VIC" w:hAnsi="VIC"/>
        </w:rPr>
        <w:t xml:space="preserve"> </w:t>
      </w:r>
      <w:r w:rsidR="00621187" w:rsidRPr="00E16769">
        <w:rPr>
          <w:rFonts w:ascii="VIC" w:hAnsi="VIC"/>
        </w:rPr>
        <w:t>an</w:t>
      </w:r>
      <w:r w:rsidRPr="00D52C66">
        <w:rPr>
          <w:rFonts w:ascii="VIC" w:hAnsi="VIC"/>
        </w:rPr>
        <w:t>y</w:t>
      </w:r>
      <w:r w:rsidR="00621187" w:rsidRPr="00E16769">
        <w:rPr>
          <w:rFonts w:ascii="VIC" w:hAnsi="VIC"/>
        </w:rPr>
        <w:t xml:space="preserve"> amount </w:t>
      </w:r>
      <w:r w:rsidRPr="00D56F14">
        <w:t>paid</w:t>
      </w:r>
      <w:r w:rsidR="00621187" w:rsidRPr="00E16769">
        <w:rPr>
          <w:rFonts w:ascii="VIC" w:hAnsi="VIC"/>
        </w:rPr>
        <w:t xml:space="preserve"> under the government-funded paid parental leave scheme.</w:t>
      </w:r>
    </w:p>
    <w:p w14:paraId="48A2F855" w14:textId="01144E5D" w:rsidR="00DD6C2B" w:rsidRDefault="00E15BD9" w:rsidP="00E16769">
      <w:pPr>
        <w:pStyle w:val="DPCbodyafterbullets"/>
        <w:ind w:left="720"/>
        <w:rPr>
          <w:rFonts w:ascii="VIC" w:hAnsi="VIC"/>
          <w:iCs/>
          <w:color w:val="auto"/>
        </w:rPr>
      </w:pPr>
      <w:r w:rsidRPr="00E15BD9">
        <w:rPr>
          <w:rFonts w:ascii="VIC" w:hAnsi="VIC"/>
        </w:rPr>
        <w:t xml:space="preserve">Components </w:t>
      </w:r>
      <w:r>
        <w:rPr>
          <w:rFonts w:ascii="VIC" w:hAnsi="VIC"/>
        </w:rPr>
        <w:t xml:space="preserve">of total remuneration that are </w:t>
      </w:r>
      <w:r w:rsidRPr="00E15BD9">
        <w:rPr>
          <w:rFonts w:ascii="VIC" w:hAnsi="VIC"/>
        </w:rPr>
        <w:t xml:space="preserve">paid on a pro-rata basis (salary, superannuation and non-fixed payments) </w:t>
      </w:r>
      <w:r>
        <w:rPr>
          <w:rFonts w:ascii="VIC" w:hAnsi="VIC"/>
        </w:rPr>
        <w:t>should</w:t>
      </w:r>
      <w:r w:rsidRPr="00E15BD9">
        <w:rPr>
          <w:rFonts w:ascii="VIC" w:hAnsi="VIC"/>
        </w:rPr>
        <w:t xml:space="preserve"> be converted to annualised and full-time equivalent amounts. For payments made as fixed amounts (non-pro-rata), report the actual amount</w:t>
      </w:r>
      <w:r>
        <w:rPr>
          <w:rFonts w:ascii="VIC" w:hAnsi="VIC"/>
        </w:rPr>
        <w:t xml:space="preserve"> paid. </w:t>
      </w:r>
    </w:p>
    <w:p w14:paraId="4E12C8CC" w14:textId="77777777" w:rsidR="00DD226E" w:rsidRPr="00DD226E" w:rsidRDefault="00DD226E" w:rsidP="00DD226E">
      <w:pPr>
        <w:pStyle w:val="DPCbodyafterbullets"/>
        <w:rPr>
          <w:rFonts w:ascii="VIC" w:hAnsi="VIC"/>
          <w:b/>
          <w:bCs/>
          <w:iCs/>
          <w:color w:val="auto"/>
        </w:rPr>
      </w:pPr>
      <w:r w:rsidRPr="00DD226E">
        <w:rPr>
          <w:rFonts w:ascii="VIC" w:hAnsi="VIC"/>
          <w:b/>
          <w:bCs/>
          <w:iCs/>
          <w:color w:val="auto"/>
        </w:rPr>
        <w:t>Respondent (sexual harassment)</w:t>
      </w:r>
    </w:p>
    <w:p w14:paraId="75C0EC05" w14:textId="77777777" w:rsidR="00DD226E" w:rsidRPr="00E16769" w:rsidRDefault="00DD226E" w:rsidP="00DD226E">
      <w:pPr>
        <w:pStyle w:val="DPCbodyafterbullets"/>
        <w:rPr>
          <w:rFonts w:ascii="VIC" w:hAnsi="VIC"/>
          <w:iCs/>
          <w:color w:val="auto"/>
        </w:rPr>
      </w:pPr>
      <w:r w:rsidRPr="00E16769">
        <w:rPr>
          <w:rFonts w:ascii="VIC" w:hAnsi="VIC"/>
          <w:iCs/>
          <w:color w:val="auto"/>
        </w:rPr>
        <w:t xml:space="preserve">A respondent is an employee or a member of the public who has been alleged to have sexually harassed others in your workplace. Employers may be a party or respondent to a complaint but should be excluded from the definition of respondent for workplace gender audits. The complaint must have arisen in your workplace or as part of external workplace activities. For the purposes of the workforce component of workplace gender audits, please include information relating to the alleged perpetrator of sexual harassment.  </w:t>
      </w:r>
    </w:p>
    <w:p w14:paraId="5FB6A706" w14:textId="5CF673AF" w:rsidR="00123BF3" w:rsidRPr="00E16769" w:rsidRDefault="00A421E8" w:rsidP="00DD226E">
      <w:pPr>
        <w:pStyle w:val="DPCbodyafterbullets"/>
        <w:rPr>
          <w:rFonts w:ascii="VIC" w:hAnsi="VIC"/>
          <w:b/>
          <w:bCs/>
          <w:iCs/>
          <w:color w:val="auto"/>
        </w:rPr>
      </w:pPr>
      <w:r>
        <w:rPr>
          <w:rFonts w:ascii="VIC" w:hAnsi="VIC"/>
          <w:b/>
          <w:bCs/>
          <w:iCs/>
          <w:color w:val="auto"/>
        </w:rPr>
        <w:t>Secondments</w:t>
      </w:r>
    </w:p>
    <w:p w14:paraId="4249C02B" w14:textId="187E4C8F" w:rsidR="00123BF3" w:rsidRPr="00E16769" w:rsidRDefault="00123BF3" w:rsidP="00C9404A">
      <w:pPr>
        <w:pStyle w:val="DPCbodyafterbullets"/>
        <w:rPr>
          <w:rFonts w:ascii="VIC" w:hAnsi="VIC"/>
        </w:rPr>
      </w:pPr>
      <w:r w:rsidRPr="00E16769">
        <w:rPr>
          <w:rFonts w:ascii="VIC" w:hAnsi="VIC"/>
        </w:rPr>
        <w:t>Secondments refer to temporary internal arrangements where an employee moves into another role at the same classification for a period of more than two weeks.</w:t>
      </w:r>
      <w:r w:rsidRPr="00E16769">
        <w:rPr>
          <w:rFonts w:ascii="VIC" w:hAnsi="VIC"/>
        </w:rPr>
        <w:cr/>
      </w:r>
      <w:r w:rsidR="00A421E8" w:rsidRPr="00A421E8">
        <w:rPr>
          <w:rFonts w:ascii="VIC" w:hAnsi="VIC"/>
        </w:rPr>
        <w:t>This should only include internal secondments, and should not include secondments external to your defined entity.</w:t>
      </w:r>
    </w:p>
    <w:p w14:paraId="577F8918" w14:textId="11032FB4" w:rsidR="00F608A9" w:rsidRPr="00A67293" w:rsidRDefault="00F608A9" w:rsidP="00C9404A">
      <w:pPr>
        <w:pStyle w:val="DPCbodyafterbullets"/>
        <w:rPr>
          <w:rFonts w:ascii="VIC" w:hAnsi="VIC"/>
          <w:b/>
          <w:color w:val="auto"/>
        </w:rPr>
      </w:pPr>
      <w:r w:rsidRPr="00A67293">
        <w:rPr>
          <w:rFonts w:ascii="VIC" w:hAnsi="VIC"/>
          <w:b/>
          <w:color w:val="auto"/>
        </w:rPr>
        <w:t>Self-described gender</w:t>
      </w:r>
    </w:p>
    <w:p w14:paraId="56097E76" w14:textId="11F3891B" w:rsidR="001624E9" w:rsidRPr="00A67293" w:rsidRDefault="001624E9" w:rsidP="001624E9">
      <w:pPr>
        <w:pStyle w:val="DPCbodyafterbullets"/>
        <w:rPr>
          <w:rFonts w:ascii="VIC" w:hAnsi="VIC"/>
          <w:color w:val="auto"/>
        </w:rPr>
      </w:pPr>
      <w:bookmarkStart w:id="23" w:name="_Hlk42591932"/>
      <w:bookmarkEnd w:id="22"/>
      <w:r w:rsidRPr="00A67293">
        <w:rPr>
          <w:rFonts w:ascii="VIC" w:hAnsi="VIC"/>
          <w:color w:val="auto"/>
        </w:rPr>
        <w:t xml:space="preserve">For the purposes of </w:t>
      </w:r>
      <w:r>
        <w:rPr>
          <w:rFonts w:ascii="VIC" w:hAnsi="VIC"/>
          <w:color w:val="auto"/>
        </w:rPr>
        <w:t>your workplace gender audit</w:t>
      </w:r>
      <w:r w:rsidRPr="00A67293">
        <w:rPr>
          <w:rFonts w:ascii="VIC" w:hAnsi="VIC"/>
          <w:color w:val="auto"/>
        </w:rPr>
        <w:t>, we will be collecting data within three categories</w:t>
      </w:r>
      <w:r>
        <w:rPr>
          <w:rFonts w:ascii="VIC" w:hAnsi="VIC"/>
          <w:color w:val="auto"/>
        </w:rPr>
        <w:t xml:space="preserve"> –</w:t>
      </w:r>
      <w:r w:rsidRPr="00A67293">
        <w:rPr>
          <w:rFonts w:ascii="VIC" w:hAnsi="VIC"/>
          <w:color w:val="auto"/>
        </w:rPr>
        <w:t xml:space="preserve"> women, men and self-described gender. </w:t>
      </w:r>
    </w:p>
    <w:p w14:paraId="710E9FFA" w14:textId="5D6C7F23" w:rsidR="001624E9" w:rsidRDefault="00F961A8" w:rsidP="00C9404A">
      <w:pPr>
        <w:pStyle w:val="DPCbodyafterbullets"/>
        <w:rPr>
          <w:rFonts w:ascii="VIC" w:hAnsi="VIC"/>
          <w:color w:val="auto"/>
        </w:rPr>
      </w:pPr>
      <w:r w:rsidRPr="00F961A8">
        <w:rPr>
          <w:rFonts w:ascii="VIC" w:hAnsi="VIC"/>
          <w:color w:val="auto"/>
        </w:rPr>
        <w:t>Gender is part of how someone understands who they are and how they interact with other people. Many people identify their gender as being</w:t>
      </w:r>
      <w:r>
        <w:rPr>
          <w:rFonts w:ascii="VIC" w:hAnsi="VIC"/>
          <w:color w:val="auto"/>
        </w:rPr>
        <w:t xml:space="preserve"> “woman” or “man”</w:t>
      </w:r>
      <w:r w:rsidRPr="00F961A8">
        <w:rPr>
          <w:rFonts w:ascii="VIC" w:hAnsi="VIC"/>
          <w:color w:val="auto"/>
        </w:rPr>
        <w:t xml:space="preserve">. Some people understand their gender as a combination of these or neither. Gender can be expressed in different ways, such as through behaviour or physical appearance. A person’s gender does not necessarily mean they have particular sex characteristics or a particular sexuality, or vice versa. </w:t>
      </w:r>
    </w:p>
    <w:p w14:paraId="1B71C873" w14:textId="26565BC6" w:rsidR="00050EB9" w:rsidRPr="00A67293" w:rsidRDefault="001624E9" w:rsidP="00C9404A">
      <w:pPr>
        <w:pStyle w:val="DPCbodyafterbullets"/>
        <w:rPr>
          <w:rFonts w:ascii="VIC" w:hAnsi="VIC"/>
          <w:color w:val="auto"/>
        </w:rPr>
      </w:pPr>
      <w:r>
        <w:rPr>
          <w:rFonts w:ascii="VIC" w:hAnsi="VIC"/>
          <w:color w:val="auto"/>
        </w:rPr>
        <w:t xml:space="preserve">The Commission recommends allowing an option for self-described gender with a free text option, in addition to “woman” and “man” when collecting gender data. For those people who identify with a self-described gender, their gender should be recorded in relevant systems using the term(s) provided by the employee. </w:t>
      </w:r>
      <w:r w:rsidR="00264380" w:rsidRPr="00A67293">
        <w:rPr>
          <w:rFonts w:ascii="VIC" w:hAnsi="VIC"/>
          <w:color w:val="auto"/>
        </w:rPr>
        <w:t xml:space="preserve">An individual with a self-described gender may identify as non-binary, trans, gender diverse, agender, </w:t>
      </w:r>
      <w:proofErr w:type="spellStart"/>
      <w:r w:rsidR="00264380" w:rsidRPr="00A67293">
        <w:rPr>
          <w:rFonts w:ascii="VIC" w:hAnsi="VIC"/>
          <w:color w:val="auto"/>
        </w:rPr>
        <w:t>qenderqueer</w:t>
      </w:r>
      <w:proofErr w:type="spellEnd"/>
      <w:r w:rsidR="00264380" w:rsidRPr="00A67293">
        <w:rPr>
          <w:rFonts w:ascii="VIC" w:hAnsi="VIC"/>
          <w:color w:val="auto"/>
        </w:rPr>
        <w:t xml:space="preserve">, genderfluid or </w:t>
      </w:r>
      <w:r w:rsidR="00264380">
        <w:rPr>
          <w:rFonts w:ascii="VIC" w:hAnsi="VIC"/>
          <w:color w:val="auto"/>
        </w:rPr>
        <w:t>using</w:t>
      </w:r>
      <w:r w:rsidR="00264380" w:rsidRPr="00A67293">
        <w:rPr>
          <w:rFonts w:ascii="VIC" w:hAnsi="VIC"/>
          <w:color w:val="auto"/>
        </w:rPr>
        <w:t xml:space="preserve"> any other term.</w:t>
      </w:r>
    </w:p>
    <w:p w14:paraId="302E5395" w14:textId="1A8BF8AD" w:rsidR="00050EB9" w:rsidRPr="00A67293" w:rsidRDefault="00050EB9" w:rsidP="00C9404A">
      <w:pPr>
        <w:pStyle w:val="DPCbodyafterbullets"/>
        <w:rPr>
          <w:rFonts w:ascii="VIC" w:hAnsi="VIC"/>
          <w:color w:val="011A3C"/>
        </w:rPr>
      </w:pPr>
      <w:r w:rsidRPr="00A67293">
        <w:rPr>
          <w:rFonts w:ascii="VIC" w:hAnsi="VIC"/>
          <w:color w:val="auto"/>
        </w:rPr>
        <w:t xml:space="preserve">For more information on gender-inclusive language, please refer to: </w:t>
      </w:r>
      <w:r w:rsidRPr="00A67293">
        <w:rPr>
          <w:rFonts w:ascii="VIC" w:hAnsi="VIC"/>
          <w:color w:val="auto"/>
        </w:rPr>
        <w:br/>
      </w:r>
      <w:hyperlink r:id="rId30" w:history="1">
        <w:r w:rsidRPr="00A67293">
          <w:rPr>
            <w:rStyle w:val="Hyperlink"/>
            <w:rFonts w:ascii="VIC" w:hAnsi="VIC"/>
          </w:rPr>
          <w:t>www.vic.gov.au/inclusive-language-guide</w:t>
        </w:r>
      </w:hyperlink>
      <w:r w:rsidRPr="00A67293">
        <w:rPr>
          <w:rFonts w:ascii="VIC" w:hAnsi="VIC"/>
        </w:rPr>
        <w:t>.</w:t>
      </w:r>
    </w:p>
    <w:p w14:paraId="25DAB0D9" w14:textId="633F5099" w:rsidR="001958CC" w:rsidRPr="00A67293" w:rsidRDefault="001958CC" w:rsidP="00C9404A">
      <w:pPr>
        <w:pStyle w:val="DPCbodyafterbullets"/>
        <w:rPr>
          <w:rFonts w:ascii="VIC" w:hAnsi="VIC"/>
          <w:b/>
          <w:bCs/>
          <w:color w:val="011A3C"/>
        </w:rPr>
      </w:pPr>
      <w:bookmarkStart w:id="24" w:name="_Hlk57044790"/>
      <w:r w:rsidRPr="00A67293">
        <w:rPr>
          <w:rFonts w:ascii="VIC" w:hAnsi="VIC"/>
          <w:b/>
          <w:bCs/>
          <w:color w:val="011A3C"/>
        </w:rPr>
        <w:t>Senior leaders</w:t>
      </w:r>
    </w:p>
    <w:bookmarkEnd w:id="23"/>
    <w:p w14:paraId="02B83125" w14:textId="151109E2" w:rsidR="00F90299" w:rsidRDefault="00F90299" w:rsidP="00C9404A">
      <w:pPr>
        <w:pStyle w:val="DPCbodyafterbullets"/>
        <w:rPr>
          <w:rFonts w:ascii="VIC" w:hAnsi="VIC"/>
          <w:color w:val="auto"/>
        </w:rPr>
      </w:pPr>
      <w:r w:rsidRPr="00A67293">
        <w:rPr>
          <w:rFonts w:ascii="VIC" w:hAnsi="VIC"/>
          <w:color w:val="auto"/>
        </w:rPr>
        <w:t xml:space="preserve">Senior leaders are executive staff who have significant management responsibility, that is, their primary role is to provide leadership and strategic direction for other staff members. </w:t>
      </w:r>
      <w:r w:rsidR="004455F3" w:rsidRPr="00A67293">
        <w:rPr>
          <w:rFonts w:ascii="VIC" w:hAnsi="VIC"/>
          <w:color w:val="auto"/>
        </w:rPr>
        <w:t>Th</w:t>
      </w:r>
      <w:r w:rsidR="004455F3">
        <w:rPr>
          <w:rFonts w:ascii="VIC" w:hAnsi="VIC"/>
          <w:color w:val="auto"/>
        </w:rPr>
        <w:t>is</w:t>
      </w:r>
      <w:r w:rsidR="004455F3" w:rsidRPr="00A67293">
        <w:rPr>
          <w:rFonts w:ascii="VIC" w:hAnsi="VIC"/>
          <w:color w:val="auto"/>
        </w:rPr>
        <w:t xml:space="preserve"> </w:t>
      </w:r>
      <w:r w:rsidRPr="00A67293">
        <w:rPr>
          <w:rFonts w:ascii="VIC" w:hAnsi="VIC"/>
          <w:color w:val="auto"/>
        </w:rPr>
        <w:t>could include the Chief Executive Officer, Directors and Group Managers.</w:t>
      </w:r>
      <w:r w:rsidR="006C7ED6">
        <w:rPr>
          <w:rFonts w:ascii="VIC" w:hAnsi="VIC"/>
          <w:color w:val="auto"/>
        </w:rPr>
        <w:t xml:space="preserve"> Defined entities may select who to define as senior leaders for the purposes of a workplace gender audit, as appropriate to their organisational context. </w:t>
      </w:r>
    </w:p>
    <w:p w14:paraId="23781BC3" w14:textId="030EF418" w:rsidR="002239BC" w:rsidRDefault="002239BC" w:rsidP="00C9404A">
      <w:pPr>
        <w:pStyle w:val="DPCbodyafterbullets"/>
        <w:rPr>
          <w:rFonts w:ascii="VIC" w:hAnsi="VIC"/>
          <w:b/>
          <w:bCs/>
          <w:color w:val="auto"/>
        </w:rPr>
      </w:pPr>
      <w:r>
        <w:rPr>
          <w:rFonts w:ascii="VIC" w:hAnsi="VIC"/>
          <w:b/>
          <w:bCs/>
          <w:color w:val="auto"/>
        </w:rPr>
        <w:t xml:space="preserve">Sexual </w:t>
      </w:r>
      <w:r w:rsidR="000D2E6F">
        <w:rPr>
          <w:rFonts w:ascii="VIC" w:hAnsi="VIC"/>
          <w:b/>
          <w:bCs/>
          <w:color w:val="auto"/>
        </w:rPr>
        <w:t>h</w:t>
      </w:r>
      <w:r>
        <w:rPr>
          <w:rFonts w:ascii="VIC" w:hAnsi="VIC"/>
          <w:b/>
          <w:bCs/>
          <w:color w:val="auto"/>
        </w:rPr>
        <w:t xml:space="preserve">arassment </w:t>
      </w:r>
    </w:p>
    <w:p w14:paraId="3F7719E0" w14:textId="77777777" w:rsidR="006D7D88" w:rsidRDefault="006D7D88" w:rsidP="006D7D88">
      <w:pPr>
        <w:pStyle w:val="paragraph"/>
        <w:spacing w:before="0" w:beforeAutospacing="0" w:after="0" w:afterAutospacing="0"/>
        <w:textAlignment w:val="baseline"/>
        <w:rPr>
          <w:rStyle w:val="eop"/>
          <w:rFonts w:ascii="Cambria" w:hAnsi="Cambria" w:cs="Cambria"/>
          <w:sz w:val="22"/>
          <w:szCs w:val="22"/>
        </w:rPr>
      </w:pPr>
      <w:bookmarkStart w:id="25" w:name="_Toc256778633"/>
      <w:r w:rsidRPr="00515331">
        <w:rPr>
          <w:rStyle w:val="normaltextrun"/>
          <w:rFonts w:ascii="VIC" w:hAnsi="VIC" w:cs="Calibri"/>
          <w:sz w:val="22"/>
          <w:szCs w:val="22"/>
        </w:rPr>
        <w:t xml:space="preserve">Sexual harassment is non-consensual or unwelcome sexual behaviour that could </w:t>
      </w:r>
      <w:r>
        <w:rPr>
          <w:rStyle w:val="normaltextrun"/>
          <w:rFonts w:ascii="VIC" w:hAnsi="VIC" w:cs="Calibri"/>
          <w:sz w:val="22"/>
          <w:szCs w:val="22"/>
        </w:rPr>
        <w:t xml:space="preserve">reasonably </w:t>
      </w:r>
      <w:r w:rsidRPr="00515331">
        <w:rPr>
          <w:rStyle w:val="normaltextrun"/>
          <w:rFonts w:ascii="VIC" w:hAnsi="VIC" w:cs="Calibri"/>
          <w:sz w:val="22"/>
          <w:szCs w:val="22"/>
        </w:rPr>
        <w:t>be expected to make a person feel offended,</w:t>
      </w:r>
      <w:r w:rsidRPr="00515331">
        <w:rPr>
          <w:rStyle w:val="normaltextrun"/>
          <w:rFonts w:ascii="Cambria" w:hAnsi="Cambria" w:cs="Cambria"/>
          <w:sz w:val="22"/>
          <w:szCs w:val="22"/>
        </w:rPr>
        <w:t> </w:t>
      </w:r>
      <w:r w:rsidRPr="00515331">
        <w:rPr>
          <w:rStyle w:val="normaltextrun"/>
          <w:rFonts w:ascii="VIC" w:hAnsi="VIC" w:cs="Calibri"/>
          <w:sz w:val="22"/>
          <w:szCs w:val="22"/>
        </w:rPr>
        <w:t>humiliated</w:t>
      </w:r>
      <w:r w:rsidRPr="00515331">
        <w:rPr>
          <w:rStyle w:val="normaltextrun"/>
          <w:rFonts w:ascii="Cambria" w:hAnsi="Cambria" w:cs="Cambria"/>
          <w:sz w:val="22"/>
          <w:szCs w:val="22"/>
        </w:rPr>
        <w:t> </w:t>
      </w:r>
      <w:r w:rsidRPr="00515331">
        <w:rPr>
          <w:rStyle w:val="normaltextrun"/>
          <w:rFonts w:ascii="VIC" w:hAnsi="VIC" w:cs="Calibri"/>
          <w:sz w:val="22"/>
          <w:szCs w:val="22"/>
        </w:rPr>
        <w:t>or intimidated. Sexual harassment may be physical, spoken or written (including through online spaces and social media platforms) and can be directed at, and perpetrated by, persons of any sex or gender. A single incident can constitute sexual harassment, as can a broader pattern of behaviour.</w:t>
      </w:r>
      <w:r w:rsidRPr="00515331">
        <w:rPr>
          <w:rStyle w:val="normaltextrun"/>
          <w:rFonts w:ascii="Cambria" w:hAnsi="Cambria" w:cs="Cambria"/>
          <w:sz w:val="22"/>
          <w:szCs w:val="22"/>
        </w:rPr>
        <w:t> </w:t>
      </w:r>
      <w:r w:rsidRPr="00515331">
        <w:rPr>
          <w:rStyle w:val="eop"/>
          <w:rFonts w:ascii="Cambria" w:hAnsi="Cambria" w:cs="Cambria"/>
          <w:sz w:val="22"/>
          <w:szCs w:val="22"/>
        </w:rPr>
        <w:t> </w:t>
      </w:r>
    </w:p>
    <w:p w14:paraId="57287C18" w14:textId="77777777" w:rsidR="006D7D88" w:rsidRPr="00515331" w:rsidRDefault="006D7D88" w:rsidP="006D7D88">
      <w:pPr>
        <w:pStyle w:val="paragraph"/>
        <w:spacing w:before="0" w:beforeAutospacing="0" w:after="0" w:afterAutospacing="0"/>
        <w:textAlignment w:val="baseline"/>
        <w:rPr>
          <w:rFonts w:ascii="VIC" w:hAnsi="VIC" w:cs="Segoe UI"/>
          <w:sz w:val="22"/>
          <w:szCs w:val="22"/>
        </w:rPr>
      </w:pPr>
    </w:p>
    <w:p w14:paraId="472D76C4" w14:textId="0A280CAA" w:rsidR="006D7D88" w:rsidRPr="00515331" w:rsidRDefault="006D7D88" w:rsidP="006D7D88">
      <w:pPr>
        <w:pStyle w:val="paragraph"/>
        <w:spacing w:before="0" w:beforeAutospacing="0" w:after="0" w:afterAutospacing="0"/>
        <w:textAlignment w:val="baseline"/>
        <w:rPr>
          <w:rFonts w:ascii="VIC" w:hAnsi="VIC" w:cs="Segoe UI"/>
          <w:sz w:val="22"/>
          <w:szCs w:val="22"/>
        </w:rPr>
      </w:pPr>
      <w:r w:rsidRPr="00515331">
        <w:rPr>
          <w:rStyle w:val="normaltextrun"/>
          <w:rFonts w:ascii="VIC" w:hAnsi="VIC" w:cs="Calibri"/>
          <w:sz w:val="22"/>
          <w:szCs w:val="22"/>
        </w:rPr>
        <w:t xml:space="preserve">With </w:t>
      </w:r>
      <w:r>
        <w:rPr>
          <w:rStyle w:val="normaltextrun"/>
          <w:rFonts w:ascii="VIC" w:hAnsi="VIC" w:cs="Calibri"/>
          <w:sz w:val="22"/>
          <w:szCs w:val="22"/>
        </w:rPr>
        <w:t xml:space="preserve">many </w:t>
      </w:r>
      <w:r w:rsidRPr="00515331">
        <w:rPr>
          <w:rStyle w:val="normaltextrun"/>
          <w:rFonts w:ascii="VIC" w:hAnsi="VIC" w:cs="Calibri"/>
          <w:sz w:val="22"/>
          <w:szCs w:val="22"/>
        </w:rPr>
        <w:t xml:space="preserve">workplaces </w:t>
      </w:r>
      <w:r>
        <w:rPr>
          <w:rStyle w:val="normaltextrun"/>
          <w:rFonts w:ascii="VIC" w:hAnsi="VIC" w:cs="Calibri"/>
          <w:sz w:val="22"/>
          <w:szCs w:val="22"/>
        </w:rPr>
        <w:t>operating more</w:t>
      </w:r>
      <w:r w:rsidRPr="00515331">
        <w:rPr>
          <w:rStyle w:val="normaltextrun"/>
          <w:rFonts w:ascii="VIC" w:hAnsi="VIC" w:cs="Calibri"/>
          <w:sz w:val="22"/>
          <w:szCs w:val="22"/>
        </w:rPr>
        <w:t xml:space="preserve"> online</w:t>
      </w:r>
      <w:r>
        <w:rPr>
          <w:rStyle w:val="normaltextrun"/>
          <w:rFonts w:ascii="VIC" w:hAnsi="VIC" w:cs="Calibri"/>
          <w:sz w:val="22"/>
          <w:szCs w:val="22"/>
        </w:rPr>
        <w:t xml:space="preserve"> or remotely</w:t>
      </w:r>
      <w:r w:rsidRPr="00515331">
        <w:rPr>
          <w:rStyle w:val="normaltextrun"/>
          <w:rFonts w:ascii="VIC" w:hAnsi="VIC" w:cs="Calibri"/>
          <w:sz w:val="22"/>
          <w:szCs w:val="22"/>
        </w:rPr>
        <w:t>, experiences of sexism and sexual harassment in the workplace, and actions taken in response, are also changing</w:t>
      </w:r>
      <w:r>
        <w:rPr>
          <w:rStyle w:val="normaltextrun"/>
          <w:rFonts w:ascii="VIC" w:hAnsi="VIC" w:cs="Calibri"/>
          <w:sz w:val="22"/>
          <w:szCs w:val="22"/>
        </w:rPr>
        <w:t>.</w:t>
      </w:r>
      <w:r w:rsidR="00206EB1">
        <w:rPr>
          <w:rStyle w:val="FootnoteReference"/>
          <w:rFonts w:ascii="VIC" w:hAnsi="VIC" w:cs="Calibri"/>
          <w:sz w:val="22"/>
          <w:szCs w:val="22"/>
        </w:rPr>
        <w:footnoteReference w:id="15"/>
      </w:r>
      <w:r w:rsidR="00206EB1">
        <w:rPr>
          <w:rStyle w:val="normaltextrun"/>
          <w:rFonts w:ascii="VIC" w:hAnsi="VIC" w:cs="Calibri"/>
          <w:sz w:val="22"/>
          <w:szCs w:val="22"/>
        </w:rPr>
        <w:t xml:space="preserve"> </w:t>
      </w:r>
      <w:r>
        <w:rPr>
          <w:rStyle w:val="normaltextrun"/>
          <w:rFonts w:ascii="VIC" w:hAnsi="VIC" w:cs="Calibri"/>
          <w:sz w:val="22"/>
          <w:szCs w:val="22"/>
        </w:rPr>
        <w:t xml:space="preserve">Sexual harassment still occurs when working remotely, and can take place through different behaviours such as comments, jokes or put-downs </w:t>
      </w:r>
      <w:r w:rsidRPr="00515331">
        <w:rPr>
          <w:rStyle w:val="normaltextrun"/>
          <w:rFonts w:ascii="VIC" w:hAnsi="VIC" w:cs="Calibri"/>
          <w:sz w:val="22"/>
          <w:szCs w:val="22"/>
        </w:rPr>
        <w:t>via email</w:t>
      </w:r>
      <w:r>
        <w:rPr>
          <w:rStyle w:val="normaltextrun"/>
          <w:rFonts w:ascii="VIC" w:hAnsi="VIC" w:cs="Calibri"/>
          <w:sz w:val="22"/>
          <w:szCs w:val="22"/>
        </w:rPr>
        <w:t>,</w:t>
      </w:r>
      <w:r w:rsidRPr="00515331">
        <w:rPr>
          <w:rStyle w:val="normaltextrun"/>
          <w:rFonts w:ascii="VIC" w:hAnsi="VIC" w:cs="Calibri"/>
          <w:sz w:val="22"/>
          <w:szCs w:val="22"/>
        </w:rPr>
        <w:t xml:space="preserve"> instant messenger</w:t>
      </w:r>
      <w:r>
        <w:rPr>
          <w:rStyle w:val="normaltextrun"/>
          <w:rFonts w:ascii="VIC" w:hAnsi="VIC" w:cs="Calibri"/>
          <w:sz w:val="22"/>
          <w:szCs w:val="22"/>
        </w:rPr>
        <w:t xml:space="preserve"> </w:t>
      </w:r>
      <w:r w:rsidRPr="00515331">
        <w:rPr>
          <w:rStyle w:val="normaltextrun"/>
          <w:rFonts w:ascii="VIC" w:hAnsi="VIC" w:cs="Calibri"/>
          <w:sz w:val="22"/>
          <w:szCs w:val="22"/>
        </w:rPr>
        <w:t>or social media</w:t>
      </w:r>
      <w:r>
        <w:rPr>
          <w:rStyle w:val="normaltextrun"/>
          <w:rFonts w:ascii="VIC" w:hAnsi="VIC" w:cs="Calibri"/>
          <w:sz w:val="22"/>
          <w:szCs w:val="22"/>
        </w:rPr>
        <w:t xml:space="preserve"> among other platforms</w:t>
      </w:r>
      <w:r w:rsidRPr="00515331">
        <w:rPr>
          <w:rStyle w:val="normaltextrun"/>
          <w:rFonts w:ascii="VIC" w:hAnsi="VIC" w:cs="Calibri"/>
          <w:sz w:val="22"/>
          <w:szCs w:val="22"/>
        </w:rPr>
        <w:t>.</w:t>
      </w:r>
      <w:r w:rsidRPr="00515331">
        <w:rPr>
          <w:rStyle w:val="normaltextrun"/>
          <w:rFonts w:ascii="Cambria" w:hAnsi="Cambria" w:cs="Cambria"/>
          <w:sz w:val="22"/>
          <w:szCs w:val="22"/>
        </w:rPr>
        <w:t> </w:t>
      </w:r>
      <w:r w:rsidRPr="00515331">
        <w:rPr>
          <w:rStyle w:val="eop"/>
          <w:rFonts w:ascii="Cambria" w:hAnsi="Cambria" w:cs="Cambria"/>
          <w:sz w:val="22"/>
          <w:szCs w:val="22"/>
        </w:rPr>
        <w:t> </w:t>
      </w:r>
    </w:p>
    <w:p w14:paraId="36321312" w14:textId="77777777" w:rsidR="006D7D88" w:rsidRDefault="006D7D88" w:rsidP="006D7D88">
      <w:pPr>
        <w:pStyle w:val="paragraph"/>
        <w:spacing w:before="0" w:beforeAutospacing="0" w:after="0" w:afterAutospacing="0"/>
        <w:textAlignment w:val="baseline"/>
        <w:rPr>
          <w:rStyle w:val="normaltextrun"/>
          <w:rFonts w:ascii="VIC" w:hAnsi="VIC" w:cs="Calibri"/>
          <w:sz w:val="22"/>
          <w:szCs w:val="22"/>
        </w:rPr>
      </w:pPr>
    </w:p>
    <w:p w14:paraId="3A127986" w14:textId="62B5BD10" w:rsidR="006D7D88" w:rsidRDefault="00CB4D0F" w:rsidP="006D7D88">
      <w:pPr>
        <w:pStyle w:val="paragraph"/>
        <w:spacing w:before="0" w:beforeAutospacing="0" w:after="0" w:afterAutospacing="0"/>
        <w:textAlignment w:val="baseline"/>
        <w:rPr>
          <w:rStyle w:val="eop"/>
          <w:rFonts w:ascii="Cambria" w:hAnsi="Cambria" w:cs="Cambria"/>
          <w:sz w:val="22"/>
          <w:szCs w:val="22"/>
          <w:lang w:val="en-US"/>
        </w:rPr>
      </w:pPr>
      <w:r>
        <w:rPr>
          <w:rStyle w:val="normaltextrun"/>
          <w:rFonts w:ascii="VIC" w:hAnsi="VIC" w:cs="Calibri"/>
          <w:sz w:val="22"/>
          <w:szCs w:val="22"/>
        </w:rPr>
        <w:t>Below is a</w:t>
      </w:r>
      <w:r w:rsidR="006D7D88" w:rsidRPr="00515331">
        <w:rPr>
          <w:rStyle w:val="normaltextrun"/>
          <w:rFonts w:ascii="VIC" w:hAnsi="VIC" w:cs="Calibri"/>
          <w:sz w:val="22"/>
          <w:szCs w:val="22"/>
        </w:rPr>
        <w:t xml:space="preserve"> detailed list of behaviours that can be classified as sexually harassing behaviours. We encourage you</w:t>
      </w:r>
      <w:r w:rsidR="006D7D88">
        <w:rPr>
          <w:rStyle w:val="normaltextrun"/>
          <w:rFonts w:ascii="VIC" w:hAnsi="VIC" w:cs="Calibri"/>
          <w:sz w:val="22"/>
          <w:szCs w:val="22"/>
        </w:rPr>
        <w:t xml:space="preserve"> to</w:t>
      </w:r>
      <w:r w:rsidR="006D7D88" w:rsidRPr="00515331">
        <w:rPr>
          <w:rStyle w:val="normaltextrun"/>
          <w:rFonts w:ascii="VIC" w:hAnsi="VIC" w:cs="Calibri"/>
          <w:sz w:val="22"/>
          <w:szCs w:val="22"/>
        </w:rPr>
        <w:t xml:space="preserve"> </w:t>
      </w:r>
      <w:r w:rsidR="006D7D88">
        <w:rPr>
          <w:rStyle w:val="normaltextrun"/>
          <w:rFonts w:ascii="VIC" w:hAnsi="VIC" w:cs="Calibri"/>
          <w:sz w:val="22"/>
          <w:szCs w:val="22"/>
        </w:rPr>
        <w:t>use</w:t>
      </w:r>
      <w:r w:rsidR="006D7D88" w:rsidRPr="00515331">
        <w:rPr>
          <w:rStyle w:val="normaltextrun"/>
          <w:rFonts w:ascii="VIC" w:hAnsi="VIC" w:cs="Calibri"/>
          <w:sz w:val="22"/>
          <w:szCs w:val="22"/>
        </w:rPr>
        <w:t xml:space="preserve"> these behaviours when talking about, collecting data, and</w:t>
      </w:r>
      <w:r w:rsidR="006D7D88" w:rsidRPr="00515331">
        <w:rPr>
          <w:rStyle w:val="normaltextrun"/>
          <w:rFonts w:ascii="Cambria" w:hAnsi="Cambria" w:cs="Cambria"/>
          <w:sz w:val="22"/>
          <w:szCs w:val="22"/>
        </w:rPr>
        <w:t> </w:t>
      </w:r>
      <w:r w:rsidR="006D7D88">
        <w:rPr>
          <w:rStyle w:val="normaltextrun"/>
          <w:rFonts w:ascii="VIC" w:hAnsi="VIC" w:cs="Calibri"/>
          <w:sz w:val="22"/>
          <w:szCs w:val="22"/>
        </w:rPr>
        <w:t>developing strategies to address</w:t>
      </w:r>
      <w:r w:rsidR="006D7D88" w:rsidRPr="00515331">
        <w:rPr>
          <w:rStyle w:val="normaltextrun"/>
          <w:rFonts w:ascii="Cambria" w:hAnsi="Cambria" w:cs="Cambria"/>
          <w:sz w:val="22"/>
          <w:szCs w:val="22"/>
        </w:rPr>
        <w:t> </w:t>
      </w:r>
      <w:r w:rsidR="006D7D88" w:rsidRPr="00515331">
        <w:rPr>
          <w:rStyle w:val="normaltextrun"/>
          <w:rFonts w:ascii="VIC" w:hAnsi="VIC" w:cs="Calibri"/>
          <w:sz w:val="22"/>
          <w:szCs w:val="22"/>
        </w:rPr>
        <w:t>sexual harassment</w:t>
      </w:r>
      <w:r w:rsidR="006D7D88">
        <w:rPr>
          <w:rStyle w:val="normaltextrun"/>
          <w:rFonts w:ascii="VIC" w:hAnsi="VIC" w:cs="Calibri"/>
          <w:sz w:val="22"/>
          <w:szCs w:val="22"/>
        </w:rPr>
        <w:t xml:space="preserve"> as part of your Gender Equality Action Plan</w:t>
      </w:r>
      <w:r w:rsidR="006D7D88" w:rsidRPr="00515331">
        <w:rPr>
          <w:rStyle w:val="normaltextrun"/>
          <w:rFonts w:ascii="VIC" w:hAnsi="VIC" w:cs="Calibri"/>
          <w:sz w:val="22"/>
          <w:szCs w:val="22"/>
        </w:rPr>
        <w:t>.</w:t>
      </w:r>
      <w:r w:rsidR="006D7D88" w:rsidRPr="00515331">
        <w:rPr>
          <w:rStyle w:val="normaltextrun"/>
          <w:rFonts w:ascii="Cambria" w:hAnsi="Cambria" w:cs="Cambria"/>
          <w:sz w:val="22"/>
          <w:szCs w:val="22"/>
        </w:rPr>
        <w:t> </w:t>
      </w:r>
      <w:r w:rsidR="006D7D88" w:rsidRPr="00515331">
        <w:rPr>
          <w:rStyle w:val="eop"/>
          <w:rFonts w:ascii="Cambria" w:hAnsi="Cambria" w:cs="Cambria"/>
          <w:sz w:val="22"/>
          <w:szCs w:val="22"/>
          <w:lang w:val="en-US"/>
        </w:rPr>
        <w:t> </w:t>
      </w:r>
    </w:p>
    <w:p w14:paraId="7122F636" w14:textId="77777777" w:rsidR="00CB4D0F" w:rsidRPr="00515331" w:rsidRDefault="00CB4D0F" w:rsidP="006D7D88">
      <w:pPr>
        <w:pStyle w:val="paragraph"/>
        <w:spacing w:before="0" w:beforeAutospacing="0" w:after="0" w:afterAutospacing="0"/>
        <w:textAlignment w:val="baseline"/>
        <w:rPr>
          <w:rFonts w:ascii="VIC" w:hAnsi="VIC" w:cs="Segoe UI"/>
          <w:sz w:val="22"/>
          <w:szCs w:val="22"/>
          <w:lang w:val="en-US"/>
        </w:rPr>
      </w:pPr>
    </w:p>
    <w:p w14:paraId="44DD4700" w14:textId="77777777" w:rsidR="00CB4D0F" w:rsidRDefault="00CB4D0F" w:rsidP="00CB4D0F">
      <w:pPr>
        <w:pStyle w:val="Heading4"/>
        <w:rPr>
          <w:rFonts w:cstheme="minorHAnsi"/>
        </w:rPr>
      </w:pPr>
      <w:r>
        <w:rPr>
          <w:rFonts w:cstheme="minorHAnsi"/>
        </w:rPr>
        <w:t>Sexual harassment behaviours</w:t>
      </w:r>
    </w:p>
    <w:p w14:paraId="77F9A43D" w14:textId="77777777" w:rsidR="00CB4D0F" w:rsidRPr="00774F56" w:rsidRDefault="00CB4D0F" w:rsidP="00CB4D0F">
      <w:pPr>
        <w:pStyle w:val="ListParagraph"/>
        <w:numPr>
          <w:ilvl w:val="0"/>
          <w:numId w:val="57"/>
        </w:numPr>
        <w:rPr>
          <w:rFonts w:ascii="VIC" w:hAnsi="VIC"/>
        </w:rPr>
      </w:pPr>
      <w:r w:rsidRPr="00774F56">
        <w:rPr>
          <w:rFonts w:ascii="VIC" w:hAnsi="VIC"/>
        </w:rPr>
        <w:t>Sexually suggestive behaviour, such as leering or staring or offensive gestures of a sexual nature that makes someone feel intimidated or uncomfortable.</w:t>
      </w:r>
    </w:p>
    <w:p w14:paraId="3F1E9ED0" w14:textId="77777777" w:rsidR="00CB4D0F" w:rsidRPr="00774F56" w:rsidRDefault="00CB4D0F" w:rsidP="00CB4D0F">
      <w:pPr>
        <w:pStyle w:val="ListParagraph"/>
        <w:numPr>
          <w:ilvl w:val="0"/>
          <w:numId w:val="57"/>
        </w:numPr>
        <w:rPr>
          <w:rFonts w:ascii="VIC" w:hAnsi="VIC"/>
        </w:rPr>
      </w:pPr>
      <w:r w:rsidRPr="00774F56">
        <w:rPr>
          <w:rFonts w:ascii="VIC" w:hAnsi="VIC"/>
        </w:rPr>
        <w:t xml:space="preserve">Sexual comments or jokes that makes someone feel uncomfortable or offended, including about their body and/or clothes, or the angle of their camera in a video meeting.   </w:t>
      </w:r>
    </w:p>
    <w:p w14:paraId="14BF65B6" w14:textId="77777777" w:rsidR="00CB4D0F" w:rsidRPr="00774F56" w:rsidRDefault="00CB4D0F" w:rsidP="00CB4D0F">
      <w:pPr>
        <w:pStyle w:val="ListParagraph"/>
        <w:numPr>
          <w:ilvl w:val="0"/>
          <w:numId w:val="57"/>
        </w:numPr>
        <w:rPr>
          <w:rFonts w:ascii="VIC" w:hAnsi="VIC"/>
        </w:rPr>
      </w:pPr>
      <w:r w:rsidRPr="00774F56">
        <w:rPr>
          <w:rFonts w:ascii="VIC" w:hAnsi="VIC"/>
        </w:rPr>
        <w:t xml:space="preserve">Intrusive or offensive questions of a sexual nature about someone’s private life or physical appearance that makes them feel uncomfortable. </w:t>
      </w:r>
    </w:p>
    <w:p w14:paraId="0DADA9EC" w14:textId="77777777" w:rsidR="00CB4D0F" w:rsidRPr="00774F56" w:rsidRDefault="00CB4D0F" w:rsidP="00CB4D0F">
      <w:pPr>
        <w:pStyle w:val="ListParagraph"/>
        <w:numPr>
          <w:ilvl w:val="0"/>
          <w:numId w:val="57"/>
        </w:numPr>
        <w:rPr>
          <w:rFonts w:ascii="VIC" w:hAnsi="VIC"/>
        </w:rPr>
      </w:pPr>
      <w:r w:rsidRPr="00774F56">
        <w:rPr>
          <w:rFonts w:ascii="VIC" w:hAnsi="VIC"/>
        </w:rPr>
        <w:t>Unwelcome physical contact - e.g. brushing up against someone, touching, fondling, hugging, kissing, or blocking someone’s way.</w:t>
      </w:r>
    </w:p>
    <w:p w14:paraId="5A5C7C0E" w14:textId="77777777" w:rsidR="00CB4D0F" w:rsidRPr="00774F56" w:rsidRDefault="00CB4D0F" w:rsidP="00CB4D0F">
      <w:pPr>
        <w:pStyle w:val="ListParagraph"/>
        <w:numPr>
          <w:ilvl w:val="0"/>
          <w:numId w:val="57"/>
        </w:numPr>
        <w:rPr>
          <w:rFonts w:ascii="VIC" w:hAnsi="VIC"/>
        </w:rPr>
      </w:pPr>
      <w:r w:rsidRPr="00774F56">
        <w:rPr>
          <w:rFonts w:ascii="VIC" w:hAnsi="VIC"/>
        </w:rPr>
        <w:t xml:space="preserve">Pressuring or pestering someone to go out on a date.  </w:t>
      </w:r>
    </w:p>
    <w:p w14:paraId="290FFD34" w14:textId="77777777" w:rsidR="00CB4D0F" w:rsidRPr="00774F56" w:rsidRDefault="00CB4D0F" w:rsidP="00CB4D0F">
      <w:pPr>
        <w:pStyle w:val="ListParagraph"/>
        <w:numPr>
          <w:ilvl w:val="0"/>
          <w:numId w:val="57"/>
        </w:numPr>
        <w:rPr>
          <w:rFonts w:ascii="VIC" w:hAnsi="VIC"/>
        </w:rPr>
      </w:pPr>
      <w:r w:rsidRPr="00774F56">
        <w:rPr>
          <w:rFonts w:ascii="VIC" w:hAnsi="VIC"/>
        </w:rPr>
        <w:t xml:space="preserve">Making unwelcome sexual requests or pressure to engage in sexual activity. </w:t>
      </w:r>
    </w:p>
    <w:p w14:paraId="65717EBE" w14:textId="77777777" w:rsidR="00CB4D0F" w:rsidRPr="00774F56" w:rsidRDefault="00CB4D0F" w:rsidP="00CB4D0F">
      <w:pPr>
        <w:pStyle w:val="ListParagraph"/>
        <w:numPr>
          <w:ilvl w:val="0"/>
          <w:numId w:val="57"/>
        </w:numPr>
        <w:rPr>
          <w:rFonts w:ascii="VIC" w:hAnsi="VIC"/>
        </w:rPr>
      </w:pPr>
      <w:r w:rsidRPr="00774F56">
        <w:rPr>
          <w:rFonts w:ascii="VIC" w:hAnsi="VIC"/>
        </w:rPr>
        <w:t xml:space="preserve">Sharing personal images of a sexual nature on social media without the person’s consent </w:t>
      </w:r>
    </w:p>
    <w:p w14:paraId="4E182A78" w14:textId="77777777" w:rsidR="00CB4D0F" w:rsidRPr="00774F56" w:rsidRDefault="00CB4D0F" w:rsidP="00CB4D0F">
      <w:pPr>
        <w:pStyle w:val="ListParagraph"/>
        <w:numPr>
          <w:ilvl w:val="0"/>
          <w:numId w:val="57"/>
        </w:numPr>
        <w:rPr>
          <w:rFonts w:ascii="VIC" w:hAnsi="VIC"/>
        </w:rPr>
      </w:pPr>
      <w:r w:rsidRPr="00774F56">
        <w:rPr>
          <w:rFonts w:ascii="VIC" w:hAnsi="VIC"/>
        </w:rPr>
        <w:t>Displaying sexually offensive screen savers, photos, calendars or objects.</w:t>
      </w:r>
    </w:p>
    <w:p w14:paraId="09A16FB4" w14:textId="592116E2" w:rsidR="00CB4D0F" w:rsidRPr="00420D8F" w:rsidRDefault="00CB4D0F" w:rsidP="00E16769">
      <w:pPr>
        <w:pStyle w:val="ListParagraph"/>
        <w:numPr>
          <w:ilvl w:val="0"/>
          <w:numId w:val="57"/>
        </w:numPr>
      </w:pPr>
      <w:r w:rsidRPr="00774F56">
        <w:rPr>
          <w:rFonts w:ascii="VIC" w:hAnsi="VIC"/>
        </w:rPr>
        <w:t>Sending unwanted sexually explicit content or images by email, text or social media and/or posting on social networking sites.</w:t>
      </w:r>
    </w:p>
    <w:p w14:paraId="1146FF92" w14:textId="77777777" w:rsidR="00CB4D0F" w:rsidRPr="00774F56" w:rsidRDefault="00CB4D0F" w:rsidP="00CB4D0F">
      <w:pPr>
        <w:pStyle w:val="ListParagraph"/>
        <w:numPr>
          <w:ilvl w:val="0"/>
          <w:numId w:val="57"/>
        </w:numPr>
        <w:rPr>
          <w:rFonts w:ascii="VIC" w:hAnsi="VIC"/>
        </w:rPr>
      </w:pPr>
      <w:r w:rsidRPr="00774F56">
        <w:rPr>
          <w:rFonts w:ascii="VIC" w:hAnsi="VIC"/>
        </w:rPr>
        <w:t xml:space="preserve">Cat calling, wolf whistling or making other provocative sounds towards someone that make them feel uncomfortable. </w:t>
      </w:r>
    </w:p>
    <w:p w14:paraId="6BC739D6" w14:textId="77777777" w:rsidR="00CB4D0F" w:rsidRPr="00774F56" w:rsidRDefault="00CB4D0F" w:rsidP="00CB4D0F">
      <w:pPr>
        <w:pStyle w:val="ListParagraph"/>
        <w:numPr>
          <w:ilvl w:val="0"/>
          <w:numId w:val="57"/>
        </w:numPr>
        <w:rPr>
          <w:rFonts w:ascii="VIC" w:hAnsi="VIC"/>
        </w:rPr>
      </w:pPr>
      <w:r w:rsidRPr="00774F56">
        <w:rPr>
          <w:rFonts w:ascii="VIC" w:hAnsi="VIC"/>
        </w:rPr>
        <w:t xml:space="preserve">Unwanted displays or declarations of affection. </w:t>
      </w:r>
    </w:p>
    <w:p w14:paraId="5502B09D" w14:textId="77777777" w:rsidR="00CB4D0F" w:rsidRPr="00774F56" w:rsidRDefault="00CB4D0F" w:rsidP="00CB4D0F">
      <w:pPr>
        <w:pStyle w:val="ListParagraph"/>
        <w:numPr>
          <w:ilvl w:val="0"/>
          <w:numId w:val="57"/>
        </w:numPr>
        <w:rPr>
          <w:rFonts w:ascii="VIC" w:hAnsi="VIC"/>
        </w:rPr>
      </w:pPr>
      <w:r w:rsidRPr="00774F56">
        <w:rPr>
          <w:rFonts w:ascii="VIC" w:hAnsi="VIC"/>
        </w:rPr>
        <w:t>Making unwelcome requests to share sexual images of themselves or someone else and/or requests to talk about sex.</w:t>
      </w:r>
    </w:p>
    <w:p w14:paraId="633E6A33" w14:textId="77777777" w:rsidR="00CB4D0F" w:rsidRPr="00774F56" w:rsidRDefault="00CB4D0F" w:rsidP="00CB4D0F">
      <w:pPr>
        <w:pStyle w:val="ListParagraph"/>
        <w:numPr>
          <w:ilvl w:val="0"/>
          <w:numId w:val="57"/>
        </w:numPr>
        <w:rPr>
          <w:rFonts w:ascii="VIC" w:hAnsi="VIC"/>
        </w:rPr>
      </w:pPr>
      <w:r w:rsidRPr="00774F56">
        <w:rPr>
          <w:rFonts w:ascii="VIC" w:hAnsi="VIC"/>
        </w:rPr>
        <w:t xml:space="preserve">Sexual assault, indecent exposure, rape and stalking of a sexual nature (which are also criminal offences.) </w:t>
      </w:r>
    </w:p>
    <w:p w14:paraId="6C7D0755" w14:textId="77777777" w:rsidR="00CB4D0F" w:rsidRPr="00774F56" w:rsidRDefault="00CB4D0F" w:rsidP="00CB4D0F">
      <w:pPr>
        <w:pStyle w:val="ListParagraph"/>
        <w:numPr>
          <w:ilvl w:val="0"/>
          <w:numId w:val="57"/>
        </w:numPr>
        <w:rPr>
          <w:rFonts w:ascii="VIC" w:hAnsi="VIC"/>
        </w:rPr>
      </w:pPr>
      <w:r w:rsidRPr="00774F56">
        <w:rPr>
          <w:rFonts w:ascii="VIC" w:hAnsi="VIC"/>
        </w:rPr>
        <w:t xml:space="preserve">Actions or comments of a sexual nature in a person’s presence (even if not directed at that person.) </w:t>
      </w:r>
    </w:p>
    <w:p w14:paraId="71CCD74D" w14:textId="77777777" w:rsidR="006D7D88" w:rsidRDefault="006D7D88" w:rsidP="006D7D88">
      <w:pPr>
        <w:pStyle w:val="paragraph"/>
        <w:spacing w:before="0" w:beforeAutospacing="0" w:after="0" w:afterAutospacing="0"/>
        <w:textAlignment w:val="baseline"/>
        <w:rPr>
          <w:rStyle w:val="normaltextrun"/>
          <w:rFonts w:ascii="VIC" w:hAnsi="VIC" w:cs="Calibri"/>
          <w:sz w:val="22"/>
          <w:szCs w:val="22"/>
        </w:rPr>
      </w:pPr>
    </w:p>
    <w:p w14:paraId="6071D7BD" w14:textId="15918DA9" w:rsidR="002239BC" w:rsidRPr="00E16769" w:rsidRDefault="006D7D88" w:rsidP="00E16769">
      <w:pPr>
        <w:pStyle w:val="paragraph"/>
        <w:spacing w:before="0" w:beforeAutospacing="0" w:after="0" w:afterAutospacing="0"/>
        <w:textAlignment w:val="baseline"/>
        <w:rPr>
          <w:rFonts w:ascii="Cambria" w:hAnsi="Cambria" w:cs="Cambria"/>
        </w:rPr>
      </w:pPr>
      <w:r w:rsidRPr="00515331">
        <w:rPr>
          <w:rStyle w:val="normaltextrun"/>
          <w:rFonts w:ascii="VIC" w:hAnsi="VIC" w:cs="Calibri"/>
          <w:sz w:val="22"/>
          <w:szCs w:val="22"/>
        </w:rPr>
        <w:t>For</w:t>
      </w:r>
      <w:r w:rsidRPr="00515331">
        <w:rPr>
          <w:rStyle w:val="normaltextrun"/>
          <w:sz w:val="22"/>
          <w:szCs w:val="22"/>
        </w:rPr>
        <w:t> </w:t>
      </w:r>
      <w:r w:rsidRPr="00515331">
        <w:rPr>
          <w:rStyle w:val="normaltextrun"/>
          <w:rFonts w:ascii="VIC" w:hAnsi="VIC" w:cs="Calibri"/>
          <w:sz w:val="22"/>
          <w:szCs w:val="22"/>
        </w:rPr>
        <w:t>more information on the legal definition of sexual harassment</w:t>
      </w:r>
      <w:r>
        <w:rPr>
          <w:rStyle w:val="normaltextrun"/>
          <w:rFonts w:ascii="VIC" w:hAnsi="VIC" w:cs="Calibri"/>
          <w:sz w:val="22"/>
          <w:szCs w:val="22"/>
        </w:rPr>
        <w:t xml:space="preserve"> and your obligations under the </w:t>
      </w:r>
      <w:r w:rsidRPr="00515331">
        <w:rPr>
          <w:rStyle w:val="normaltextrun"/>
          <w:rFonts w:ascii="VIC" w:hAnsi="VIC" w:cs="Calibri"/>
          <w:i/>
          <w:iCs/>
          <w:sz w:val="22"/>
          <w:szCs w:val="22"/>
        </w:rPr>
        <w:t>Equal Opportunity Act</w:t>
      </w:r>
      <w:r w:rsidRPr="00515331">
        <w:rPr>
          <w:rStyle w:val="normaltextrun"/>
          <w:rFonts w:ascii="Cambria" w:hAnsi="Cambria" w:cs="Cambria"/>
          <w:sz w:val="22"/>
          <w:szCs w:val="22"/>
        </w:rPr>
        <w:t> </w:t>
      </w:r>
      <w:r w:rsidRPr="001E3199">
        <w:rPr>
          <w:rStyle w:val="normaltextrun"/>
          <w:rFonts w:ascii="VIC" w:hAnsi="VIC" w:cs="Calibri"/>
          <w:i/>
          <w:iCs/>
          <w:sz w:val="22"/>
          <w:szCs w:val="22"/>
        </w:rPr>
        <w:t>2010</w:t>
      </w:r>
      <w:r>
        <w:rPr>
          <w:rStyle w:val="normaltextrun"/>
          <w:rFonts w:ascii="VIC" w:hAnsi="VIC" w:cs="Calibri"/>
          <w:sz w:val="22"/>
          <w:szCs w:val="22"/>
        </w:rPr>
        <w:t>, refer to the Victorian Equal Opportunity and Human Rights Commission Guideline ‘</w:t>
      </w:r>
      <w:hyperlink r:id="rId31" w:history="1">
        <w:r w:rsidRPr="00E734C1">
          <w:rPr>
            <w:rStyle w:val="Hyperlink"/>
            <w:rFonts w:ascii="VIC" w:hAnsi="VIC" w:cs="Calibri"/>
            <w:sz w:val="22"/>
            <w:szCs w:val="22"/>
          </w:rPr>
          <w:t>Preventing and Responding to Workplace Sexual Harassment</w:t>
        </w:r>
      </w:hyperlink>
      <w:r>
        <w:rPr>
          <w:rStyle w:val="normaltextrun"/>
          <w:rFonts w:ascii="VIC" w:hAnsi="VIC" w:cs="Calibri"/>
          <w:sz w:val="22"/>
          <w:szCs w:val="22"/>
        </w:rPr>
        <w:t>’</w:t>
      </w:r>
      <w:r w:rsidRPr="00515331">
        <w:rPr>
          <w:rStyle w:val="normaltextrun"/>
          <w:rFonts w:ascii="VIC" w:hAnsi="VIC" w:cs="Calibri"/>
          <w:sz w:val="22"/>
          <w:szCs w:val="22"/>
        </w:rPr>
        <w:t>.</w:t>
      </w:r>
      <w:r w:rsidR="00121C4D">
        <w:rPr>
          <w:rStyle w:val="FootnoteReference"/>
          <w:rFonts w:ascii="VIC" w:hAnsi="VIC" w:cs="Calibri"/>
          <w:sz w:val="22"/>
          <w:szCs w:val="22"/>
        </w:rPr>
        <w:footnoteReference w:id="16"/>
      </w:r>
      <w:r>
        <w:rPr>
          <w:rStyle w:val="normaltextrun"/>
          <w:rFonts w:ascii="VIC" w:hAnsi="VIC" w:cs="Calibri"/>
          <w:sz w:val="22"/>
          <w:szCs w:val="22"/>
        </w:rPr>
        <w:t xml:space="preserve"> For an example of a sexual harassment prevention policy, please refer to the Victorian Public Sector Commission’s ‘</w:t>
      </w:r>
      <w:hyperlink r:id="rId32" w:history="1">
        <w:r w:rsidR="000B030E" w:rsidRPr="000B030E">
          <w:rPr>
            <w:rStyle w:val="Hyperlink"/>
            <w:rFonts w:ascii="VIC" w:hAnsi="VIC" w:cs="Calibri"/>
            <w:sz w:val="22"/>
            <w:szCs w:val="22"/>
          </w:rPr>
          <w:t>M</w:t>
        </w:r>
        <w:r w:rsidRPr="000B030E">
          <w:rPr>
            <w:rStyle w:val="Hyperlink"/>
            <w:rFonts w:ascii="VIC" w:hAnsi="VIC" w:cs="Calibri"/>
            <w:sz w:val="22"/>
            <w:szCs w:val="22"/>
          </w:rPr>
          <w:t xml:space="preserve">odel </w:t>
        </w:r>
        <w:r w:rsidR="000B030E" w:rsidRPr="000B030E">
          <w:rPr>
            <w:rStyle w:val="Hyperlink"/>
            <w:rFonts w:ascii="VIC" w:hAnsi="VIC" w:cs="Calibri"/>
            <w:sz w:val="22"/>
            <w:szCs w:val="22"/>
          </w:rPr>
          <w:t>P</w:t>
        </w:r>
        <w:r w:rsidRPr="000B030E">
          <w:rPr>
            <w:rStyle w:val="Hyperlink"/>
            <w:rFonts w:ascii="VIC" w:hAnsi="VIC" w:cs="Calibri"/>
            <w:sz w:val="22"/>
            <w:szCs w:val="22"/>
          </w:rPr>
          <w:t xml:space="preserve">olicy for the </w:t>
        </w:r>
        <w:r w:rsidR="000B030E" w:rsidRPr="000B030E">
          <w:rPr>
            <w:rStyle w:val="Hyperlink"/>
            <w:rFonts w:ascii="VIC" w:hAnsi="VIC" w:cs="Calibri"/>
            <w:sz w:val="22"/>
            <w:szCs w:val="22"/>
          </w:rPr>
          <w:t>P</w:t>
        </w:r>
        <w:r w:rsidRPr="000B030E">
          <w:rPr>
            <w:rStyle w:val="Hyperlink"/>
            <w:rFonts w:ascii="VIC" w:hAnsi="VIC" w:cs="Calibri"/>
            <w:sz w:val="22"/>
            <w:szCs w:val="22"/>
          </w:rPr>
          <w:t xml:space="preserve">revention of </w:t>
        </w:r>
        <w:r w:rsidR="000B030E" w:rsidRPr="000B030E">
          <w:rPr>
            <w:rStyle w:val="Hyperlink"/>
            <w:rFonts w:ascii="VIC" w:hAnsi="VIC" w:cs="Calibri"/>
            <w:sz w:val="22"/>
            <w:szCs w:val="22"/>
          </w:rPr>
          <w:t>S</w:t>
        </w:r>
        <w:r w:rsidRPr="000B030E">
          <w:rPr>
            <w:rStyle w:val="Hyperlink"/>
            <w:rFonts w:ascii="VIC" w:hAnsi="VIC" w:cs="Calibri"/>
            <w:sz w:val="22"/>
            <w:szCs w:val="22"/>
          </w:rPr>
          <w:t xml:space="preserve">exual </w:t>
        </w:r>
        <w:r w:rsidR="000B030E" w:rsidRPr="000B030E">
          <w:rPr>
            <w:rStyle w:val="Hyperlink"/>
            <w:rFonts w:ascii="VIC" w:hAnsi="VIC" w:cs="Calibri"/>
            <w:sz w:val="22"/>
            <w:szCs w:val="22"/>
          </w:rPr>
          <w:t>H</w:t>
        </w:r>
        <w:r w:rsidRPr="000B030E">
          <w:rPr>
            <w:rStyle w:val="Hyperlink"/>
            <w:rFonts w:ascii="VIC" w:hAnsi="VIC" w:cs="Calibri"/>
            <w:sz w:val="22"/>
            <w:szCs w:val="22"/>
          </w:rPr>
          <w:t xml:space="preserve">arassment in the </w:t>
        </w:r>
        <w:r w:rsidR="000B030E" w:rsidRPr="000B030E">
          <w:rPr>
            <w:rStyle w:val="Hyperlink"/>
            <w:rFonts w:ascii="VIC" w:hAnsi="VIC" w:cs="Calibri"/>
            <w:sz w:val="22"/>
            <w:szCs w:val="22"/>
          </w:rPr>
          <w:t>W</w:t>
        </w:r>
        <w:r w:rsidRPr="000B030E">
          <w:rPr>
            <w:rStyle w:val="Hyperlink"/>
            <w:rFonts w:ascii="VIC" w:hAnsi="VIC" w:cs="Calibri"/>
            <w:sz w:val="22"/>
            <w:szCs w:val="22"/>
          </w:rPr>
          <w:t>orkplace</w:t>
        </w:r>
      </w:hyperlink>
      <w:r>
        <w:rPr>
          <w:rStyle w:val="normaltextrun"/>
          <w:rFonts w:ascii="VIC" w:hAnsi="VIC" w:cs="Calibri"/>
          <w:sz w:val="22"/>
          <w:szCs w:val="22"/>
        </w:rPr>
        <w:t xml:space="preserve">’. </w:t>
      </w:r>
      <w:bookmarkEnd w:id="25"/>
      <w:r w:rsidRPr="007A6AAF">
        <w:rPr>
          <w:rFonts w:ascii="Cambria" w:hAnsi="Cambria" w:cs="Cambria"/>
          <w:sz w:val="20"/>
          <w:szCs w:val="20"/>
        </w:rPr>
        <w:t> </w:t>
      </w:r>
    </w:p>
    <w:p w14:paraId="49B4DD8C" w14:textId="0BF43E60" w:rsidR="00C95102" w:rsidRDefault="00C95102" w:rsidP="00C9404A">
      <w:pPr>
        <w:pStyle w:val="DPCbodyafterbullets"/>
        <w:rPr>
          <w:rFonts w:ascii="VIC" w:hAnsi="VIC"/>
          <w:b/>
          <w:bCs/>
          <w:color w:val="auto"/>
        </w:rPr>
      </w:pPr>
      <w:r>
        <w:rPr>
          <w:rFonts w:ascii="VIC" w:hAnsi="VIC"/>
          <w:b/>
          <w:bCs/>
          <w:color w:val="auto"/>
        </w:rPr>
        <w:t xml:space="preserve">Workforce </w:t>
      </w:r>
      <w:r w:rsidR="00E665C5">
        <w:rPr>
          <w:rFonts w:ascii="VIC" w:hAnsi="VIC"/>
          <w:b/>
          <w:bCs/>
          <w:color w:val="auto"/>
        </w:rPr>
        <w:t>g</w:t>
      </w:r>
      <w:r>
        <w:rPr>
          <w:rFonts w:ascii="VIC" w:hAnsi="VIC"/>
          <w:b/>
          <w:bCs/>
          <w:color w:val="auto"/>
        </w:rPr>
        <w:t>roup</w:t>
      </w:r>
    </w:p>
    <w:p w14:paraId="63FB0009" w14:textId="3409A245" w:rsidR="00C95102" w:rsidRPr="00E16769" w:rsidRDefault="00C95102" w:rsidP="00C95102">
      <w:pPr>
        <w:rPr>
          <w:rFonts w:ascii="Calibri" w:hAnsi="Calibri"/>
        </w:rPr>
      </w:pPr>
      <w:r>
        <w:t xml:space="preserve">In 2021 </w:t>
      </w:r>
      <w:r w:rsidR="00301AB2">
        <w:t>the Commission</w:t>
      </w:r>
      <w:r>
        <w:t xml:space="preserve"> will require entities to submit all workforce groups in one</w:t>
      </w:r>
      <w:r w:rsidR="00B42C79">
        <w:t xml:space="preserve"> workforce</w:t>
      </w:r>
      <w:r>
        <w:t xml:space="preserve"> template. We recognise that for some organisations this may result in comparison across workforce groups that may not be considered equivalent for various reasons, including occupational segregation. </w:t>
      </w:r>
    </w:p>
    <w:p w14:paraId="2F3D5461" w14:textId="456D0033" w:rsidR="00C95102" w:rsidRDefault="00C95102" w:rsidP="00C95102">
      <w:r>
        <w:t>To help capture the nuances between distinct work</w:t>
      </w:r>
      <w:r w:rsidR="00B25E45">
        <w:t xml:space="preserve">force </w:t>
      </w:r>
      <w:r>
        <w:t xml:space="preserve">groups, </w:t>
      </w:r>
      <w:r w:rsidR="00301AB2">
        <w:t>the Commission</w:t>
      </w:r>
      <w:r>
        <w:t xml:space="preserve"> has included an optional “workforce group” column in the </w:t>
      </w:r>
      <w:r w:rsidR="00243D8E">
        <w:t>W</w:t>
      </w:r>
      <w:r>
        <w:t xml:space="preserve">orkforce </w:t>
      </w:r>
      <w:r w:rsidR="00243D8E">
        <w:t>R</w:t>
      </w:r>
      <w:r>
        <w:t xml:space="preserve">eporting </w:t>
      </w:r>
      <w:r w:rsidR="00D40763">
        <w:t>T</w:t>
      </w:r>
      <w:r>
        <w:t xml:space="preserve">emplate. This </w:t>
      </w:r>
      <w:r w:rsidR="00D40763">
        <w:t>is</w:t>
      </w:r>
      <w:r>
        <w:t xml:space="preserve"> a free text field which is not mandatory, and for the purposes of automatic calculation, will not impact on output tables</w:t>
      </w:r>
      <w:r w:rsidR="006E7EEA">
        <w:t>. H</w:t>
      </w:r>
      <w:r>
        <w:t>owever</w:t>
      </w:r>
      <w:r w:rsidR="00C66650">
        <w:t>, it</w:t>
      </w:r>
      <w:r>
        <w:t xml:space="preserve"> may inform how </w:t>
      </w:r>
      <w:r w:rsidR="00C63C51">
        <w:t>the Commission</w:t>
      </w:r>
      <w:r>
        <w:t xml:space="preserve"> analyses information that has been submitted.</w:t>
      </w:r>
    </w:p>
    <w:p w14:paraId="6618E331" w14:textId="77777777" w:rsidR="00C95102" w:rsidRPr="00E16769" w:rsidRDefault="00C95102" w:rsidP="00C9404A">
      <w:pPr>
        <w:pStyle w:val="DPCbodyafterbullets"/>
        <w:rPr>
          <w:rFonts w:ascii="VIC" w:hAnsi="VIC"/>
          <w:b/>
          <w:bCs/>
          <w:color w:val="auto"/>
        </w:rPr>
      </w:pPr>
    </w:p>
    <w:bookmarkEnd w:id="24"/>
    <w:p w14:paraId="47653C5D" w14:textId="11C99CE5" w:rsidR="004F13A9" w:rsidRPr="00E16769" w:rsidRDefault="004F13A9" w:rsidP="00C9404A">
      <w:pPr>
        <w:pStyle w:val="DPCbodyafterbullets"/>
        <w:rPr>
          <w:rFonts w:ascii="VIC" w:hAnsi="VIC"/>
          <w:iCs/>
          <w:color w:val="auto"/>
          <w:highlight w:val="yellow"/>
        </w:rPr>
      </w:pPr>
    </w:p>
    <w:p w14:paraId="37787607" w14:textId="035B5691" w:rsidR="00A13EC5" w:rsidRPr="00B50173" w:rsidRDefault="00B42C79">
      <w:pPr>
        <w:rPr>
          <w:rFonts w:eastAsia="Times" w:cs="Arial"/>
          <w:b/>
        </w:rPr>
      </w:pPr>
      <w:r>
        <w:rPr>
          <w:rFonts w:eastAsia="Times" w:cs="Arial"/>
          <w:b/>
        </w:rPr>
        <w:t xml:space="preserve">More information to support </w:t>
      </w:r>
      <w:r w:rsidR="003210E6">
        <w:rPr>
          <w:rFonts w:eastAsia="Times" w:cs="Arial"/>
          <w:b/>
        </w:rPr>
        <w:t>your workplace gender audit process</w:t>
      </w:r>
      <w:r>
        <w:rPr>
          <w:rFonts w:eastAsia="Times" w:cs="Arial"/>
          <w:b/>
        </w:rPr>
        <w:t xml:space="preserve"> is available on the </w:t>
      </w:r>
      <w:hyperlink r:id="rId33" w:history="1">
        <w:r w:rsidR="00AB037F">
          <w:rPr>
            <w:rStyle w:val="Hyperlink"/>
            <w:rFonts w:eastAsia="Times" w:cs="Arial"/>
            <w:b/>
          </w:rPr>
          <w:t>Commission</w:t>
        </w:r>
        <w:r w:rsidR="003D251B">
          <w:rPr>
            <w:rStyle w:val="Hyperlink"/>
            <w:rFonts w:eastAsia="Times" w:cs="Arial"/>
            <w:b/>
          </w:rPr>
          <w:t>’s</w:t>
        </w:r>
        <w:r w:rsidR="00AB037F">
          <w:rPr>
            <w:rStyle w:val="Hyperlink"/>
            <w:rFonts w:eastAsia="Times" w:cs="Arial"/>
            <w:b/>
          </w:rPr>
          <w:t xml:space="preserve"> website</w:t>
        </w:r>
      </w:hyperlink>
      <w:r>
        <w:rPr>
          <w:rFonts w:eastAsia="Times" w:cs="Arial"/>
          <w:b/>
        </w:rPr>
        <w:t xml:space="preserve">. </w:t>
      </w:r>
    </w:p>
    <w:sectPr w:rsidR="00A13EC5" w:rsidRPr="00B50173" w:rsidSect="00E16769">
      <w:headerReference w:type="even" r:id="rId34"/>
      <w:headerReference w:type="default" r:id="rId35"/>
      <w:footerReference w:type="even" r:id="rId36"/>
      <w:footerReference w:type="default" r:id="rId37"/>
      <w:footerReference w:type="first" r:id="rId38"/>
      <w:pgSz w:w="11906" w:h="16838" w:code="9"/>
      <w:pgMar w:top="1701" w:right="1304" w:bottom="1276" w:left="1304" w:header="567"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BE3F" w14:textId="77777777" w:rsidR="00746A0C" w:rsidRDefault="00746A0C" w:rsidP="00A13EC5">
      <w:pPr>
        <w:spacing w:after="0" w:line="240" w:lineRule="auto"/>
      </w:pPr>
      <w:r>
        <w:separator/>
      </w:r>
    </w:p>
  </w:endnote>
  <w:endnote w:type="continuationSeparator" w:id="0">
    <w:p w14:paraId="3CDA7263" w14:textId="77777777" w:rsidR="00746A0C" w:rsidRDefault="00746A0C" w:rsidP="00A13EC5">
      <w:pPr>
        <w:spacing w:after="0" w:line="240" w:lineRule="auto"/>
      </w:pPr>
      <w:r>
        <w:continuationSeparator/>
      </w:r>
    </w:p>
  </w:endnote>
  <w:endnote w:type="continuationNotice" w:id="1">
    <w:p w14:paraId="2AC8122F" w14:textId="77777777" w:rsidR="00746A0C" w:rsidRDefault="00746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IC">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raphik Regular">
    <w:altName w:val="Calibr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4725" w14:textId="77777777" w:rsidR="00DC5BF5" w:rsidRDefault="00DC5BF5" w:rsidP="00376610">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AE62" w14:textId="745D7FBD" w:rsidR="00DC5BF5" w:rsidRPr="007E6336" w:rsidRDefault="00DC5BF5">
    <w:pPr>
      <w:pStyle w:val="Footer"/>
      <w:rPr>
        <w:rFonts w:ascii="Arial" w:hAnsi="Arial" w:cs="Arial"/>
      </w:rPr>
    </w:pPr>
    <w:r>
      <w:rPr>
        <w:rFonts w:cs="Arial"/>
      </w:rPr>
      <w:t xml:space="preserve"> </w:t>
    </w:r>
    <w:r w:rsidRPr="00E16769">
      <w:rPr>
        <w:rFonts w:cs="Arial"/>
      </w:rPr>
      <w:t>Workplace gender audit guide</w:t>
    </w:r>
    <w:r>
      <w:rPr>
        <w:rFonts w:cs="Arial"/>
      </w:rPr>
      <w:t xml:space="preserve"> 2021</w:t>
    </w:r>
    <w:r w:rsidR="00600280">
      <w:rPr>
        <w:rFonts w:cs="Arial"/>
      </w:rPr>
      <w:t xml:space="preserve"> (version 3.0)</w:t>
    </w:r>
    <w:r>
      <w:tab/>
    </w:r>
    <w:r w:rsidRPr="003D251B">
      <w:rPr>
        <w:rFonts w:cs="Arial"/>
      </w:rPr>
      <w:fldChar w:fldCharType="begin"/>
    </w:r>
    <w:r w:rsidRPr="003D251B">
      <w:rPr>
        <w:rFonts w:cs="Arial"/>
      </w:rPr>
      <w:instrText xml:space="preserve"> PAGE </w:instrText>
    </w:r>
    <w:r w:rsidRPr="003D251B">
      <w:rPr>
        <w:rFonts w:cs="Arial"/>
      </w:rPr>
      <w:fldChar w:fldCharType="separate"/>
    </w:r>
    <w:r w:rsidRPr="003D251B">
      <w:rPr>
        <w:rFonts w:cs="Arial"/>
      </w:rPr>
      <w:t>6</w:t>
    </w:r>
    <w:r w:rsidRPr="003D251B">
      <w:rPr>
        <w:rFonts w:cs="Arial"/>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ACC" w14:textId="77777777" w:rsidR="00DC5BF5" w:rsidRPr="001A7E04" w:rsidRDefault="00DC5BF5" w:rsidP="0037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92DE" w14:textId="77777777" w:rsidR="00746A0C" w:rsidRDefault="00746A0C" w:rsidP="00A13EC5">
      <w:pPr>
        <w:spacing w:after="0" w:line="240" w:lineRule="auto"/>
      </w:pPr>
      <w:r>
        <w:separator/>
      </w:r>
    </w:p>
  </w:footnote>
  <w:footnote w:type="continuationSeparator" w:id="0">
    <w:p w14:paraId="5D02DF0E" w14:textId="77777777" w:rsidR="00746A0C" w:rsidRDefault="00746A0C" w:rsidP="00A13EC5">
      <w:pPr>
        <w:spacing w:after="0" w:line="240" w:lineRule="auto"/>
      </w:pPr>
      <w:r>
        <w:continuationSeparator/>
      </w:r>
    </w:p>
  </w:footnote>
  <w:footnote w:type="continuationNotice" w:id="1">
    <w:p w14:paraId="30EC7A0F" w14:textId="77777777" w:rsidR="00746A0C" w:rsidRDefault="00746A0C">
      <w:pPr>
        <w:spacing w:after="0" w:line="240" w:lineRule="auto"/>
      </w:pPr>
    </w:p>
  </w:footnote>
  <w:footnote w:id="2">
    <w:p w14:paraId="5A5E1AD9" w14:textId="6A84E767" w:rsidR="00DC5BF5" w:rsidRPr="00E16769" w:rsidRDefault="00DC5BF5">
      <w:pPr>
        <w:pStyle w:val="FootnoteText"/>
        <w:rPr>
          <w:rFonts w:cs="Arial"/>
          <w:sz w:val="18"/>
          <w:szCs w:val="18"/>
        </w:rPr>
      </w:pPr>
      <w:r w:rsidRPr="00E16769">
        <w:rPr>
          <w:rStyle w:val="FootnoteReference"/>
          <w:rFonts w:cs="Arial"/>
          <w:sz w:val="18"/>
          <w:szCs w:val="18"/>
        </w:rPr>
        <w:footnoteRef/>
      </w:r>
      <w:r w:rsidRPr="00E16769">
        <w:rPr>
          <w:rFonts w:cs="Arial"/>
          <w:sz w:val="18"/>
          <w:szCs w:val="18"/>
        </w:rPr>
        <w:t xml:space="preserve"> There are no targets or quotas prescribed in regulations under s17(1) of the Act at this stage. </w:t>
      </w:r>
    </w:p>
  </w:footnote>
  <w:footnote w:id="3">
    <w:p w14:paraId="1EBCABEB" w14:textId="638C12F4" w:rsidR="00DC5BF5" w:rsidRPr="000B3ABB" w:rsidRDefault="00DC5BF5">
      <w:pPr>
        <w:pStyle w:val="FootnoteText"/>
        <w:rPr>
          <w:rFonts w:ascii="Arial" w:hAnsi="Arial" w:cs="Arial"/>
          <w:sz w:val="18"/>
          <w:szCs w:val="18"/>
        </w:rPr>
      </w:pPr>
      <w:r w:rsidRPr="00E16769">
        <w:rPr>
          <w:rStyle w:val="FootnoteReference"/>
          <w:rFonts w:cs="Arial"/>
          <w:sz w:val="18"/>
          <w:szCs w:val="18"/>
        </w:rPr>
        <w:footnoteRef/>
      </w:r>
      <w:r w:rsidRPr="00E16769">
        <w:rPr>
          <w:rFonts w:cs="Arial"/>
          <w:sz w:val="18"/>
          <w:szCs w:val="18"/>
        </w:rPr>
        <w:t xml:space="preserve"> There are no prescribed matters under the Act at this stage.</w:t>
      </w:r>
    </w:p>
  </w:footnote>
  <w:footnote w:id="4">
    <w:p w14:paraId="59407259" w14:textId="371CEE51" w:rsidR="00DC5BF5" w:rsidRPr="00E16769" w:rsidRDefault="00DC5BF5" w:rsidP="006F1CB7">
      <w:pPr>
        <w:pStyle w:val="FootnoteText"/>
        <w:rPr>
          <w:rFonts w:cs="Arial"/>
          <w:sz w:val="18"/>
          <w:szCs w:val="18"/>
        </w:rPr>
      </w:pPr>
      <w:r w:rsidRPr="00E16769">
        <w:rPr>
          <w:rStyle w:val="FootnoteReference"/>
          <w:rFonts w:cs="Arial"/>
          <w:sz w:val="18"/>
          <w:szCs w:val="18"/>
        </w:rPr>
        <w:footnoteRef/>
      </w:r>
      <w:r w:rsidRPr="00E16769">
        <w:rPr>
          <w:rFonts w:cs="Arial"/>
          <w:sz w:val="18"/>
          <w:szCs w:val="18"/>
        </w:rPr>
        <w:t xml:space="preserve"> Personal information has the same meaning as it has in section 3 of the </w:t>
      </w:r>
      <w:r w:rsidRPr="00E16769">
        <w:rPr>
          <w:rFonts w:cs="Arial"/>
          <w:i/>
          <w:iCs/>
          <w:sz w:val="18"/>
          <w:szCs w:val="18"/>
        </w:rPr>
        <w:t>Privacy and Data Protection Act 2014</w:t>
      </w:r>
      <w:r w:rsidRPr="00E16769">
        <w:rPr>
          <w:rFonts w:cs="Arial"/>
          <w:sz w:val="18"/>
          <w:szCs w:val="18"/>
        </w:rPr>
        <w:t>: personal information means information or an opinion (including information or an opinion forming part of a database), that is recorded in any form and whether true or not, about an individual whose identity is apparent,</w:t>
      </w:r>
    </w:p>
    <w:p w14:paraId="123C34DE" w14:textId="42DD4FD5" w:rsidR="00DC5BF5" w:rsidRPr="000B3ABB" w:rsidRDefault="00DC5BF5" w:rsidP="006F1CB7">
      <w:pPr>
        <w:pStyle w:val="FootnoteText"/>
        <w:rPr>
          <w:rFonts w:ascii="Arial" w:hAnsi="Arial" w:cs="Arial"/>
          <w:sz w:val="18"/>
          <w:szCs w:val="18"/>
        </w:rPr>
      </w:pPr>
      <w:r w:rsidRPr="00E16769">
        <w:rPr>
          <w:rFonts w:cs="Arial"/>
          <w:sz w:val="18"/>
          <w:szCs w:val="18"/>
        </w:rPr>
        <w:t xml:space="preserve">or can reasonably be ascertained, from the information or opinion, but does not include information of a kind to which the </w:t>
      </w:r>
      <w:r w:rsidRPr="00E16769">
        <w:rPr>
          <w:rFonts w:cs="Arial"/>
          <w:i/>
          <w:iCs/>
          <w:sz w:val="18"/>
          <w:szCs w:val="18"/>
        </w:rPr>
        <w:t>Health Records Act 2001</w:t>
      </w:r>
      <w:r w:rsidRPr="00E16769">
        <w:rPr>
          <w:rFonts w:cs="Arial"/>
          <w:sz w:val="18"/>
          <w:szCs w:val="18"/>
        </w:rPr>
        <w:t xml:space="preserve"> applies.</w:t>
      </w:r>
    </w:p>
  </w:footnote>
  <w:footnote w:id="5">
    <w:p w14:paraId="3AB5E05A" w14:textId="2CDAEDFD" w:rsidR="00DC5BF5" w:rsidRDefault="00DC5BF5">
      <w:pPr>
        <w:pStyle w:val="FootnoteText"/>
      </w:pPr>
      <w:r>
        <w:rPr>
          <w:rStyle w:val="FootnoteReference"/>
        </w:rPr>
        <w:footnoteRef/>
      </w:r>
      <w:r>
        <w:t xml:space="preserve"> See Appendix 1 for further information on ‘self-described gender’. </w:t>
      </w:r>
    </w:p>
  </w:footnote>
  <w:footnote w:id="6">
    <w:p w14:paraId="2B6E0E65" w14:textId="328F3734" w:rsidR="00DC5BF5" w:rsidRPr="00D52C66" w:rsidRDefault="00DC5BF5" w:rsidP="003B66E6">
      <w:pPr>
        <w:pStyle w:val="FootnoteText"/>
        <w:rPr>
          <w:rFonts w:cs="Arial"/>
        </w:rPr>
      </w:pPr>
      <w:r w:rsidRPr="00D52C66">
        <w:rPr>
          <w:rStyle w:val="FootnoteReference"/>
          <w:rFonts w:cs="Arial"/>
        </w:rPr>
        <w:footnoteRef/>
      </w:r>
      <w:r w:rsidRPr="00D52C66">
        <w:rPr>
          <w:rFonts w:cs="Arial"/>
        </w:rPr>
        <w:t xml:space="preserve"> Estimated guide only. The time required to undertake a workplace gender audit may be longer for your particular organisational context. This timeframe is based on the estimated time commitment indicated by participants in the Gender Equality Act Implementation Pilot run by the Department of Premier and Cabinet (DPC) in 2019-20. </w:t>
      </w:r>
    </w:p>
  </w:footnote>
  <w:footnote w:id="7">
    <w:p w14:paraId="6B596BCA" w14:textId="17EEBAA2" w:rsidR="00DC5BF5" w:rsidRPr="00D52C66" w:rsidRDefault="00DC5BF5">
      <w:pPr>
        <w:pStyle w:val="FootnoteText"/>
        <w:rPr>
          <w:rFonts w:cs="Arial"/>
        </w:rPr>
      </w:pPr>
      <w:r w:rsidRPr="00D52C66">
        <w:rPr>
          <w:rStyle w:val="FootnoteReference"/>
          <w:rFonts w:cs="Arial"/>
        </w:rPr>
        <w:footnoteRef/>
      </w:r>
      <w:r w:rsidRPr="00D52C66">
        <w:rPr>
          <w:rFonts w:cs="Arial"/>
        </w:rPr>
        <w:t xml:space="preserve"> Further guidance about how to engage and communicate with your workforce about your obligations under the </w:t>
      </w:r>
      <w:r w:rsidRPr="00D52C66">
        <w:rPr>
          <w:rFonts w:cs="Arial"/>
          <w:i/>
        </w:rPr>
        <w:t>Gender Equality Act 2020</w:t>
      </w:r>
      <w:r w:rsidRPr="00D52C66">
        <w:rPr>
          <w:rFonts w:cs="Arial"/>
        </w:rPr>
        <w:t xml:space="preserve"> is available on </w:t>
      </w:r>
      <w:hyperlink r:id="rId1" w:anchor="case-for-change-slidepack" w:history="1">
        <w:r w:rsidRPr="00D52C66">
          <w:rPr>
            <w:rStyle w:val="Hyperlink"/>
          </w:rPr>
          <w:t xml:space="preserve">our </w:t>
        </w:r>
        <w:r w:rsidRPr="00D52C66">
          <w:rPr>
            <w:rStyle w:val="Hyperlink"/>
            <w:rFonts w:cs="Arial"/>
          </w:rPr>
          <w:t>website</w:t>
        </w:r>
      </w:hyperlink>
      <w:r w:rsidRPr="00D52C66">
        <w:rPr>
          <w:rFonts w:cs="Arial"/>
        </w:rPr>
        <w:t xml:space="preserve">. </w:t>
      </w:r>
    </w:p>
  </w:footnote>
  <w:footnote w:id="8">
    <w:p w14:paraId="2F08C5E4" w14:textId="647EBAA2" w:rsidR="00DC5BF5" w:rsidRPr="004C175C" w:rsidRDefault="00DC5BF5">
      <w:pPr>
        <w:pStyle w:val="FootnoteText"/>
        <w:rPr>
          <w:rFonts w:cstheme="minorHAnsi"/>
        </w:rPr>
      </w:pPr>
      <w:r w:rsidRPr="00D52C66">
        <w:rPr>
          <w:rStyle w:val="FootnoteReference"/>
          <w:rFonts w:cstheme="minorHAnsi"/>
        </w:rPr>
        <w:footnoteRef/>
      </w:r>
      <w:r w:rsidRPr="00D52C66">
        <w:rPr>
          <w:rFonts w:cstheme="minorHAnsi"/>
        </w:rPr>
        <w:t xml:space="preserve"> You may identify existing gender auditing mechanisms in your workplace, which will complement the results of your workplace gender audit in your GEAP development process. For example, this may include Workplace Equality and Respect self-assessments, Athena SWAN or Workplace Gender Equality Agency related information. </w:t>
      </w:r>
    </w:p>
  </w:footnote>
  <w:footnote w:id="9">
    <w:p w14:paraId="174E3D58" w14:textId="2E4FF053" w:rsidR="00DC5BF5" w:rsidRDefault="00DC5BF5">
      <w:pPr>
        <w:pStyle w:val="FootnoteText"/>
      </w:pPr>
      <w:r>
        <w:rPr>
          <w:rStyle w:val="FootnoteReference"/>
        </w:rPr>
        <w:footnoteRef/>
      </w:r>
      <w:r>
        <w:t xml:space="preserve"> The Commission will </w:t>
      </w:r>
      <w:r w:rsidR="001C4330">
        <w:t xml:space="preserve">publish </w:t>
      </w:r>
      <w:r>
        <w:t>further guidance on data analysis</w:t>
      </w:r>
      <w:r w:rsidR="001C4330">
        <w:t>.</w:t>
      </w:r>
    </w:p>
  </w:footnote>
  <w:footnote w:id="10">
    <w:p w14:paraId="5FB0D33E" w14:textId="7F4A506C" w:rsidR="00DC5BF5" w:rsidRPr="004C175C" w:rsidRDefault="00DC5BF5" w:rsidP="00615883">
      <w:pPr>
        <w:pStyle w:val="FootnoteText"/>
        <w:rPr>
          <w:rFonts w:cstheme="minorHAnsi"/>
        </w:rPr>
      </w:pPr>
      <w:r w:rsidRPr="004C175C">
        <w:rPr>
          <w:rStyle w:val="FootnoteReference"/>
          <w:rFonts w:cstheme="minorHAnsi"/>
        </w:rPr>
        <w:footnoteRef/>
      </w:r>
      <w:r w:rsidRPr="004C175C">
        <w:rPr>
          <w:rFonts w:cstheme="minorHAnsi"/>
        </w:rPr>
        <w:t xml:space="preserve"> Guidance on how to undertake meaningful consultation is included in the Gender Equality Action Plan guidance available on </w:t>
      </w:r>
      <w:hyperlink r:id="rId2" w:history="1">
        <w:r w:rsidRPr="004C175C">
          <w:rPr>
            <w:rStyle w:val="Hyperlink"/>
            <w:rFonts w:cstheme="minorHAnsi"/>
          </w:rPr>
          <w:t>our website</w:t>
        </w:r>
      </w:hyperlink>
      <w:r w:rsidRPr="004C175C">
        <w:rPr>
          <w:rFonts w:cstheme="minorHAnsi"/>
        </w:rPr>
        <w:t>.</w:t>
      </w:r>
    </w:p>
  </w:footnote>
  <w:footnote w:id="11">
    <w:p w14:paraId="2E26357E" w14:textId="3EF63305" w:rsidR="00DC5BF5" w:rsidRPr="00E16769" w:rsidRDefault="00DC5BF5">
      <w:pPr>
        <w:pStyle w:val="FootnoteText"/>
        <w:rPr>
          <w:rFonts w:cs="Arial"/>
          <w:sz w:val="18"/>
          <w:szCs w:val="18"/>
        </w:rPr>
      </w:pPr>
      <w:r w:rsidRPr="00E16769">
        <w:rPr>
          <w:rStyle w:val="FootnoteReference"/>
          <w:rFonts w:cs="Arial"/>
          <w:sz w:val="18"/>
          <w:szCs w:val="18"/>
        </w:rPr>
        <w:footnoteRef/>
      </w:r>
      <w:r w:rsidRPr="00E16769">
        <w:rPr>
          <w:rFonts w:cs="Arial"/>
          <w:sz w:val="18"/>
          <w:szCs w:val="18"/>
        </w:rPr>
        <w:t xml:space="preserve"> </w:t>
      </w:r>
      <w:r w:rsidRPr="00E16769">
        <w:rPr>
          <w:rFonts w:cs="Arial"/>
        </w:rPr>
        <w:t>If you do not currently collect data relating to intersectional gender inequality, please consider including a strategy or measure in your GEAP that focuses on building this data collection capacity.</w:t>
      </w:r>
    </w:p>
  </w:footnote>
  <w:footnote w:id="12">
    <w:p w14:paraId="10D5B0A3" w14:textId="14707368" w:rsidR="00DC5BF5" w:rsidRDefault="00DC5BF5">
      <w:pPr>
        <w:pStyle w:val="FootnoteText"/>
      </w:pPr>
      <w:r>
        <w:rPr>
          <w:rStyle w:val="FootnoteReference"/>
        </w:rPr>
        <w:footnoteRef/>
      </w:r>
      <w:r>
        <w:t xml:space="preserve"> Based on feedback from defined entities during the first audit and GEAP development process in 2021, the Commission may expand its reporting platform to include optional additional audit measures for subsequent reporting periods. </w:t>
      </w:r>
    </w:p>
  </w:footnote>
  <w:footnote w:id="13">
    <w:p w14:paraId="5342D37A" w14:textId="66CE34E9" w:rsidR="00DC5BF5" w:rsidRDefault="00DC5BF5">
      <w:pPr>
        <w:pStyle w:val="FootnoteText"/>
      </w:pPr>
      <w:r w:rsidRPr="00E65F9E">
        <w:rPr>
          <w:rStyle w:val="FootnoteReference"/>
        </w:rPr>
        <w:footnoteRef/>
      </w:r>
      <w:r w:rsidRPr="00E65F9E">
        <w:t xml:space="preserve"> For universities, these reporting dates may differ to align with Workplace Gender Equality Agency reporting periods. </w:t>
      </w:r>
      <w:r w:rsidR="007A14DB">
        <w:t>Universities should contact t</w:t>
      </w:r>
      <w:r w:rsidRPr="00E65F9E">
        <w:t xml:space="preserve">he Commission </w:t>
      </w:r>
      <w:r w:rsidR="007A14DB">
        <w:t>if they require further clarification</w:t>
      </w:r>
      <w:r w:rsidRPr="00E65F9E">
        <w:t>.</w:t>
      </w:r>
      <w:r>
        <w:t xml:space="preserve"> </w:t>
      </w:r>
    </w:p>
  </w:footnote>
  <w:footnote w:id="14">
    <w:p w14:paraId="79190985" w14:textId="6E6FC6BA" w:rsidR="00025CCD" w:rsidRDefault="00025CCD">
      <w:pPr>
        <w:pStyle w:val="FootnoteText"/>
      </w:pPr>
      <w:r>
        <w:rPr>
          <w:rStyle w:val="FootnoteReference"/>
        </w:rPr>
        <w:footnoteRef/>
      </w:r>
      <w:r>
        <w:t xml:space="preserve"> </w:t>
      </w:r>
      <w:r>
        <w:rPr>
          <w:bCs/>
        </w:rPr>
        <w:t xml:space="preserve">Defined </w:t>
      </w:r>
      <w:r w:rsidRPr="0030540A">
        <w:rPr>
          <w:bCs/>
        </w:rPr>
        <w:t xml:space="preserve">entities </w:t>
      </w:r>
      <w:r>
        <w:rPr>
          <w:bCs/>
        </w:rPr>
        <w:t xml:space="preserve">should </w:t>
      </w:r>
      <w:r w:rsidRPr="0030540A">
        <w:rPr>
          <w:bCs/>
        </w:rPr>
        <w:t xml:space="preserve">provide information </w:t>
      </w:r>
      <w:r>
        <w:rPr>
          <w:bCs/>
        </w:rPr>
        <w:t>relating to external complaints</w:t>
      </w:r>
      <w:r w:rsidRPr="0030540A">
        <w:rPr>
          <w:bCs/>
        </w:rPr>
        <w:t xml:space="preserve"> where it is already available internally, for example if the employer is a party to a complaint. We acknowledge this may mean that complaints which have not been communicated to employers may not be captured.</w:t>
      </w:r>
    </w:p>
  </w:footnote>
  <w:footnote w:id="15">
    <w:p w14:paraId="5051C2D4" w14:textId="20F75F0C" w:rsidR="00206EB1" w:rsidRDefault="00206EB1">
      <w:pPr>
        <w:pStyle w:val="FootnoteText"/>
      </w:pPr>
      <w:r>
        <w:rPr>
          <w:rStyle w:val="FootnoteReference"/>
        </w:rPr>
        <w:footnoteRef/>
      </w:r>
      <w:r>
        <w:t xml:space="preserve"> </w:t>
      </w:r>
      <w:r w:rsidRPr="00E16769">
        <w:t>The Victorian Health Promotion Foundation and The Behavioural Insights Team (2021) ‘</w:t>
      </w:r>
      <w:hyperlink r:id="rId3" w:history="1">
        <w:r w:rsidRPr="00E16769">
          <w:rPr>
            <w:rStyle w:val="Hyperlink"/>
          </w:rPr>
          <w:t>Victorians’ experiences of sexism and sexual harassment while working remotely due to the coronavirus – Report findings’</w:t>
        </w:r>
      </w:hyperlink>
      <w:r w:rsidRPr="00E16769">
        <w:t>.</w:t>
      </w:r>
    </w:p>
  </w:footnote>
  <w:footnote w:id="16">
    <w:p w14:paraId="363E0C94" w14:textId="11F71011" w:rsidR="00121C4D" w:rsidRDefault="00121C4D">
      <w:pPr>
        <w:pStyle w:val="FootnoteText"/>
      </w:pPr>
      <w:r>
        <w:rPr>
          <w:rStyle w:val="FootnoteReference"/>
        </w:rPr>
        <w:footnoteRef/>
      </w:r>
      <w:r>
        <w:t xml:space="preserve"> </w:t>
      </w:r>
      <w:r w:rsidRPr="00E16769">
        <w:t>The Victorian Equal Opportunity and Human Rights Commission has a range of support and response tools to prevent and respond to sexual harassment at work. One of those tools includes an interactive chat that provides pathways for information if a worker has experienced sexual harassment at work, seen or overheard behaviour that might be sexual harassment, or someone has disclosed that they have experienced sexual harassment. The response tool can help workers to understand when something at work crosses the line into sexual harassment, response options as well as a director of support service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A7AC" w14:textId="77777777" w:rsidR="00DC5BF5" w:rsidRDefault="00DC5BF5">
    <w:pPr>
      <w:pStyle w:val="Header"/>
    </w:pPr>
    <w:r>
      <w:rPr>
        <w:noProof/>
        <w:lang w:eastAsia="en-AU"/>
      </w:rPr>
      <w:drawing>
        <wp:anchor distT="0" distB="0" distL="114300" distR="114300" simplePos="0" relativeHeight="251658240" behindDoc="0" locked="1" layoutInCell="0" allowOverlap="1" wp14:anchorId="02D1D923" wp14:editId="78CEF0D9">
          <wp:simplePos x="0" y="0"/>
          <wp:positionH relativeFrom="page">
            <wp:posOffset>0</wp:posOffset>
          </wp:positionH>
          <wp:positionV relativeFrom="page">
            <wp:posOffset>360045</wp:posOffset>
          </wp:positionV>
          <wp:extent cx="7566840" cy="503256"/>
          <wp:effectExtent l="0" t="0" r="0" b="0"/>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2A315CB5" w14:textId="77777777" w:rsidR="00DC5BF5" w:rsidRDefault="00DC5B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EEAE" w14:textId="56DB5E89" w:rsidR="00DC5BF5" w:rsidRDefault="00100E58">
    <w:pPr>
      <w:pStyle w:val="Header"/>
    </w:pPr>
    <w:r>
      <w:rPr>
        <w:noProof/>
      </w:rPr>
      <mc:AlternateContent>
        <mc:Choice Requires="wpg">
          <w:drawing>
            <wp:anchor distT="0" distB="0" distL="114300" distR="114300" simplePos="0" relativeHeight="251659266" behindDoc="0" locked="0" layoutInCell="1" allowOverlap="1" wp14:anchorId="77C01706" wp14:editId="3FBB7EFB">
              <wp:simplePos x="0" y="0"/>
              <wp:positionH relativeFrom="page">
                <wp:align>right</wp:align>
              </wp:positionH>
              <wp:positionV relativeFrom="paragraph">
                <wp:posOffset>-360348</wp:posOffset>
              </wp:positionV>
              <wp:extent cx="7801610" cy="904240"/>
              <wp:effectExtent l="0" t="0" r="8890" b="0"/>
              <wp:wrapThrough wrapText="bothSides">
                <wp:wrapPolygon edited="0">
                  <wp:start x="0" y="0"/>
                  <wp:lineTo x="0" y="20933"/>
                  <wp:lineTo x="21572" y="20933"/>
                  <wp:lineTo x="21572" y="0"/>
                  <wp:lineTo x="0" y="0"/>
                </wp:wrapPolygon>
              </wp:wrapThrough>
              <wp:docPr id="523241636" name="Group 1"/>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3" name="Picture 3"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1" name="Picture 11"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4D00F65" id="Group 1" o:spid="_x0000_s1026" style="position:absolute;margin-left:563.1pt;margin-top:-28.35pt;width:614.3pt;height:71.2pt;z-index:251659266;mso-position-horizontal:right;mso-position-horizontal-relative:page"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v:shape id="Picture 11"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">
                <v:imagedata r:id="rId2" o:title="Shape&#10;&#10;Description automatically generated" cropleft="43982f"/>
              </v:shape>
              <w10:wrap type="through" anchorx="page"/>
            </v:group>
          </w:pict>
        </mc:Fallback>
      </mc:AlternateContent>
    </w:r>
  </w:p>
  <w:p w14:paraId="228E3B44" w14:textId="74355B45" w:rsidR="00DC5BF5" w:rsidRDefault="00DC5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23"/>
    <w:multiLevelType w:val="hybridMultilevel"/>
    <w:tmpl w:val="BBFC4D98"/>
    <w:lvl w:ilvl="0" w:tplc="0C090001">
      <w:start w:val="1"/>
      <w:numFmt w:val="bullet"/>
      <w:lvlText w:val=""/>
      <w:lvlJc w:val="left"/>
      <w:pPr>
        <w:ind w:left="142" w:hanging="360"/>
      </w:pPr>
      <w:rPr>
        <w:rFonts w:ascii="Symbol" w:hAnsi="Symbol" w:hint="default"/>
      </w:rPr>
    </w:lvl>
    <w:lvl w:ilvl="1" w:tplc="0C090003">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 w15:restartNumberingAfterBreak="0">
    <w:nsid w:val="027441BF"/>
    <w:multiLevelType w:val="hybridMultilevel"/>
    <w:tmpl w:val="8230D534"/>
    <w:lvl w:ilvl="0" w:tplc="ED32191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00C52"/>
    <w:multiLevelType w:val="hybridMultilevel"/>
    <w:tmpl w:val="4AB45896"/>
    <w:lvl w:ilvl="0" w:tplc="DD08FCA0">
      <w:start w:val="6"/>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040200A5"/>
    <w:multiLevelType w:val="hybridMultilevel"/>
    <w:tmpl w:val="C86A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93763"/>
    <w:multiLevelType w:val="hybridMultilevel"/>
    <w:tmpl w:val="C402F588"/>
    <w:styleLink w:val="ZZTablebullets"/>
    <w:lvl w:ilvl="0" w:tplc="2F90371A">
      <w:start w:val="1"/>
      <w:numFmt w:val="bullet"/>
      <w:pStyle w:val="DPCtablebullet"/>
      <w:lvlText w:val="▪"/>
      <w:lvlJc w:val="left"/>
      <w:pPr>
        <w:ind w:left="227" w:hanging="227"/>
      </w:pPr>
      <w:rPr>
        <w:rFonts w:ascii="Arial" w:hAnsi="Arial" w:hint="default"/>
        <w:color w:val="auto"/>
      </w:rPr>
    </w:lvl>
    <w:lvl w:ilvl="1" w:tplc="6744149C">
      <w:start w:val="1"/>
      <w:numFmt w:val="none"/>
      <w:lvlRestart w:val="0"/>
      <w:lvlText w:val=""/>
      <w:lvlJc w:val="left"/>
      <w:pPr>
        <w:ind w:left="0" w:firstLine="0"/>
      </w:pPr>
      <w:rPr>
        <w:rFonts w:hint="default"/>
      </w:rPr>
    </w:lvl>
    <w:lvl w:ilvl="2" w:tplc="EE0E33E6">
      <w:start w:val="1"/>
      <w:numFmt w:val="none"/>
      <w:lvlRestart w:val="0"/>
      <w:lvlText w:val=""/>
      <w:lvlJc w:val="left"/>
      <w:pPr>
        <w:ind w:left="0" w:firstLine="0"/>
      </w:pPr>
      <w:rPr>
        <w:rFonts w:hint="default"/>
      </w:rPr>
    </w:lvl>
    <w:lvl w:ilvl="3" w:tplc="47226F34">
      <w:start w:val="1"/>
      <w:numFmt w:val="none"/>
      <w:lvlRestart w:val="0"/>
      <w:lvlText w:val=""/>
      <w:lvlJc w:val="left"/>
      <w:pPr>
        <w:ind w:left="0" w:firstLine="0"/>
      </w:pPr>
      <w:rPr>
        <w:rFonts w:hint="default"/>
      </w:rPr>
    </w:lvl>
    <w:lvl w:ilvl="4" w:tplc="B06CAC52">
      <w:start w:val="1"/>
      <w:numFmt w:val="none"/>
      <w:lvlRestart w:val="0"/>
      <w:lvlText w:val=""/>
      <w:lvlJc w:val="left"/>
      <w:pPr>
        <w:ind w:left="0" w:firstLine="0"/>
      </w:pPr>
      <w:rPr>
        <w:rFonts w:hint="default"/>
      </w:rPr>
    </w:lvl>
    <w:lvl w:ilvl="5" w:tplc="7AE2D18A">
      <w:start w:val="1"/>
      <w:numFmt w:val="none"/>
      <w:lvlRestart w:val="0"/>
      <w:lvlText w:val=""/>
      <w:lvlJc w:val="left"/>
      <w:pPr>
        <w:ind w:left="0" w:firstLine="0"/>
      </w:pPr>
      <w:rPr>
        <w:rFonts w:hint="default"/>
      </w:rPr>
    </w:lvl>
    <w:lvl w:ilvl="6" w:tplc="29063FAC">
      <w:start w:val="1"/>
      <w:numFmt w:val="none"/>
      <w:lvlRestart w:val="0"/>
      <w:lvlText w:val=""/>
      <w:lvlJc w:val="left"/>
      <w:pPr>
        <w:ind w:left="0" w:firstLine="0"/>
      </w:pPr>
      <w:rPr>
        <w:rFonts w:hint="default"/>
      </w:rPr>
    </w:lvl>
    <w:lvl w:ilvl="7" w:tplc="28769726">
      <w:start w:val="1"/>
      <w:numFmt w:val="none"/>
      <w:lvlRestart w:val="0"/>
      <w:lvlText w:val=""/>
      <w:lvlJc w:val="left"/>
      <w:pPr>
        <w:ind w:left="0" w:firstLine="0"/>
      </w:pPr>
      <w:rPr>
        <w:rFonts w:hint="default"/>
      </w:rPr>
    </w:lvl>
    <w:lvl w:ilvl="8" w:tplc="15BC14BA">
      <w:start w:val="1"/>
      <w:numFmt w:val="none"/>
      <w:lvlRestart w:val="0"/>
      <w:lvlText w:val=""/>
      <w:lvlJc w:val="left"/>
      <w:pPr>
        <w:ind w:left="0" w:firstLine="0"/>
      </w:pPr>
      <w:rPr>
        <w:rFonts w:hint="default"/>
      </w:rPr>
    </w:lvl>
  </w:abstractNum>
  <w:abstractNum w:abstractNumId="5" w15:restartNumberingAfterBreak="0">
    <w:nsid w:val="085C6AC9"/>
    <w:multiLevelType w:val="hybridMultilevel"/>
    <w:tmpl w:val="DB1E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638D7"/>
    <w:multiLevelType w:val="hybridMultilevel"/>
    <w:tmpl w:val="7FCAE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FC649A2"/>
    <w:multiLevelType w:val="hybridMultilevel"/>
    <w:tmpl w:val="2B388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52A59"/>
    <w:multiLevelType w:val="hybridMultilevel"/>
    <w:tmpl w:val="95405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D35D3F"/>
    <w:multiLevelType w:val="hybridMultilevel"/>
    <w:tmpl w:val="B01A7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2324F"/>
    <w:multiLevelType w:val="hybridMultilevel"/>
    <w:tmpl w:val="91E0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842D1"/>
    <w:multiLevelType w:val="hybridMultilevel"/>
    <w:tmpl w:val="3C920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05132"/>
    <w:multiLevelType w:val="hybridMultilevel"/>
    <w:tmpl w:val="65CCCD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C850FD"/>
    <w:multiLevelType w:val="hybridMultilevel"/>
    <w:tmpl w:val="5B9CEB4C"/>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5" w15:restartNumberingAfterBreak="0">
    <w:nsid w:val="1C3C612A"/>
    <w:multiLevelType w:val="hybridMultilevel"/>
    <w:tmpl w:val="3BEE8898"/>
    <w:lvl w:ilvl="0" w:tplc="0C090001">
      <w:start w:val="1"/>
      <w:numFmt w:val="bullet"/>
      <w:lvlText w:val=""/>
      <w:lvlJc w:val="left"/>
      <w:pPr>
        <w:ind w:left="780" w:hanging="360"/>
      </w:pPr>
      <w:rPr>
        <w:rFonts w:ascii="Symbol" w:hAnsi="Symbol" w:hint="default"/>
        <w:i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1D0B5F48"/>
    <w:multiLevelType w:val="hybridMultilevel"/>
    <w:tmpl w:val="3F2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B6008"/>
    <w:multiLevelType w:val="hybridMultilevel"/>
    <w:tmpl w:val="58402796"/>
    <w:lvl w:ilvl="0" w:tplc="0CE887E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2C903E8A"/>
    <w:multiLevelType w:val="hybridMultilevel"/>
    <w:tmpl w:val="C624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13A86"/>
    <w:multiLevelType w:val="hybridMultilevel"/>
    <w:tmpl w:val="EF424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24493D"/>
    <w:multiLevelType w:val="hybridMultilevel"/>
    <w:tmpl w:val="FAAE6B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AE3088"/>
    <w:multiLevelType w:val="hybridMultilevel"/>
    <w:tmpl w:val="D8E68E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0830D8"/>
    <w:multiLevelType w:val="hybridMultilevel"/>
    <w:tmpl w:val="F1780E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9FD5D5B"/>
    <w:multiLevelType w:val="hybridMultilevel"/>
    <w:tmpl w:val="54E43670"/>
    <w:lvl w:ilvl="0" w:tplc="575CD71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174DA3"/>
    <w:multiLevelType w:val="multilevel"/>
    <w:tmpl w:val="6762A2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C2478D2"/>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E0456D3"/>
    <w:multiLevelType w:val="hybridMultilevel"/>
    <w:tmpl w:val="DFB48642"/>
    <w:lvl w:ilvl="0" w:tplc="EB14F2D8">
      <w:start w:val="2020"/>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AC5E6C"/>
    <w:multiLevelType w:val="hybridMultilevel"/>
    <w:tmpl w:val="5FB88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95E3D"/>
    <w:multiLevelType w:val="hybridMultilevel"/>
    <w:tmpl w:val="482C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3B558C"/>
    <w:multiLevelType w:val="hybridMultilevel"/>
    <w:tmpl w:val="E744A9EC"/>
    <w:lvl w:ilvl="0" w:tplc="5A4C99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831EC6"/>
    <w:multiLevelType w:val="hybridMultilevel"/>
    <w:tmpl w:val="0942A7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0528E1"/>
    <w:multiLevelType w:val="hybridMultilevel"/>
    <w:tmpl w:val="1340E17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8E1B59"/>
    <w:multiLevelType w:val="hybridMultilevel"/>
    <w:tmpl w:val="D1BC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2F1203"/>
    <w:multiLevelType w:val="hybridMultilevel"/>
    <w:tmpl w:val="176E3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5F610A"/>
    <w:multiLevelType w:val="hybridMultilevel"/>
    <w:tmpl w:val="EAD6B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9C76F57"/>
    <w:multiLevelType w:val="hybridMultilevel"/>
    <w:tmpl w:val="4746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0F4552"/>
    <w:multiLevelType w:val="hybridMultilevel"/>
    <w:tmpl w:val="F1781AEE"/>
    <w:styleLink w:val="ZZNumberslowerroman"/>
    <w:lvl w:ilvl="0" w:tplc="3D789C3A">
      <w:start w:val="1"/>
      <w:numFmt w:val="lowerRoman"/>
      <w:pStyle w:val="DPCnumberlowerroman"/>
      <w:lvlText w:val="(%1)"/>
      <w:lvlJc w:val="left"/>
      <w:pPr>
        <w:tabs>
          <w:tab w:val="num" w:pos="397"/>
        </w:tabs>
        <w:ind w:left="397" w:hanging="397"/>
      </w:pPr>
      <w:rPr>
        <w:rFonts w:hint="default"/>
      </w:rPr>
    </w:lvl>
    <w:lvl w:ilvl="1" w:tplc="EC16CB2A">
      <w:start w:val="1"/>
      <w:numFmt w:val="lowerRoman"/>
      <w:pStyle w:val="DPCnumberlowerromanindent"/>
      <w:lvlText w:val="(%2)"/>
      <w:lvlJc w:val="left"/>
      <w:pPr>
        <w:tabs>
          <w:tab w:val="num" w:pos="794"/>
        </w:tabs>
        <w:ind w:left="794" w:hanging="397"/>
      </w:pPr>
      <w:rPr>
        <w:rFonts w:hint="default"/>
      </w:rPr>
    </w:lvl>
    <w:lvl w:ilvl="2" w:tplc="8460F936">
      <w:start w:val="1"/>
      <w:numFmt w:val="none"/>
      <w:lvlRestart w:val="0"/>
      <w:lvlText w:val=""/>
      <w:lvlJc w:val="left"/>
      <w:pPr>
        <w:ind w:left="0" w:firstLine="0"/>
      </w:pPr>
      <w:rPr>
        <w:rFonts w:hint="default"/>
      </w:rPr>
    </w:lvl>
    <w:lvl w:ilvl="3" w:tplc="1BEC9F98">
      <w:start w:val="1"/>
      <w:numFmt w:val="none"/>
      <w:lvlRestart w:val="0"/>
      <w:lvlText w:val=""/>
      <w:lvlJc w:val="left"/>
      <w:pPr>
        <w:ind w:left="0" w:firstLine="0"/>
      </w:pPr>
      <w:rPr>
        <w:rFonts w:hint="default"/>
      </w:rPr>
    </w:lvl>
    <w:lvl w:ilvl="4" w:tplc="13503B2C">
      <w:start w:val="1"/>
      <w:numFmt w:val="none"/>
      <w:lvlRestart w:val="0"/>
      <w:lvlText w:val=""/>
      <w:lvlJc w:val="left"/>
      <w:pPr>
        <w:ind w:left="0" w:firstLine="0"/>
      </w:pPr>
      <w:rPr>
        <w:rFonts w:hint="default"/>
      </w:rPr>
    </w:lvl>
    <w:lvl w:ilvl="5" w:tplc="89922D9E">
      <w:start w:val="1"/>
      <w:numFmt w:val="none"/>
      <w:lvlRestart w:val="0"/>
      <w:lvlText w:val=""/>
      <w:lvlJc w:val="left"/>
      <w:pPr>
        <w:ind w:left="0" w:firstLine="0"/>
      </w:pPr>
      <w:rPr>
        <w:rFonts w:hint="default"/>
      </w:rPr>
    </w:lvl>
    <w:lvl w:ilvl="6" w:tplc="5C0474FE">
      <w:start w:val="1"/>
      <w:numFmt w:val="none"/>
      <w:lvlRestart w:val="0"/>
      <w:lvlText w:val=""/>
      <w:lvlJc w:val="left"/>
      <w:pPr>
        <w:ind w:left="0" w:firstLine="0"/>
      </w:pPr>
      <w:rPr>
        <w:rFonts w:hint="default"/>
      </w:rPr>
    </w:lvl>
    <w:lvl w:ilvl="7" w:tplc="9314F6DA">
      <w:start w:val="1"/>
      <w:numFmt w:val="none"/>
      <w:lvlRestart w:val="0"/>
      <w:lvlText w:val=""/>
      <w:lvlJc w:val="left"/>
      <w:pPr>
        <w:ind w:left="0" w:firstLine="0"/>
      </w:pPr>
      <w:rPr>
        <w:rFonts w:hint="default"/>
      </w:rPr>
    </w:lvl>
    <w:lvl w:ilvl="8" w:tplc="C6D42944">
      <w:start w:val="1"/>
      <w:numFmt w:val="none"/>
      <w:lvlRestart w:val="0"/>
      <w:lvlText w:val=""/>
      <w:lvlJc w:val="left"/>
      <w:pPr>
        <w:ind w:left="0" w:firstLine="0"/>
      </w:pPr>
      <w:rPr>
        <w:rFonts w:hint="default"/>
      </w:rPr>
    </w:lvl>
  </w:abstractNum>
  <w:abstractNum w:abstractNumId="38" w15:restartNumberingAfterBreak="0">
    <w:nsid w:val="5CCB21C8"/>
    <w:multiLevelType w:val="hybridMultilevel"/>
    <w:tmpl w:val="3C2C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B94179"/>
    <w:multiLevelType w:val="hybridMultilevel"/>
    <w:tmpl w:val="439AE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EA53935"/>
    <w:multiLevelType w:val="hybridMultilevel"/>
    <w:tmpl w:val="9C2E03BE"/>
    <w:lvl w:ilvl="0" w:tplc="9C8292A0">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423B49"/>
    <w:multiLevelType w:val="hybridMultilevel"/>
    <w:tmpl w:val="848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FDA68A0"/>
    <w:multiLevelType w:val="hybridMultilevel"/>
    <w:tmpl w:val="17520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1F82672"/>
    <w:multiLevelType w:val="hybridMultilevel"/>
    <w:tmpl w:val="3726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944F54"/>
    <w:multiLevelType w:val="hybridMultilevel"/>
    <w:tmpl w:val="07A4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A7231A"/>
    <w:multiLevelType w:val="hybridMultilevel"/>
    <w:tmpl w:val="99BAFEA2"/>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31659D7"/>
    <w:multiLevelType w:val="hybridMultilevel"/>
    <w:tmpl w:val="AD72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9423DA"/>
    <w:multiLevelType w:val="hybridMultilevel"/>
    <w:tmpl w:val="306C070E"/>
    <w:styleLink w:val="ZZNumbersdigit"/>
    <w:lvl w:ilvl="0" w:tplc="A3E8A138">
      <w:start w:val="1"/>
      <w:numFmt w:val="decimal"/>
      <w:pStyle w:val="DPCnumberdigit"/>
      <w:lvlText w:val="%1."/>
      <w:lvlJc w:val="left"/>
      <w:pPr>
        <w:tabs>
          <w:tab w:val="num" w:pos="397"/>
        </w:tabs>
        <w:ind w:left="397" w:hanging="397"/>
      </w:pPr>
      <w:rPr>
        <w:rFonts w:hint="default"/>
      </w:rPr>
    </w:lvl>
    <w:lvl w:ilvl="1" w:tplc="6220D044">
      <w:start w:val="1"/>
      <w:numFmt w:val="decimal"/>
      <w:pStyle w:val="DPCnumberdigitindent"/>
      <w:lvlText w:val="%2."/>
      <w:lvlJc w:val="left"/>
      <w:pPr>
        <w:tabs>
          <w:tab w:val="num" w:pos="794"/>
        </w:tabs>
        <w:ind w:left="794" w:hanging="397"/>
      </w:pPr>
      <w:rPr>
        <w:rFonts w:hint="default"/>
      </w:rPr>
    </w:lvl>
    <w:lvl w:ilvl="2" w:tplc="4E64AAE0">
      <w:start w:val="1"/>
      <w:numFmt w:val="bullet"/>
      <w:lvlRestart w:val="0"/>
      <w:pStyle w:val="DPCbulletafternumbers1"/>
      <w:lvlText w:val="▪"/>
      <w:lvlJc w:val="left"/>
      <w:pPr>
        <w:ind w:left="794" w:hanging="397"/>
      </w:pPr>
      <w:rPr>
        <w:rFonts w:hint="default"/>
      </w:rPr>
    </w:lvl>
    <w:lvl w:ilvl="3" w:tplc="D2B273E8">
      <w:start w:val="1"/>
      <w:numFmt w:val="bullet"/>
      <w:lvlRestart w:val="0"/>
      <w:pStyle w:val="DPCbulletafternumbers2"/>
      <w:lvlText w:val="–"/>
      <w:lvlJc w:val="left"/>
      <w:pPr>
        <w:ind w:left="1191" w:hanging="397"/>
      </w:pPr>
      <w:rPr>
        <w:rFonts w:hint="default"/>
        <w:color w:val="auto"/>
      </w:rPr>
    </w:lvl>
    <w:lvl w:ilvl="4" w:tplc="0CE639A8">
      <w:start w:val="1"/>
      <w:numFmt w:val="none"/>
      <w:lvlRestart w:val="0"/>
      <w:lvlText w:val=""/>
      <w:lvlJc w:val="left"/>
      <w:pPr>
        <w:ind w:left="0" w:firstLine="0"/>
      </w:pPr>
      <w:rPr>
        <w:rFonts w:hint="default"/>
      </w:rPr>
    </w:lvl>
    <w:lvl w:ilvl="5" w:tplc="5672DBA8">
      <w:start w:val="1"/>
      <w:numFmt w:val="none"/>
      <w:lvlRestart w:val="0"/>
      <w:lvlText w:val=""/>
      <w:lvlJc w:val="left"/>
      <w:pPr>
        <w:ind w:left="0" w:firstLine="0"/>
      </w:pPr>
      <w:rPr>
        <w:rFonts w:hint="default"/>
      </w:rPr>
    </w:lvl>
    <w:lvl w:ilvl="6" w:tplc="76922688">
      <w:start w:val="1"/>
      <w:numFmt w:val="none"/>
      <w:lvlRestart w:val="0"/>
      <w:lvlText w:val=""/>
      <w:lvlJc w:val="left"/>
      <w:pPr>
        <w:ind w:left="0" w:firstLine="0"/>
      </w:pPr>
      <w:rPr>
        <w:rFonts w:hint="default"/>
      </w:rPr>
    </w:lvl>
    <w:lvl w:ilvl="7" w:tplc="99A03450">
      <w:start w:val="1"/>
      <w:numFmt w:val="none"/>
      <w:lvlRestart w:val="0"/>
      <w:lvlText w:val=""/>
      <w:lvlJc w:val="left"/>
      <w:pPr>
        <w:ind w:left="0" w:firstLine="0"/>
      </w:pPr>
      <w:rPr>
        <w:rFonts w:hint="default"/>
      </w:rPr>
    </w:lvl>
    <w:lvl w:ilvl="8" w:tplc="33DE2B28">
      <w:start w:val="1"/>
      <w:numFmt w:val="none"/>
      <w:lvlRestart w:val="0"/>
      <w:lvlText w:val=""/>
      <w:lvlJc w:val="left"/>
      <w:pPr>
        <w:ind w:left="0" w:firstLine="0"/>
      </w:pPr>
      <w:rPr>
        <w:rFonts w:hint="default"/>
      </w:rPr>
    </w:lvl>
  </w:abstractNum>
  <w:abstractNum w:abstractNumId="48" w15:restartNumberingAfterBreak="0">
    <w:nsid w:val="783B4FAD"/>
    <w:multiLevelType w:val="hybridMultilevel"/>
    <w:tmpl w:val="EE26C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A027AE2"/>
    <w:multiLevelType w:val="hybridMultilevel"/>
    <w:tmpl w:val="A5285AE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B2060AD"/>
    <w:multiLevelType w:val="hybridMultilevel"/>
    <w:tmpl w:val="0B261B9E"/>
    <w:lvl w:ilvl="0" w:tplc="0130E258">
      <w:start w:val="2020"/>
      <w:numFmt w:val="bullet"/>
      <w:lvlText w:val=""/>
      <w:lvlJc w:val="left"/>
      <w:pPr>
        <w:ind w:left="720" w:hanging="360"/>
      </w:pPr>
      <w:rPr>
        <w:rFonts w:ascii="Wingdings" w:eastAsiaTheme="minorHAnsi" w:hAnsi="Wingdings"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0C0AF2"/>
    <w:multiLevelType w:val="hybridMultilevel"/>
    <w:tmpl w:val="C8FE599E"/>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D50344A"/>
    <w:multiLevelType w:val="hybridMultilevel"/>
    <w:tmpl w:val="DAF68F1A"/>
    <w:lvl w:ilvl="0" w:tplc="0ACC9754">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8"/>
  </w:num>
  <w:num w:numId="14">
    <w:abstractNumId w:val="32"/>
  </w:num>
  <w:num w:numId="15">
    <w:abstractNumId w:val="4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52"/>
  </w:num>
  <w:num w:numId="19">
    <w:abstractNumId w:val="27"/>
  </w:num>
  <w:num w:numId="20">
    <w:abstractNumId w:val="50"/>
  </w:num>
  <w:num w:numId="21">
    <w:abstractNumId w:val="15"/>
  </w:num>
  <w:num w:numId="22">
    <w:abstractNumId w:val="35"/>
  </w:num>
  <w:num w:numId="23">
    <w:abstractNumId w:val="4"/>
  </w:num>
  <w:num w:numId="24">
    <w:abstractNumId w:val="39"/>
  </w:num>
  <w:num w:numId="25">
    <w:abstractNumId w:val="25"/>
  </w:num>
  <w:num w:numId="26">
    <w:abstractNumId w:val="13"/>
  </w:num>
  <w:num w:numId="27">
    <w:abstractNumId w:val="46"/>
  </w:num>
  <w:num w:numId="28">
    <w:abstractNumId w:val="45"/>
  </w:num>
  <w:num w:numId="29">
    <w:abstractNumId w:val="0"/>
  </w:num>
  <w:num w:numId="30">
    <w:abstractNumId w:val="34"/>
  </w:num>
  <w:num w:numId="31">
    <w:abstractNumId w:val="49"/>
  </w:num>
  <w:num w:numId="32">
    <w:abstractNumId w:val="19"/>
  </w:num>
  <w:num w:numId="33">
    <w:abstractNumId w:val="38"/>
  </w:num>
  <w:num w:numId="34">
    <w:abstractNumId w:val="1"/>
  </w:num>
  <w:num w:numId="35">
    <w:abstractNumId w:val="43"/>
  </w:num>
  <w:num w:numId="36">
    <w:abstractNumId w:val="46"/>
  </w:num>
  <w:num w:numId="37">
    <w:abstractNumId w:val="24"/>
  </w:num>
  <w:num w:numId="38">
    <w:abstractNumId w:val="26"/>
  </w:num>
  <w:num w:numId="39">
    <w:abstractNumId w:val="44"/>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12"/>
  </w:num>
  <w:num w:numId="44">
    <w:abstractNumId w:val="29"/>
  </w:num>
  <w:num w:numId="45">
    <w:abstractNumId w:val="17"/>
  </w:num>
  <w:num w:numId="46">
    <w:abstractNumId w:val="28"/>
  </w:num>
  <w:num w:numId="47">
    <w:abstractNumId w:val="22"/>
  </w:num>
  <w:num w:numId="48">
    <w:abstractNumId w:val="36"/>
  </w:num>
  <w:num w:numId="49">
    <w:abstractNumId w:val="31"/>
  </w:num>
  <w:num w:numId="50">
    <w:abstractNumId w:val="23"/>
  </w:num>
  <w:num w:numId="51">
    <w:abstractNumId w:val="41"/>
  </w:num>
  <w:num w:numId="52">
    <w:abstractNumId w:val="40"/>
  </w:num>
  <w:num w:numId="53">
    <w:abstractNumId w:val="2"/>
  </w:num>
  <w:num w:numId="54">
    <w:abstractNumId w:val="51"/>
  </w:num>
  <w:num w:numId="55">
    <w:abstractNumId w:val="8"/>
  </w:num>
  <w:num w:numId="56">
    <w:abstractNumId w:val="14"/>
  </w:num>
  <w:num w:numId="57">
    <w:abstractNumId w:val="11"/>
  </w:num>
  <w:num w:numId="58">
    <w:abstractNumId w:val="5"/>
  </w:num>
  <w:num w:numId="59">
    <w:abstractNumId w:val="33"/>
  </w:num>
  <w:num w:numId="60">
    <w:abstractNumId w:val="42"/>
  </w:num>
  <w:num w:numId="61">
    <w:abstractNumId w:val="48"/>
  </w:num>
  <w:num w:numId="62">
    <w:abstractNumId w:val="21"/>
  </w:num>
  <w:num w:numId="63">
    <w:abstractNumId w:val="20"/>
  </w:num>
  <w:num w:numId="64">
    <w:abstractNumId w:val="6"/>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29"/>
    <w:rsid w:val="0000008C"/>
    <w:rsid w:val="00000EEF"/>
    <w:rsid w:val="00001164"/>
    <w:rsid w:val="000021DA"/>
    <w:rsid w:val="000027CA"/>
    <w:rsid w:val="00003048"/>
    <w:rsid w:val="00003210"/>
    <w:rsid w:val="00003865"/>
    <w:rsid w:val="0000472D"/>
    <w:rsid w:val="0000486E"/>
    <w:rsid w:val="000051D9"/>
    <w:rsid w:val="00006493"/>
    <w:rsid w:val="000074BB"/>
    <w:rsid w:val="00010B48"/>
    <w:rsid w:val="000127BA"/>
    <w:rsid w:val="00012B54"/>
    <w:rsid w:val="00013E88"/>
    <w:rsid w:val="0001458A"/>
    <w:rsid w:val="000148A6"/>
    <w:rsid w:val="00014BC7"/>
    <w:rsid w:val="000154A2"/>
    <w:rsid w:val="000156F1"/>
    <w:rsid w:val="00015C04"/>
    <w:rsid w:val="000161CF"/>
    <w:rsid w:val="000162B9"/>
    <w:rsid w:val="000163FD"/>
    <w:rsid w:val="000166AB"/>
    <w:rsid w:val="000175A6"/>
    <w:rsid w:val="00017A97"/>
    <w:rsid w:val="0002007F"/>
    <w:rsid w:val="000201A0"/>
    <w:rsid w:val="000202DD"/>
    <w:rsid w:val="00020BA0"/>
    <w:rsid w:val="000212FB"/>
    <w:rsid w:val="000213D4"/>
    <w:rsid w:val="000217A2"/>
    <w:rsid w:val="00021891"/>
    <w:rsid w:val="00022CDD"/>
    <w:rsid w:val="0002346B"/>
    <w:rsid w:val="000234C1"/>
    <w:rsid w:val="00023507"/>
    <w:rsid w:val="00023A8C"/>
    <w:rsid w:val="00023B28"/>
    <w:rsid w:val="00023E71"/>
    <w:rsid w:val="00024FEA"/>
    <w:rsid w:val="00025245"/>
    <w:rsid w:val="00025CCD"/>
    <w:rsid w:val="000265B9"/>
    <w:rsid w:val="00027CA0"/>
    <w:rsid w:val="000307F4"/>
    <w:rsid w:val="00031330"/>
    <w:rsid w:val="00032716"/>
    <w:rsid w:val="00032AB6"/>
    <w:rsid w:val="00033FF2"/>
    <w:rsid w:val="0003422B"/>
    <w:rsid w:val="000342F6"/>
    <w:rsid w:val="00034570"/>
    <w:rsid w:val="00034589"/>
    <w:rsid w:val="0003544C"/>
    <w:rsid w:val="00036227"/>
    <w:rsid w:val="000362E6"/>
    <w:rsid w:val="0003658C"/>
    <w:rsid w:val="000366BB"/>
    <w:rsid w:val="00036DFC"/>
    <w:rsid w:val="000374ED"/>
    <w:rsid w:val="000412FC"/>
    <w:rsid w:val="00041980"/>
    <w:rsid w:val="000428E5"/>
    <w:rsid w:val="00042906"/>
    <w:rsid w:val="00042DB7"/>
    <w:rsid w:val="0004308C"/>
    <w:rsid w:val="00043104"/>
    <w:rsid w:val="000432C8"/>
    <w:rsid w:val="00044401"/>
    <w:rsid w:val="000461BB"/>
    <w:rsid w:val="0004624E"/>
    <w:rsid w:val="0004658C"/>
    <w:rsid w:val="000469C0"/>
    <w:rsid w:val="00046B88"/>
    <w:rsid w:val="00046BBA"/>
    <w:rsid w:val="00047C6D"/>
    <w:rsid w:val="000504B2"/>
    <w:rsid w:val="00050748"/>
    <w:rsid w:val="00050EB9"/>
    <w:rsid w:val="00051454"/>
    <w:rsid w:val="000517B3"/>
    <w:rsid w:val="000535AC"/>
    <w:rsid w:val="0005386B"/>
    <w:rsid w:val="00053E34"/>
    <w:rsid w:val="00054201"/>
    <w:rsid w:val="000542DC"/>
    <w:rsid w:val="00054847"/>
    <w:rsid w:val="00054E2F"/>
    <w:rsid w:val="000563E7"/>
    <w:rsid w:val="000566E4"/>
    <w:rsid w:val="00057482"/>
    <w:rsid w:val="00057A2E"/>
    <w:rsid w:val="00060257"/>
    <w:rsid w:val="00060673"/>
    <w:rsid w:val="000615BF"/>
    <w:rsid w:val="0006224C"/>
    <w:rsid w:val="000635D5"/>
    <w:rsid w:val="000638C3"/>
    <w:rsid w:val="00063986"/>
    <w:rsid w:val="00063A4F"/>
    <w:rsid w:val="00063F85"/>
    <w:rsid w:val="000646F6"/>
    <w:rsid w:val="000649C8"/>
    <w:rsid w:val="00064B4D"/>
    <w:rsid w:val="00064D08"/>
    <w:rsid w:val="00065102"/>
    <w:rsid w:val="00065AE8"/>
    <w:rsid w:val="00065C15"/>
    <w:rsid w:val="0006602D"/>
    <w:rsid w:val="00067E3A"/>
    <w:rsid w:val="00070279"/>
    <w:rsid w:val="0007077E"/>
    <w:rsid w:val="0007178C"/>
    <w:rsid w:val="000731E9"/>
    <w:rsid w:val="0007324F"/>
    <w:rsid w:val="000734E0"/>
    <w:rsid w:val="00073F27"/>
    <w:rsid w:val="00074073"/>
    <w:rsid w:val="00075917"/>
    <w:rsid w:val="00077865"/>
    <w:rsid w:val="000779DC"/>
    <w:rsid w:val="00077A93"/>
    <w:rsid w:val="00080776"/>
    <w:rsid w:val="00080FF7"/>
    <w:rsid w:val="000817F5"/>
    <w:rsid w:val="00081A9D"/>
    <w:rsid w:val="0008237D"/>
    <w:rsid w:val="00082FBA"/>
    <w:rsid w:val="0008342D"/>
    <w:rsid w:val="00083B5F"/>
    <w:rsid w:val="00083FDE"/>
    <w:rsid w:val="0008501A"/>
    <w:rsid w:val="00085041"/>
    <w:rsid w:val="0008649C"/>
    <w:rsid w:val="00086AB2"/>
    <w:rsid w:val="00086C5D"/>
    <w:rsid w:val="000875B0"/>
    <w:rsid w:val="00090926"/>
    <w:rsid w:val="0009163F"/>
    <w:rsid w:val="00091860"/>
    <w:rsid w:val="000919E3"/>
    <w:rsid w:val="000924DC"/>
    <w:rsid w:val="0009272B"/>
    <w:rsid w:val="00092B07"/>
    <w:rsid w:val="00092FE1"/>
    <w:rsid w:val="000932CC"/>
    <w:rsid w:val="00093316"/>
    <w:rsid w:val="00094104"/>
    <w:rsid w:val="000974B2"/>
    <w:rsid w:val="00097F55"/>
    <w:rsid w:val="000A09BB"/>
    <w:rsid w:val="000A123C"/>
    <w:rsid w:val="000A1486"/>
    <w:rsid w:val="000A1943"/>
    <w:rsid w:val="000A1CB2"/>
    <w:rsid w:val="000A1D35"/>
    <w:rsid w:val="000A331E"/>
    <w:rsid w:val="000A446B"/>
    <w:rsid w:val="000A50F4"/>
    <w:rsid w:val="000A5211"/>
    <w:rsid w:val="000A670A"/>
    <w:rsid w:val="000A7015"/>
    <w:rsid w:val="000A720C"/>
    <w:rsid w:val="000A7288"/>
    <w:rsid w:val="000A7C8C"/>
    <w:rsid w:val="000B02A6"/>
    <w:rsid w:val="000B030E"/>
    <w:rsid w:val="000B05F9"/>
    <w:rsid w:val="000B11C4"/>
    <w:rsid w:val="000B1484"/>
    <w:rsid w:val="000B169F"/>
    <w:rsid w:val="000B17AE"/>
    <w:rsid w:val="000B22E1"/>
    <w:rsid w:val="000B265D"/>
    <w:rsid w:val="000B3ABB"/>
    <w:rsid w:val="000B3BF9"/>
    <w:rsid w:val="000B3D2F"/>
    <w:rsid w:val="000B42C0"/>
    <w:rsid w:val="000B5493"/>
    <w:rsid w:val="000B5578"/>
    <w:rsid w:val="000B5BAE"/>
    <w:rsid w:val="000B64D3"/>
    <w:rsid w:val="000B6C8D"/>
    <w:rsid w:val="000B78FF"/>
    <w:rsid w:val="000B7C00"/>
    <w:rsid w:val="000C0319"/>
    <w:rsid w:val="000C0614"/>
    <w:rsid w:val="000C0787"/>
    <w:rsid w:val="000C0D31"/>
    <w:rsid w:val="000C25ED"/>
    <w:rsid w:val="000C35B7"/>
    <w:rsid w:val="000C48F8"/>
    <w:rsid w:val="000C5A62"/>
    <w:rsid w:val="000C5B2A"/>
    <w:rsid w:val="000C5BE8"/>
    <w:rsid w:val="000C5DAD"/>
    <w:rsid w:val="000C660D"/>
    <w:rsid w:val="000C714D"/>
    <w:rsid w:val="000C751A"/>
    <w:rsid w:val="000D00F6"/>
    <w:rsid w:val="000D2332"/>
    <w:rsid w:val="000D2E6F"/>
    <w:rsid w:val="000D497E"/>
    <w:rsid w:val="000D4BCF"/>
    <w:rsid w:val="000D4F0F"/>
    <w:rsid w:val="000E136F"/>
    <w:rsid w:val="000E1480"/>
    <w:rsid w:val="000E1DC6"/>
    <w:rsid w:val="000E1F3B"/>
    <w:rsid w:val="000E2141"/>
    <w:rsid w:val="000E2208"/>
    <w:rsid w:val="000E2542"/>
    <w:rsid w:val="000E2CAD"/>
    <w:rsid w:val="000E3145"/>
    <w:rsid w:val="000E35B2"/>
    <w:rsid w:val="000E3F37"/>
    <w:rsid w:val="000E40A3"/>
    <w:rsid w:val="000E4122"/>
    <w:rsid w:val="000E4EDF"/>
    <w:rsid w:val="000E53BB"/>
    <w:rsid w:val="000E5503"/>
    <w:rsid w:val="000E61D4"/>
    <w:rsid w:val="000E67C5"/>
    <w:rsid w:val="000E6B0C"/>
    <w:rsid w:val="000E6D21"/>
    <w:rsid w:val="000E7CCC"/>
    <w:rsid w:val="000F0184"/>
    <w:rsid w:val="000F0253"/>
    <w:rsid w:val="000F176D"/>
    <w:rsid w:val="000F1C04"/>
    <w:rsid w:val="000F2F1F"/>
    <w:rsid w:val="000F2FBF"/>
    <w:rsid w:val="000F322B"/>
    <w:rsid w:val="000F33F8"/>
    <w:rsid w:val="000F3D82"/>
    <w:rsid w:val="000F4084"/>
    <w:rsid w:val="000F596D"/>
    <w:rsid w:val="000F59A0"/>
    <w:rsid w:val="000F7B9E"/>
    <w:rsid w:val="00100E58"/>
    <w:rsid w:val="0010176D"/>
    <w:rsid w:val="00101905"/>
    <w:rsid w:val="00101A53"/>
    <w:rsid w:val="00101B79"/>
    <w:rsid w:val="00101C79"/>
    <w:rsid w:val="001026F9"/>
    <w:rsid w:val="0010413A"/>
    <w:rsid w:val="0010424A"/>
    <w:rsid w:val="00104E19"/>
    <w:rsid w:val="001058B3"/>
    <w:rsid w:val="00106061"/>
    <w:rsid w:val="00106068"/>
    <w:rsid w:val="00106456"/>
    <w:rsid w:val="001070AF"/>
    <w:rsid w:val="00107D09"/>
    <w:rsid w:val="0011027C"/>
    <w:rsid w:val="0011044E"/>
    <w:rsid w:val="00110EFB"/>
    <w:rsid w:val="00111581"/>
    <w:rsid w:val="00111D3D"/>
    <w:rsid w:val="00112404"/>
    <w:rsid w:val="00113067"/>
    <w:rsid w:val="0011458F"/>
    <w:rsid w:val="00114CFE"/>
    <w:rsid w:val="00114D13"/>
    <w:rsid w:val="001156F7"/>
    <w:rsid w:val="00116453"/>
    <w:rsid w:val="001168DF"/>
    <w:rsid w:val="001207B5"/>
    <w:rsid w:val="00120A32"/>
    <w:rsid w:val="00121224"/>
    <w:rsid w:val="00121730"/>
    <w:rsid w:val="00121C13"/>
    <w:rsid w:val="00121C4D"/>
    <w:rsid w:val="001223CE"/>
    <w:rsid w:val="00122871"/>
    <w:rsid w:val="00122C40"/>
    <w:rsid w:val="0012310E"/>
    <w:rsid w:val="001232E4"/>
    <w:rsid w:val="0012347F"/>
    <w:rsid w:val="001234ED"/>
    <w:rsid w:val="00123BF3"/>
    <w:rsid w:val="00123E55"/>
    <w:rsid w:val="001249C8"/>
    <w:rsid w:val="00124FFE"/>
    <w:rsid w:val="001252BA"/>
    <w:rsid w:val="001257D2"/>
    <w:rsid w:val="001306DC"/>
    <w:rsid w:val="00130730"/>
    <w:rsid w:val="001313E9"/>
    <w:rsid w:val="00132399"/>
    <w:rsid w:val="0013251F"/>
    <w:rsid w:val="00132716"/>
    <w:rsid w:val="00134491"/>
    <w:rsid w:val="001347A1"/>
    <w:rsid w:val="00134C52"/>
    <w:rsid w:val="0013617E"/>
    <w:rsid w:val="001370BE"/>
    <w:rsid w:val="00137385"/>
    <w:rsid w:val="001376AE"/>
    <w:rsid w:val="00137BAF"/>
    <w:rsid w:val="0014032E"/>
    <w:rsid w:val="00140FEF"/>
    <w:rsid w:val="001413A6"/>
    <w:rsid w:val="001419E6"/>
    <w:rsid w:val="00141B39"/>
    <w:rsid w:val="00141F93"/>
    <w:rsid w:val="0014201D"/>
    <w:rsid w:val="001425DC"/>
    <w:rsid w:val="00142601"/>
    <w:rsid w:val="0014551C"/>
    <w:rsid w:val="00145829"/>
    <w:rsid w:val="001468A6"/>
    <w:rsid w:val="00146FD8"/>
    <w:rsid w:val="001508D3"/>
    <w:rsid w:val="00150B3C"/>
    <w:rsid w:val="0015189B"/>
    <w:rsid w:val="0015233D"/>
    <w:rsid w:val="00152698"/>
    <w:rsid w:val="00152FD4"/>
    <w:rsid w:val="001533FB"/>
    <w:rsid w:val="0015359B"/>
    <w:rsid w:val="00153A9C"/>
    <w:rsid w:val="00154D3E"/>
    <w:rsid w:val="0015604E"/>
    <w:rsid w:val="001561F3"/>
    <w:rsid w:val="001563C5"/>
    <w:rsid w:val="001570FD"/>
    <w:rsid w:val="001574E8"/>
    <w:rsid w:val="00157B7C"/>
    <w:rsid w:val="00157F53"/>
    <w:rsid w:val="001606CC"/>
    <w:rsid w:val="00160E6B"/>
    <w:rsid w:val="001614E2"/>
    <w:rsid w:val="001624E9"/>
    <w:rsid w:val="00162E6C"/>
    <w:rsid w:val="0016354D"/>
    <w:rsid w:val="00163627"/>
    <w:rsid w:val="001653AE"/>
    <w:rsid w:val="00165AC0"/>
    <w:rsid w:val="00166281"/>
    <w:rsid w:val="00166A1B"/>
    <w:rsid w:val="00166F19"/>
    <w:rsid w:val="00167224"/>
    <w:rsid w:val="00167526"/>
    <w:rsid w:val="001707F0"/>
    <w:rsid w:val="00170C6F"/>
    <w:rsid w:val="001710D5"/>
    <w:rsid w:val="00171854"/>
    <w:rsid w:val="00171CD2"/>
    <w:rsid w:val="00172290"/>
    <w:rsid w:val="001727DA"/>
    <w:rsid w:val="00172F85"/>
    <w:rsid w:val="0017330A"/>
    <w:rsid w:val="001740B9"/>
    <w:rsid w:val="001741EE"/>
    <w:rsid w:val="0017528F"/>
    <w:rsid w:val="001756DF"/>
    <w:rsid w:val="001764AB"/>
    <w:rsid w:val="00180EF9"/>
    <w:rsid w:val="001828CF"/>
    <w:rsid w:val="00182916"/>
    <w:rsid w:val="00182F82"/>
    <w:rsid w:val="001835AA"/>
    <w:rsid w:val="00183624"/>
    <w:rsid w:val="00184ADB"/>
    <w:rsid w:val="001858C8"/>
    <w:rsid w:val="00185950"/>
    <w:rsid w:val="00186D66"/>
    <w:rsid w:val="00187A7B"/>
    <w:rsid w:val="00187AAE"/>
    <w:rsid w:val="001901EB"/>
    <w:rsid w:val="001902B0"/>
    <w:rsid w:val="00190810"/>
    <w:rsid w:val="00190D3A"/>
    <w:rsid w:val="00191759"/>
    <w:rsid w:val="00191D79"/>
    <w:rsid w:val="001930AC"/>
    <w:rsid w:val="00193130"/>
    <w:rsid w:val="00193CD0"/>
    <w:rsid w:val="00193FA1"/>
    <w:rsid w:val="00194B73"/>
    <w:rsid w:val="00195152"/>
    <w:rsid w:val="001958CC"/>
    <w:rsid w:val="001963C9"/>
    <w:rsid w:val="001966A3"/>
    <w:rsid w:val="00196C69"/>
    <w:rsid w:val="00197044"/>
    <w:rsid w:val="001979F6"/>
    <w:rsid w:val="001A057A"/>
    <w:rsid w:val="001A05EC"/>
    <w:rsid w:val="001A0739"/>
    <w:rsid w:val="001A0A68"/>
    <w:rsid w:val="001A0F52"/>
    <w:rsid w:val="001A1910"/>
    <w:rsid w:val="001A287B"/>
    <w:rsid w:val="001A2E48"/>
    <w:rsid w:val="001A37B6"/>
    <w:rsid w:val="001A457D"/>
    <w:rsid w:val="001A5101"/>
    <w:rsid w:val="001A5345"/>
    <w:rsid w:val="001A5836"/>
    <w:rsid w:val="001A591C"/>
    <w:rsid w:val="001A593F"/>
    <w:rsid w:val="001A63DB"/>
    <w:rsid w:val="001A6B40"/>
    <w:rsid w:val="001A7079"/>
    <w:rsid w:val="001A7D5A"/>
    <w:rsid w:val="001B0320"/>
    <w:rsid w:val="001B0A51"/>
    <w:rsid w:val="001B10AB"/>
    <w:rsid w:val="001B1420"/>
    <w:rsid w:val="001B171E"/>
    <w:rsid w:val="001B36DF"/>
    <w:rsid w:val="001B3B28"/>
    <w:rsid w:val="001B46F8"/>
    <w:rsid w:val="001B4899"/>
    <w:rsid w:val="001B618E"/>
    <w:rsid w:val="001B632B"/>
    <w:rsid w:val="001B684D"/>
    <w:rsid w:val="001B71CE"/>
    <w:rsid w:val="001B77F2"/>
    <w:rsid w:val="001B7878"/>
    <w:rsid w:val="001C1107"/>
    <w:rsid w:val="001C1B7E"/>
    <w:rsid w:val="001C1CCF"/>
    <w:rsid w:val="001C1E10"/>
    <w:rsid w:val="001C2696"/>
    <w:rsid w:val="001C29DE"/>
    <w:rsid w:val="001C3AD5"/>
    <w:rsid w:val="001C4082"/>
    <w:rsid w:val="001C411A"/>
    <w:rsid w:val="001C4330"/>
    <w:rsid w:val="001C43BC"/>
    <w:rsid w:val="001C47E4"/>
    <w:rsid w:val="001C4B03"/>
    <w:rsid w:val="001C4B07"/>
    <w:rsid w:val="001C535F"/>
    <w:rsid w:val="001C5360"/>
    <w:rsid w:val="001C536D"/>
    <w:rsid w:val="001C557C"/>
    <w:rsid w:val="001C5608"/>
    <w:rsid w:val="001C5694"/>
    <w:rsid w:val="001C5CB8"/>
    <w:rsid w:val="001C769E"/>
    <w:rsid w:val="001C7A63"/>
    <w:rsid w:val="001C7BE6"/>
    <w:rsid w:val="001D068E"/>
    <w:rsid w:val="001D0F80"/>
    <w:rsid w:val="001D115B"/>
    <w:rsid w:val="001D160F"/>
    <w:rsid w:val="001D17A8"/>
    <w:rsid w:val="001D260E"/>
    <w:rsid w:val="001D2734"/>
    <w:rsid w:val="001D30C1"/>
    <w:rsid w:val="001D318E"/>
    <w:rsid w:val="001D5879"/>
    <w:rsid w:val="001D6C23"/>
    <w:rsid w:val="001D7090"/>
    <w:rsid w:val="001D7A66"/>
    <w:rsid w:val="001E1BB2"/>
    <w:rsid w:val="001E1FCE"/>
    <w:rsid w:val="001E2032"/>
    <w:rsid w:val="001E2CDB"/>
    <w:rsid w:val="001E36A7"/>
    <w:rsid w:val="001E5FCD"/>
    <w:rsid w:val="001E6315"/>
    <w:rsid w:val="001E6763"/>
    <w:rsid w:val="001E6CA1"/>
    <w:rsid w:val="001E70EC"/>
    <w:rsid w:val="001F066E"/>
    <w:rsid w:val="001F091C"/>
    <w:rsid w:val="001F0E86"/>
    <w:rsid w:val="001F1589"/>
    <w:rsid w:val="001F16D7"/>
    <w:rsid w:val="001F1758"/>
    <w:rsid w:val="001F1A80"/>
    <w:rsid w:val="001F29AB"/>
    <w:rsid w:val="001F2C6B"/>
    <w:rsid w:val="001F2FD6"/>
    <w:rsid w:val="001F3349"/>
    <w:rsid w:val="001F3350"/>
    <w:rsid w:val="001F4CDB"/>
    <w:rsid w:val="001F4E84"/>
    <w:rsid w:val="001F52F7"/>
    <w:rsid w:val="001F53A7"/>
    <w:rsid w:val="001F6D4B"/>
    <w:rsid w:val="001F6D56"/>
    <w:rsid w:val="002009F3"/>
    <w:rsid w:val="00200D85"/>
    <w:rsid w:val="00202CF3"/>
    <w:rsid w:val="00203390"/>
    <w:rsid w:val="002033B3"/>
    <w:rsid w:val="0020344A"/>
    <w:rsid w:val="00203CAA"/>
    <w:rsid w:val="00203EE5"/>
    <w:rsid w:val="0020400E"/>
    <w:rsid w:val="00204612"/>
    <w:rsid w:val="0020495D"/>
    <w:rsid w:val="00204A05"/>
    <w:rsid w:val="00204AB1"/>
    <w:rsid w:val="00206EB1"/>
    <w:rsid w:val="00207767"/>
    <w:rsid w:val="00207B0F"/>
    <w:rsid w:val="00207F79"/>
    <w:rsid w:val="00210B3A"/>
    <w:rsid w:val="002118F2"/>
    <w:rsid w:val="00211BD9"/>
    <w:rsid w:val="00212054"/>
    <w:rsid w:val="0021247C"/>
    <w:rsid w:val="002125AC"/>
    <w:rsid w:val="0021267F"/>
    <w:rsid w:val="00212697"/>
    <w:rsid w:val="00212A17"/>
    <w:rsid w:val="002131AC"/>
    <w:rsid w:val="00213334"/>
    <w:rsid w:val="00213556"/>
    <w:rsid w:val="00214A9B"/>
    <w:rsid w:val="00214AD7"/>
    <w:rsid w:val="00215B13"/>
    <w:rsid w:val="00216568"/>
    <w:rsid w:val="002169C2"/>
    <w:rsid w:val="00217403"/>
    <w:rsid w:val="002177CE"/>
    <w:rsid w:val="002177E2"/>
    <w:rsid w:val="00217987"/>
    <w:rsid w:val="00217AAC"/>
    <w:rsid w:val="00220B62"/>
    <w:rsid w:val="0022111D"/>
    <w:rsid w:val="002211D3"/>
    <w:rsid w:val="0022251E"/>
    <w:rsid w:val="00222547"/>
    <w:rsid w:val="0022282E"/>
    <w:rsid w:val="00223647"/>
    <w:rsid w:val="002239BC"/>
    <w:rsid w:val="002248A4"/>
    <w:rsid w:val="002259CA"/>
    <w:rsid w:val="00225A53"/>
    <w:rsid w:val="00227C4A"/>
    <w:rsid w:val="0023030F"/>
    <w:rsid w:val="002304CE"/>
    <w:rsid w:val="00230807"/>
    <w:rsid w:val="00230E74"/>
    <w:rsid w:val="00230EB8"/>
    <w:rsid w:val="00231FCF"/>
    <w:rsid w:val="00233A23"/>
    <w:rsid w:val="00234570"/>
    <w:rsid w:val="00234C46"/>
    <w:rsid w:val="00234EB9"/>
    <w:rsid w:val="0023559A"/>
    <w:rsid w:val="00236C66"/>
    <w:rsid w:val="002377C8"/>
    <w:rsid w:val="002404FB"/>
    <w:rsid w:val="00241436"/>
    <w:rsid w:val="002419F7"/>
    <w:rsid w:val="00241BBA"/>
    <w:rsid w:val="00242E6F"/>
    <w:rsid w:val="00243D8E"/>
    <w:rsid w:val="00244074"/>
    <w:rsid w:val="00244965"/>
    <w:rsid w:val="00245DDC"/>
    <w:rsid w:val="00245F0A"/>
    <w:rsid w:val="002466EC"/>
    <w:rsid w:val="00246AA6"/>
    <w:rsid w:val="00247BA2"/>
    <w:rsid w:val="00247C5F"/>
    <w:rsid w:val="00250C27"/>
    <w:rsid w:val="00250FD5"/>
    <w:rsid w:val="00251638"/>
    <w:rsid w:val="0025309F"/>
    <w:rsid w:val="002534D2"/>
    <w:rsid w:val="00253C2A"/>
    <w:rsid w:val="0025556D"/>
    <w:rsid w:val="00255B2C"/>
    <w:rsid w:val="0025641E"/>
    <w:rsid w:val="002569D7"/>
    <w:rsid w:val="00256BD8"/>
    <w:rsid w:val="00256CD3"/>
    <w:rsid w:val="00257C7C"/>
    <w:rsid w:val="0026055E"/>
    <w:rsid w:val="00260C4E"/>
    <w:rsid w:val="00260C6C"/>
    <w:rsid w:val="00261780"/>
    <w:rsid w:val="00261E89"/>
    <w:rsid w:val="0026245F"/>
    <w:rsid w:val="00262E29"/>
    <w:rsid w:val="002637BA"/>
    <w:rsid w:val="002642F4"/>
    <w:rsid w:val="00264380"/>
    <w:rsid w:val="0026497E"/>
    <w:rsid w:val="00266518"/>
    <w:rsid w:val="002668E2"/>
    <w:rsid w:val="00266DB7"/>
    <w:rsid w:val="00266F57"/>
    <w:rsid w:val="00267D90"/>
    <w:rsid w:val="002719F9"/>
    <w:rsid w:val="00271AC7"/>
    <w:rsid w:val="00271FE4"/>
    <w:rsid w:val="0027251A"/>
    <w:rsid w:val="0027259D"/>
    <w:rsid w:val="00272810"/>
    <w:rsid w:val="002731AD"/>
    <w:rsid w:val="002739F1"/>
    <w:rsid w:val="00274B4D"/>
    <w:rsid w:val="00275241"/>
    <w:rsid w:val="00275543"/>
    <w:rsid w:val="00275D08"/>
    <w:rsid w:val="00276DF7"/>
    <w:rsid w:val="00276F0F"/>
    <w:rsid w:val="00277037"/>
    <w:rsid w:val="002805C6"/>
    <w:rsid w:val="00282E47"/>
    <w:rsid w:val="00282EA9"/>
    <w:rsid w:val="00282EDC"/>
    <w:rsid w:val="00283371"/>
    <w:rsid w:val="0028381E"/>
    <w:rsid w:val="00284B31"/>
    <w:rsid w:val="00285AC7"/>
    <w:rsid w:val="00285EA4"/>
    <w:rsid w:val="002902A0"/>
    <w:rsid w:val="00290C32"/>
    <w:rsid w:val="00290C77"/>
    <w:rsid w:val="002911A4"/>
    <w:rsid w:val="0029175C"/>
    <w:rsid w:val="002917FD"/>
    <w:rsid w:val="00291CA8"/>
    <w:rsid w:val="00292046"/>
    <w:rsid w:val="002926EA"/>
    <w:rsid w:val="00292AC7"/>
    <w:rsid w:val="00292D0E"/>
    <w:rsid w:val="00292EC3"/>
    <w:rsid w:val="00294206"/>
    <w:rsid w:val="00294533"/>
    <w:rsid w:val="00295F90"/>
    <w:rsid w:val="00296438"/>
    <w:rsid w:val="00297FD5"/>
    <w:rsid w:val="002A0E79"/>
    <w:rsid w:val="002A0F28"/>
    <w:rsid w:val="002A1044"/>
    <w:rsid w:val="002A14A7"/>
    <w:rsid w:val="002A1A79"/>
    <w:rsid w:val="002A1FD5"/>
    <w:rsid w:val="002A250A"/>
    <w:rsid w:val="002A2B09"/>
    <w:rsid w:val="002A313F"/>
    <w:rsid w:val="002A3C7B"/>
    <w:rsid w:val="002A5136"/>
    <w:rsid w:val="002A516C"/>
    <w:rsid w:val="002A58E4"/>
    <w:rsid w:val="002A5A9C"/>
    <w:rsid w:val="002A7511"/>
    <w:rsid w:val="002A7FE7"/>
    <w:rsid w:val="002B01FE"/>
    <w:rsid w:val="002B039D"/>
    <w:rsid w:val="002B03A9"/>
    <w:rsid w:val="002B082A"/>
    <w:rsid w:val="002B1320"/>
    <w:rsid w:val="002B1330"/>
    <w:rsid w:val="002B168D"/>
    <w:rsid w:val="002B1973"/>
    <w:rsid w:val="002B20F6"/>
    <w:rsid w:val="002B2C7D"/>
    <w:rsid w:val="002B3869"/>
    <w:rsid w:val="002B38AE"/>
    <w:rsid w:val="002B4204"/>
    <w:rsid w:val="002B545C"/>
    <w:rsid w:val="002B5AEB"/>
    <w:rsid w:val="002B609A"/>
    <w:rsid w:val="002B6BE7"/>
    <w:rsid w:val="002B7EFB"/>
    <w:rsid w:val="002C0082"/>
    <w:rsid w:val="002C0889"/>
    <w:rsid w:val="002C0B23"/>
    <w:rsid w:val="002C1015"/>
    <w:rsid w:val="002C1D93"/>
    <w:rsid w:val="002C21ED"/>
    <w:rsid w:val="002C23BE"/>
    <w:rsid w:val="002C2442"/>
    <w:rsid w:val="002C273A"/>
    <w:rsid w:val="002C2CF0"/>
    <w:rsid w:val="002C308C"/>
    <w:rsid w:val="002C32BD"/>
    <w:rsid w:val="002C3433"/>
    <w:rsid w:val="002C3A20"/>
    <w:rsid w:val="002C3BA1"/>
    <w:rsid w:val="002C41E6"/>
    <w:rsid w:val="002C462E"/>
    <w:rsid w:val="002C48BF"/>
    <w:rsid w:val="002C5252"/>
    <w:rsid w:val="002C536A"/>
    <w:rsid w:val="002C5993"/>
    <w:rsid w:val="002C5B88"/>
    <w:rsid w:val="002C6F03"/>
    <w:rsid w:val="002D04A5"/>
    <w:rsid w:val="002D1B58"/>
    <w:rsid w:val="002D25E2"/>
    <w:rsid w:val="002D2A7F"/>
    <w:rsid w:val="002D2C18"/>
    <w:rsid w:val="002D343F"/>
    <w:rsid w:val="002D374C"/>
    <w:rsid w:val="002D3AD3"/>
    <w:rsid w:val="002D523D"/>
    <w:rsid w:val="002D56B2"/>
    <w:rsid w:val="002D64CD"/>
    <w:rsid w:val="002D6A4A"/>
    <w:rsid w:val="002D6C76"/>
    <w:rsid w:val="002D6FC2"/>
    <w:rsid w:val="002D77F3"/>
    <w:rsid w:val="002D7EC0"/>
    <w:rsid w:val="002E0372"/>
    <w:rsid w:val="002E06A7"/>
    <w:rsid w:val="002E0EA0"/>
    <w:rsid w:val="002E2372"/>
    <w:rsid w:val="002E2A9E"/>
    <w:rsid w:val="002E2C58"/>
    <w:rsid w:val="002E3036"/>
    <w:rsid w:val="002E3D02"/>
    <w:rsid w:val="002E3E1A"/>
    <w:rsid w:val="002E5F0D"/>
    <w:rsid w:val="002E6093"/>
    <w:rsid w:val="002E616F"/>
    <w:rsid w:val="002E635A"/>
    <w:rsid w:val="002E688D"/>
    <w:rsid w:val="002E6CEB"/>
    <w:rsid w:val="002E70CE"/>
    <w:rsid w:val="002F0265"/>
    <w:rsid w:val="002F059B"/>
    <w:rsid w:val="002F1DA1"/>
    <w:rsid w:val="002F2228"/>
    <w:rsid w:val="002F2643"/>
    <w:rsid w:val="002F29DA"/>
    <w:rsid w:val="002F369B"/>
    <w:rsid w:val="002F3B48"/>
    <w:rsid w:val="002F4138"/>
    <w:rsid w:val="002F41A9"/>
    <w:rsid w:val="002F467E"/>
    <w:rsid w:val="002F6665"/>
    <w:rsid w:val="002F6FBF"/>
    <w:rsid w:val="002F729F"/>
    <w:rsid w:val="002F7329"/>
    <w:rsid w:val="002F76AF"/>
    <w:rsid w:val="002F7B4B"/>
    <w:rsid w:val="00300381"/>
    <w:rsid w:val="00300C10"/>
    <w:rsid w:val="00300CB2"/>
    <w:rsid w:val="00301262"/>
    <w:rsid w:val="00301AB2"/>
    <w:rsid w:val="0030203B"/>
    <w:rsid w:val="00302A53"/>
    <w:rsid w:val="00302E28"/>
    <w:rsid w:val="003039C2"/>
    <w:rsid w:val="00304D24"/>
    <w:rsid w:val="0030540A"/>
    <w:rsid w:val="00305CF4"/>
    <w:rsid w:val="00306168"/>
    <w:rsid w:val="003061DD"/>
    <w:rsid w:val="003068AB"/>
    <w:rsid w:val="003070CA"/>
    <w:rsid w:val="003071A5"/>
    <w:rsid w:val="00307560"/>
    <w:rsid w:val="003078B3"/>
    <w:rsid w:val="00307A15"/>
    <w:rsid w:val="003106A0"/>
    <w:rsid w:val="00310ACD"/>
    <w:rsid w:val="0031114A"/>
    <w:rsid w:val="003112EB"/>
    <w:rsid w:val="00311EE5"/>
    <w:rsid w:val="00312D58"/>
    <w:rsid w:val="0031310A"/>
    <w:rsid w:val="0031339F"/>
    <w:rsid w:val="0031361E"/>
    <w:rsid w:val="00313675"/>
    <w:rsid w:val="0031404E"/>
    <w:rsid w:val="003153C7"/>
    <w:rsid w:val="00317219"/>
    <w:rsid w:val="00317537"/>
    <w:rsid w:val="00317DBD"/>
    <w:rsid w:val="00320348"/>
    <w:rsid w:val="00320578"/>
    <w:rsid w:val="00320966"/>
    <w:rsid w:val="00320D6C"/>
    <w:rsid w:val="003210E5"/>
    <w:rsid w:val="003210E6"/>
    <w:rsid w:val="00321308"/>
    <w:rsid w:val="003220B9"/>
    <w:rsid w:val="003224E8"/>
    <w:rsid w:val="003225F7"/>
    <w:rsid w:val="003231F6"/>
    <w:rsid w:val="003235A0"/>
    <w:rsid w:val="00323866"/>
    <w:rsid w:val="00323E1F"/>
    <w:rsid w:val="0032557B"/>
    <w:rsid w:val="0032603F"/>
    <w:rsid w:val="00327C17"/>
    <w:rsid w:val="00327C6E"/>
    <w:rsid w:val="0033125C"/>
    <w:rsid w:val="0033145A"/>
    <w:rsid w:val="00331E08"/>
    <w:rsid w:val="00331F72"/>
    <w:rsid w:val="00332FA4"/>
    <w:rsid w:val="00333B1C"/>
    <w:rsid w:val="00333FD5"/>
    <w:rsid w:val="00335515"/>
    <w:rsid w:val="0033595C"/>
    <w:rsid w:val="00335B6D"/>
    <w:rsid w:val="00336423"/>
    <w:rsid w:val="00336D8C"/>
    <w:rsid w:val="00337A87"/>
    <w:rsid w:val="00337F73"/>
    <w:rsid w:val="003400A7"/>
    <w:rsid w:val="00340F44"/>
    <w:rsid w:val="003413CA"/>
    <w:rsid w:val="00341AD1"/>
    <w:rsid w:val="00341C6F"/>
    <w:rsid w:val="003434A8"/>
    <w:rsid w:val="00343674"/>
    <w:rsid w:val="00344057"/>
    <w:rsid w:val="00345E57"/>
    <w:rsid w:val="00346269"/>
    <w:rsid w:val="00346B1D"/>
    <w:rsid w:val="00347488"/>
    <w:rsid w:val="00347987"/>
    <w:rsid w:val="00350693"/>
    <w:rsid w:val="003511CE"/>
    <w:rsid w:val="00351C2D"/>
    <w:rsid w:val="00351E8C"/>
    <w:rsid w:val="00351F24"/>
    <w:rsid w:val="0035242E"/>
    <w:rsid w:val="00352C91"/>
    <w:rsid w:val="00352CFF"/>
    <w:rsid w:val="00354701"/>
    <w:rsid w:val="003552E5"/>
    <w:rsid w:val="00355411"/>
    <w:rsid w:val="00355C3C"/>
    <w:rsid w:val="00355DE0"/>
    <w:rsid w:val="003563C9"/>
    <w:rsid w:val="00356C7B"/>
    <w:rsid w:val="00357723"/>
    <w:rsid w:val="00357C17"/>
    <w:rsid w:val="003604BC"/>
    <w:rsid w:val="00360ABA"/>
    <w:rsid w:val="00360C3E"/>
    <w:rsid w:val="00361FB5"/>
    <w:rsid w:val="00362939"/>
    <w:rsid w:val="0036413B"/>
    <w:rsid w:val="003652D3"/>
    <w:rsid w:val="0036572D"/>
    <w:rsid w:val="00366A1E"/>
    <w:rsid w:val="00366D77"/>
    <w:rsid w:val="00366F7A"/>
    <w:rsid w:val="00367E32"/>
    <w:rsid w:val="00370428"/>
    <w:rsid w:val="003725CD"/>
    <w:rsid w:val="00373405"/>
    <w:rsid w:val="0037364D"/>
    <w:rsid w:val="003738C2"/>
    <w:rsid w:val="003739C7"/>
    <w:rsid w:val="003746F9"/>
    <w:rsid w:val="00374C1F"/>
    <w:rsid w:val="00374DD7"/>
    <w:rsid w:val="0037643F"/>
    <w:rsid w:val="00376610"/>
    <w:rsid w:val="00377051"/>
    <w:rsid w:val="00377972"/>
    <w:rsid w:val="00377A32"/>
    <w:rsid w:val="00377F2E"/>
    <w:rsid w:val="003804A6"/>
    <w:rsid w:val="00380C34"/>
    <w:rsid w:val="003823F8"/>
    <w:rsid w:val="0038298E"/>
    <w:rsid w:val="00382A63"/>
    <w:rsid w:val="0038370D"/>
    <w:rsid w:val="003849FD"/>
    <w:rsid w:val="00384F11"/>
    <w:rsid w:val="00385B05"/>
    <w:rsid w:val="00385F84"/>
    <w:rsid w:val="0038639F"/>
    <w:rsid w:val="00386D79"/>
    <w:rsid w:val="0038752D"/>
    <w:rsid w:val="003879EA"/>
    <w:rsid w:val="00390088"/>
    <w:rsid w:val="00390733"/>
    <w:rsid w:val="003908BD"/>
    <w:rsid w:val="00391A56"/>
    <w:rsid w:val="00391D75"/>
    <w:rsid w:val="003925E7"/>
    <w:rsid w:val="0039307D"/>
    <w:rsid w:val="00394BE9"/>
    <w:rsid w:val="00394FC5"/>
    <w:rsid w:val="00395682"/>
    <w:rsid w:val="00396735"/>
    <w:rsid w:val="00397CB7"/>
    <w:rsid w:val="003A025C"/>
    <w:rsid w:val="003A2766"/>
    <w:rsid w:val="003A3C55"/>
    <w:rsid w:val="003A3CFF"/>
    <w:rsid w:val="003A4426"/>
    <w:rsid w:val="003A4708"/>
    <w:rsid w:val="003A50AB"/>
    <w:rsid w:val="003A520A"/>
    <w:rsid w:val="003A7D43"/>
    <w:rsid w:val="003B01B4"/>
    <w:rsid w:val="003B170E"/>
    <w:rsid w:val="003B1A83"/>
    <w:rsid w:val="003B20A8"/>
    <w:rsid w:val="003B2236"/>
    <w:rsid w:val="003B38F7"/>
    <w:rsid w:val="003B39FA"/>
    <w:rsid w:val="003B44B7"/>
    <w:rsid w:val="003B4D12"/>
    <w:rsid w:val="003B4F92"/>
    <w:rsid w:val="003B55D0"/>
    <w:rsid w:val="003B5ADF"/>
    <w:rsid w:val="003B66E6"/>
    <w:rsid w:val="003B6920"/>
    <w:rsid w:val="003B6DDC"/>
    <w:rsid w:val="003B6F84"/>
    <w:rsid w:val="003C02E6"/>
    <w:rsid w:val="003C0D92"/>
    <w:rsid w:val="003C1558"/>
    <w:rsid w:val="003C1A04"/>
    <w:rsid w:val="003C1EE8"/>
    <w:rsid w:val="003C2088"/>
    <w:rsid w:val="003C25B9"/>
    <w:rsid w:val="003C27B4"/>
    <w:rsid w:val="003C3683"/>
    <w:rsid w:val="003C3800"/>
    <w:rsid w:val="003C41D6"/>
    <w:rsid w:val="003C52C9"/>
    <w:rsid w:val="003C59F6"/>
    <w:rsid w:val="003C5ED9"/>
    <w:rsid w:val="003C6122"/>
    <w:rsid w:val="003C663F"/>
    <w:rsid w:val="003C6A09"/>
    <w:rsid w:val="003C6ADE"/>
    <w:rsid w:val="003C7BDE"/>
    <w:rsid w:val="003D02AC"/>
    <w:rsid w:val="003D0A49"/>
    <w:rsid w:val="003D1B92"/>
    <w:rsid w:val="003D1C13"/>
    <w:rsid w:val="003D1E02"/>
    <w:rsid w:val="003D20ED"/>
    <w:rsid w:val="003D251B"/>
    <w:rsid w:val="003D264F"/>
    <w:rsid w:val="003D2D40"/>
    <w:rsid w:val="003D3D8F"/>
    <w:rsid w:val="003D49AD"/>
    <w:rsid w:val="003D49B3"/>
    <w:rsid w:val="003D4A8A"/>
    <w:rsid w:val="003D4B9C"/>
    <w:rsid w:val="003D6145"/>
    <w:rsid w:val="003D61E1"/>
    <w:rsid w:val="003D657A"/>
    <w:rsid w:val="003D6B0C"/>
    <w:rsid w:val="003D6FF8"/>
    <w:rsid w:val="003D732E"/>
    <w:rsid w:val="003E0097"/>
    <w:rsid w:val="003E0376"/>
    <w:rsid w:val="003E0650"/>
    <w:rsid w:val="003E0BC8"/>
    <w:rsid w:val="003E0D23"/>
    <w:rsid w:val="003E0E83"/>
    <w:rsid w:val="003E1473"/>
    <w:rsid w:val="003E1565"/>
    <w:rsid w:val="003E176C"/>
    <w:rsid w:val="003E3084"/>
    <w:rsid w:val="003E3565"/>
    <w:rsid w:val="003E4333"/>
    <w:rsid w:val="003E4637"/>
    <w:rsid w:val="003E509C"/>
    <w:rsid w:val="003E6D50"/>
    <w:rsid w:val="003E6E78"/>
    <w:rsid w:val="003E78E4"/>
    <w:rsid w:val="003F29CF"/>
    <w:rsid w:val="003F3BBC"/>
    <w:rsid w:val="003F3C2D"/>
    <w:rsid w:val="003F4383"/>
    <w:rsid w:val="003F4435"/>
    <w:rsid w:val="003F4AB7"/>
    <w:rsid w:val="003F5129"/>
    <w:rsid w:val="003F597E"/>
    <w:rsid w:val="003F5A58"/>
    <w:rsid w:val="003F5F1E"/>
    <w:rsid w:val="003F72F5"/>
    <w:rsid w:val="00400393"/>
    <w:rsid w:val="004007E6"/>
    <w:rsid w:val="00400BE5"/>
    <w:rsid w:val="00400C90"/>
    <w:rsid w:val="00401C3B"/>
    <w:rsid w:val="00401D97"/>
    <w:rsid w:val="00402292"/>
    <w:rsid w:val="004029A1"/>
    <w:rsid w:val="00403598"/>
    <w:rsid w:val="004036A8"/>
    <w:rsid w:val="00403906"/>
    <w:rsid w:val="00406540"/>
    <w:rsid w:val="004066D4"/>
    <w:rsid w:val="004070E2"/>
    <w:rsid w:val="00407368"/>
    <w:rsid w:val="004079EE"/>
    <w:rsid w:val="00407EE1"/>
    <w:rsid w:val="00410B4B"/>
    <w:rsid w:val="00411331"/>
    <w:rsid w:val="00411E28"/>
    <w:rsid w:val="00411E6A"/>
    <w:rsid w:val="00412310"/>
    <w:rsid w:val="00412920"/>
    <w:rsid w:val="00412C9B"/>
    <w:rsid w:val="00412D88"/>
    <w:rsid w:val="0041321F"/>
    <w:rsid w:val="00413444"/>
    <w:rsid w:val="0041377B"/>
    <w:rsid w:val="004137AA"/>
    <w:rsid w:val="0041445B"/>
    <w:rsid w:val="00414779"/>
    <w:rsid w:val="00414DAF"/>
    <w:rsid w:val="00415426"/>
    <w:rsid w:val="004154E7"/>
    <w:rsid w:val="004155C9"/>
    <w:rsid w:val="004157CA"/>
    <w:rsid w:val="004161C0"/>
    <w:rsid w:val="004166AC"/>
    <w:rsid w:val="00416CEB"/>
    <w:rsid w:val="0041768F"/>
    <w:rsid w:val="0042091A"/>
    <w:rsid w:val="00420D8F"/>
    <w:rsid w:val="00422FC6"/>
    <w:rsid w:val="00423473"/>
    <w:rsid w:val="00423E50"/>
    <w:rsid w:val="00424487"/>
    <w:rsid w:val="004257F3"/>
    <w:rsid w:val="00425912"/>
    <w:rsid w:val="00426DD4"/>
    <w:rsid w:val="004276BD"/>
    <w:rsid w:val="00427E8F"/>
    <w:rsid w:val="004315D9"/>
    <w:rsid w:val="004319C1"/>
    <w:rsid w:val="00432427"/>
    <w:rsid w:val="00436573"/>
    <w:rsid w:val="00436CFF"/>
    <w:rsid w:val="00437293"/>
    <w:rsid w:val="0044060E"/>
    <w:rsid w:val="0044089F"/>
    <w:rsid w:val="00442B5A"/>
    <w:rsid w:val="004433C7"/>
    <w:rsid w:val="004438DD"/>
    <w:rsid w:val="00443B19"/>
    <w:rsid w:val="00443E8B"/>
    <w:rsid w:val="0044415F"/>
    <w:rsid w:val="00444B10"/>
    <w:rsid w:val="004452EC"/>
    <w:rsid w:val="00445476"/>
    <w:rsid w:val="004455F3"/>
    <w:rsid w:val="00446620"/>
    <w:rsid w:val="00446869"/>
    <w:rsid w:val="00446960"/>
    <w:rsid w:val="00446EA9"/>
    <w:rsid w:val="00447CF8"/>
    <w:rsid w:val="00450708"/>
    <w:rsid w:val="00450B5C"/>
    <w:rsid w:val="00450E85"/>
    <w:rsid w:val="0045141B"/>
    <w:rsid w:val="00451D0B"/>
    <w:rsid w:val="00451F3F"/>
    <w:rsid w:val="00452400"/>
    <w:rsid w:val="00452A01"/>
    <w:rsid w:val="00452C55"/>
    <w:rsid w:val="00452D51"/>
    <w:rsid w:val="004533A4"/>
    <w:rsid w:val="00454800"/>
    <w:rsid w:val="004550F4"/>
    <w:rsid w:val="0045522A"/>
    <w:rsid w:val="0045787B"/>
    <w:rsid w:val="004600D8"/>
    <w:rsid w:val="0046033F"/>
    <w:rsid w:val="0046099C"/>
    <w:rsid w:val="00460BBD"/>
    <w:rsid w:val="00460E20"/>
    <w:rsid w:val="004612AF"/>
    <w:rsid w:val="00461322"/>
    <w:rsid w:val="00461E99"/>
    <w:rsid w:val="004631F0"/>
    <w:rsid w:val="00463264"/>
    <w:rsid w:val="00463697"/>
    <w:rsid w:val="00463F49"/>
    <w:rsid w:val="004644AF"/>
    <w:rsid w:val="00465C52"/>
    <w:rsid w:val="00465F40"/>
    <w:rsid w:val="004660CA"/>
    <w:rsid w:val="00466308"/>
    <w:rsid w:val="00467A14"/>
    <w:rsid w:val="00467ABF"/>
    <w:rsid w:val="00470901"/>
    <w:rsid w:val="00470FFD"/>
    <w:rsid w:val="004711B5"/>
    <w:rsid w:val="004734ED"/>
    <w:rsid w:val="0047361F"/>
    <w:rsid w:val="004738BA"/>
    <w:rsid w:val="004769BD"/>
    <w:rsid w:val="0047708E"/>
    <w:rsid w:val="00477237"/>
    <w:rsid w:val="0047768A"/>
    <w:rsid w:val="00477B89"/>
    <w:rsid w:val="00477D74"/>
    <w:rsid w:val="00481B25"/>
    <w:rsid w:val="00481F61"/>
    <w:rsid w:val="00482401"/>
    <w:rsid w:val="004833B8"/>
    <w:rsid w:val="00484B87"/>
    <w:rsid w:val="00484ED0"/>
    <w:rsid w:val="004857E4"/>
    <w:rsid w:val="00485E1C"/>
    <w:rsid w:val="004863CA"/>
    <w:rsid w:val="00486428"/>
    <w:rsid w:val="0049006B"/>
    <w:rsid w:val="004900AA"/>
    <w:rsid w:val="004909CF"/>
    <w:rsid w:val="004919FD"/>
    <w:rsid w:val="0049226F"/>
    <w:rsid w:val="004922CD"/>
    <w:rsid w:val="00492495"/>
    <w:rsid w:val="00492664"/>
    <w:rsid w:val="00492E1D"/>
    <w:rsid w:val="00492E6D"/>
    <w:rsid w:val="00492E7F"/>
    <w:rsid w:val="00493CE7"/>
    <w:rsid w:val="00493F6D"/>
    <w:rsid w:val="004942D2"/>
    <w:rsid w:val="004952BA"/>
    <w:rsid w:val="00496503"/>
    <w:rsid w:val="004966A0"/>
    <w:rsid w:val="004972C4"/>
    <w:rsid w:val="004A0A70"/>
    <w:rsid w:val="004A1474"/>
    <w:rsid w:val="004A180D"/>
    <w:rsid w:val="004A2750"/>
    <w:rsid w:val="004A37C6"/>
    <w:rsid w:val="004A5037"/>
    <w:rsid w:val="004A5224"/>
    <w:rsid w:val="004A6C1E"/>
    <w:rsid w:val="004A702D"/>
    <w:rsid w:val="004A72FC"/>
    <w:rsid w:val="004A7D62"/>
    <w:rsid w:val="004A7F7E"/>
    <w:rsid w:val="004B1C12"/>
    <w:rsid w:val="004B1C1C"/>
    <w:rsid w:val="004B2095"/>
    <w:rsid w:val="004B25CF"/>
    <w:rsid w:val="004B29A4"/>
    <w:rsid w:val="004B2CEE"/>
    <w:rsid w:val="004B2ED8"/>
    <w:rsid w:val="004B3FE6"/>
    <w:rsid w:val="004B3FF9"/>
    <w:rsid w:val="004B45DE"/>
    <w:rsid w:val="004B508B"/>
    <w:rsid w:val="004B5107"/>
    <w:rsid w:val="004B51F1"/>
    <w:rsid w:val="004B580B"/>
    <w:rsid w:val="004B5CFB"/>
    <w:rsid w:val="004B6A64"/>
    <w:rsid w:val="004B76E1"/>
    <w:rsid w:val="004B77C1"/>
    <w:rsid w:val="004B78CE"/>
    <w:rsid w:val="004C0950"/>
    <w:rsid w:val="004C0972"/>
    <w:rsid w:val="004C09BA"/>
    <w:rsid w:val="004C175C"/>
    <w:rsid w:val="004C188E"/>
    <w:rsid w:val="004C206B"/>
    <w:rsid w:val="004C401E"/>
    <w:rsid w:val="004C4ECB"/>
    <w:rsid w:val="004C50BE"/>
    <w:rsid w:val="004C57B5"/>
    <w:rsid w:val="004C5AD9"/>
    <w:rsid w:val="004C5E13"/>
    <w:rsid w:val="004C5EBF"/>
    <w:rsid w:val="004C67B5"/>
    <w:rsid w:val="004C7A36"/>
    <w:rsid w:val="004C7B15"/>
    <w:rsid w:val="004C7B6E"/>
    <w:rsid w:val="004C7DD1"/>
    <w:rsid w:val="004D01DB"/>
    <w:rsid w:val="004D0370"/>
    <w:rsid w:val="004D0EBA"/>
    <w:rsid w:val="004D1650"/>
    <w:rsid w:val="004D16EA"/>
    <w:rsid w:val="004D2477"/>
    <w:rsid w:val="004D2E7D"/>
    <w:rsid w:val="004D53C6"/>
    <w:rsid w:val="004D54A5"/>
    <w:rsid w:val="004D608D"/>
    <w:rsid w:val="004D731C"/>
    <w:rsid w:val="004D75D7"/>
    <w:rsid w:val="004D791A"/>
    <w:rsid w:val="004D7F7F"/>
    <w:rsid w:val="004D7FB6"/>
    <w:rsid w:val="004E25F4"/>
    <w:rsid w:val="004E2F20"/>
    <w:rsid w:val="004E3296"/>
    <w:rsid w:val="004E3AFD"/>
    <w:rsid w:val="004E412A"/>
    <w:rsid w:val="004E4762"/>
    <w:rsid w:val="004E47C2"/>
    <w:rsid w:val="004E57ED"/>
    <w:rsid w:val="004E5A9B"/>
    <w:rsid w:val="004E5B61"/>
    <w:rsid w:val="004E67AC"/>
    <w:rsid w:val="004E6930"/>
    <w:rsid w:val="004E6F7F"/>
    <w:rsid w:val="004E73B4"/>
    <w:rsid w:val="004F07E5"/>
    <w:rsid w:val="004F09B9"/>
    <w:rsid w:val="004F0C50"/>
    <w:rsid w:val="004F0F34"/>
    <w:rsid w:val="004F12B7"/>
    <w:rsid w:val="004F13A9"/>
    <w:rsid w:val="004F15D1"/>
    <w:rsid w:val="004F31AF"/>
    <w:rsid w:val="004F32A8"/>
    <w:rsid w:val="004F37F1"/>
    <w:rsid w:val="004F38C2"/>
    <w:rsid w:val="004F4291"/>
    <w:rsid w:val="004F4638"/>
    <w:rsid w:val="004F5092"/>
    <w:rsid w:val="004F550A"/>
    <w:rsid w:val="004F560B"/>
    <w:rsid w:val="004F5D08"/>
    <w:rsid w:val="004F61E1"/>
    <w:rsid w:val="004F70AC"/>
    <w:rsid w:val="004F7699"/>
    <w:rsid w:val="004F7858"/>
    <w:rsid w:val="0050178C"/>
    <w:rsid w:val="00501BD3"/>
    <w:rsid w:val="00501CD9"/>
    <w:rsid w:val="0050323A"/>
    <w:rsid w:val="00504377"/>
    <w:rsid w:val="00505071"/>
    <w:rsid w:val="00505506"/>
    <w:rsid w:val="00505C52"/>
    <w:rsid w:val="00506107"/>
    <w:rsid w:val="00506707"/>
    <w:rsid w:val="00506E48"/>
    <w:rsid w:val="00507233"/>
    <w:rsid w:val="005075BE"/>
    <w:rsid w:val="00507621"/>
    <w:rsid w:val="0051013E"/>
    <w:rsid w:val="00510E2D"/>
    <w:rsid w:val="00512688"/>
    <w:rsid w:val="00513042"/>
    <w:rsid w:val="00514B86"/>
    <w:rsid w:val="00515482"/>
    <w:rsid w:val="00515BBB"/>
    <w:rsid w:val="005176D9"/>
    <w:rsid w:val="00520075"/>
    <w:rsid w:val="005211A9"/>
    <w:rsid w:val="005217C1"/>
    <w:rsid w:val="0052181D"/>
    <w:rsid w:val="0052217D"/>
    <w:rsid w:val="00522A02"/>
    <w:rsid w:val="0052309D"/>
    <w:rsid w:val="005230DB"/>
    <w:rsid w:val="00523CB9"/>
    <w:rsid w:val="0052418A"/>
    <w:rsid w:val="00525483"/>
    <w:rsid w:val="00525950"/>
    <w:rsid w:val="00526479"/>
    <w:rsid w:val="00526BFC"/>
    <w:rsid w:val="00526E78"/>
    <w:rsid w:val="00527230"/>
    <w:rsid w:val="00527553"/>
    <w:rsid w:val="00530F75"/>
    <w:rsid w:val="00531D98"/>
    <w:rsid w:val="00531DE0"/>
    <w:rsid w:val="00531E98"/>
    <w:rsid w:val="0053241B"/>
    <w:rsid w:val="005325B1"/>
    <w:rsid w:val="0053335F"/>
    <w:rsid w:val="00533BE8"/>
    <w:rsid w:val="00533E3C"/>
    <w:rsid w:val="005345B1"/>
    <w:rsid w:val="005348A2"/>
    <w:rsid w:val="005357A4"/>
    <w:rsid w:val="0053637E"/>
    <w:rsid w:val="00536751"/>
    <w:rsid w:val="00536DBD"/>
    <w:rsid w:val="0053762F"/>
    <w:rsid w:val="00537C43"/>
    <w:rsid w:val="0054006D"/>
    <w:rsid w:val="005416F5"/>
    <w:rsid w:val="00542C90"/>
    <w:rsid w:val="00543305"/>
    <w:rsid w:val="00543401"/>
    <w:rsid w:val="0054351F"/>
    <w:rsid w:val="0054479C"/>
    <w:rsid w:val="0054507B"/>
    <w:rsid w:val="0054518D"/>
    <w:rsid w:val="00545396"/>
    <w:rsid w:val="00546452"/>
    <w:rsid w:val="005501C9"/>
    <w:rsid w:val="00550254"/>
    <w:rsid w:val="00550A36"/>
    <w:rsid w:val="00551577"/>
    <w:rsid w:val="0055221B"/>
    <w:rsid w:val="005524C3"/>
    <w:rsid w:val="00552910"/>
    <w:rsid w:val="00552FB0"/>
    <w:rsid w:val="005539B0"/>
    <w:rsid w:val="00553C1A"/>
    <w:rsid w:val="00553D23"/>
    <w:rsid w:val="00554435"/>
    <w:rsid w:val="005554B3"/>
    <w:rsid w:val="005558DA"/>
    <w:rsid w:val="00556163"/>
    <w:rsid w:val="005561E9"/>
    <w:rsid w:val="00556285"/>
    <w:rsid w:val="005567CD"/>
    <w:rsid w:val="00556888"/>
    <w:rsid w:val="00556903"/>
    <w:rsid w:val="00556D12"/>
    <w:rsid w:val="005579A4"/>
    <w:rsid w:val="00557EF7"/>
    <w:rsid w:val="005604A3"/>
    <w:rsid w:val="00560B02"/>
    <w:rsid w:val="0056309C"/>
    <w:rsid w:val="005651CB"/>
    <w:rsid w:val="00566560"/>
    <w:rsid w:val="005666F3"/>
    <w:rsid w:val="005672C6"/>
    <w:rsid w:val="005677C8"/>
    <w:rsid w:val="0057095A"/>
    <w:rsid w:val="00570A0C"/>
    <w:rsid w:val="00572365"/>
    <w:rsid w:val="005725DB"/>
    <w:rsid w:val="00572A17"/>
    <w:rsid w:val="00573A18"/>
    <w:rsid w:val="00573BCA"/>
    <w:rsid w:val="00573E82"/>
    <w:rsid w:val="00574531"/>
    <w:rsid w:val="00575078"/>
    <w:rsid w:val="00575794"/>
    <w:rsid w:val="00575B13"/>
    <w:rsid w:val="005762C2"/>
    <w:rsid w:val="00576F11"/>
    <w:rsid w:val="005774B5"/>
    <w:rsid w:val="00577681"/>
    <w:rsid w:val="00577753"/>
    <w:rsid w:val="0058027B"/>
    <w:rsid w:val="00580B6E"/>
    <w:rsid w:val="00580C9C"/>
    <w:rsid w:val="005816AC"/>
    <w:rsid w:val="00581730"/>
    <w:rsid w:val="00581E7D"/>
    <w:rsid w:val="00582595"/>
    <w:rsid w:val="00582AE1"/>
    <w:rsid w:val="00582E2D"/>
    <w:rsid w:val="005832B4"/>
    <w:rsid w:val="00583AA5"/>
    <w:rsid w:val="00583E3E"/>
    <w:rsid w:val="005844D6"/>
    <w:rsid w:val="00584CC9"/>
    <w:rsid w:val="00586470"/>
    <w:rsid w:val="00587160"/>
    <w:rsid w:val="0059049C"/>
    <w:rsid w:val="00590555"/>
    <w:rsid w:val="005913BE"/>
    <w:rsid w:val="005915A5"/>
    <w:rsid w:val="00591DF0"/>
    <w:rsid w:val="005925C1"/>
    <w:rsid w:val="005937F3"/>
    <w:rsid w:val="005948C2"/>
    <w:rsid w:val="00594F45"/>
    <w:rsid w:val="00595068"/>
    <w:rsid w:val="005961D3"/>
    <w:rsid w:val="005965DA"/>
    <w:rsid w:val="00596DD0"/>
    <w:rsid w:val="005971F7"/>
    <w:rsid w:val="00597576"/>
    <w:rsid w:val="005979F6"/>
    <w:rsid w:val="005A037D"/>
    <w:rsid w:val="005A053E"/>
    <w:rsid w:val="005A05EB"/>
    <w:rsid w:val="005A0B7D"/>
    <w:rsid w:val="005A1994"/>
    <w:rsid w:val="005A1ACE"/>
    <w:rsid w:val="005A20E6"/>
    <w:rsid w:val="005A21BA"/>
    <w:rsid w:val="005A2471"/>
    <w:rsid w:val="005A30DE"/>
    <w:rsid w:val="005A30E8"/>
    <w:rsid w:val="005A37E5"/>
    <w:rsid w:val="005A5020"/>
    <w:rsid w:val="005A586C"/>
    <w:rsid w:val="005A5D2D"/>
    <w:rsid w:val="005A5E3D"/>
    <w:rsid w:val="005A6C25"/>
    <w:rsid w:val="005A71C7"/>
    <w:rsid w:val="005A7318"/>
    <w:rsid w:val="005B0BED"/>
    <w:rsid w:val="005B1AFF"/>
    <w:rsid w:val="005B339D"/>
    <w:rsid w:val="005B3515"/>
    <w:rsid w:val="005B353D"/>
    <w:rsid w:val="005B35E9"/>
    <w:rsid w:val="005B3AFB"/>
    <w:rsid w:val="005B5A52"/>
    <w:rsid w:val="005B5E33"/>
    <w:rsid w:val="005B6120"/>
    <w:rsid w:val="005B6132"/>
    <w:rsid w:val="005B642E"/>
    <w:rsid w:val="005B6838"/>
    <w:rsid w:val="005B7138"/>
    <w:rsid w:val="005B794C"/>
    <w:rsid w:val="005B7A5B"/>
    <w:rsid w:val="005B7AA3"/>
    <w:rsid w:val="005B7C0B"/>
    <w:rsid w:val="005B7FD8"/>
    <w:rsid w:val="005C0A64"/>
    <w:rsid w:val="005C0C6E"/>
    <w:rsid w:val="005C2849"/>
    <w:rsid w:val="005C304F"/>
    <w:rsid w:val="005C4E1B"/>
    <w:rsid w:val="005C58B8"/>
    <w:rsid w:val="005C623B"/>
    <w:rsid w:val="005C65BB"/>
    <w:rsid w:val="005C6A03"/>
    <w:rsid w:val="005C73E0"/>
    <w:rsid w:val="005C7979"/>
    <w:rsid w:val="005D200A"/>
    <w:rsid w:val="005D231D"/>
    <w:rsid w:val="005D33AB"/>
    <w:rsid w:val="005D370A"/>
    <w:rsid w:val="005D3AFE"/>
    <w:rsid w:val="005D4868"/>
    <w:rsid w:val="005D493E"/>
    <w:rsid w:val="005D5233"/>
    <w:rsid w:val="005D5D79"/>
    <w:rsid w:val="005D601E"/>
    <w:rsid w:val="005D7324"/>
    <w:rsid w:val="005E0C23"/>
    <w:rsid w:val="005E14C9"/>
    <w:rsid w:val="005E2F27"/>
    <w:rsid w:val="005E3394"/>
    <w:rsid w:val="005E42F7"/>
    <w:rsid w:val="005E479F"/>
    <w:rsid w:val="005E5994"/>
    <w:rsid w:val="005E5EE2"/>
    <w:rsid w:val="005E6B58"/>
    <w:rsid w:val="005F08DC"/>
    <w:rsid w:val="005F0EAD"/>
    <w:rsid w:val="005F122D"/>
    <w:rsid w:val="005F15D4"/>
    <w:rsid w:val="005F1AA9"/>
    <w:rsid w:val="005F1F25"/>
    <w:rsid w:val="005F2279"/>
    <w:rsid w:val="005F3DC4"/>
    <w:rsid w:val="005F47EE"/>
    <w:rsid w:val="005F4ECB"/>
    <w:rsid w:val="005F5B28"/>
    <w:rsid w:val="005F71A7"/>
    <w:rsid w:val="005F791E"/>
    <w:rsid w:val="00600280"/>
    <w:rsid w:val="006002C3"/>
    <w:rsid w:val="0060112A"/>
    <w:rsid w:val="00601502"/>
    <w:rsid w:val="006019E8"/>
    <w:rsid w:val="006023FF"/>
    <w:rsid w:val="00603366"/>
    <w:rsid w:val="00603FA6"/>
    <w:rsid w:val="00604407"/>
    <w:rsid w:val="00606921"/>
    <w:rsid w:val="00606F43"/>
    <w:rsid w:val="006070E2"/>
    <w:rsid w:val="00607692"/>
    <w:rsid w:val="00607796"/>
    <w:rsid w:val="00607F5B"/>
    <w:rsid w:val="00610C73"/>
    <w:rsid w:val="00612A49"/>
    <w:rsid w:val="006132E5"/>
    <w:rsid w:val="00613772"/>
    <w:rsid w:val="00613E3E"/>
    <w:rsid w:val="00613FAE"/>
    <w:rsid w:val="0061431D"/>
    <w:rsid w:val="00614B4B"/>
    <w:rsid w:val="00614BF2"/>
    <w:rsid w:val="00615500"/>
    <w:rsid w:val="00615883"/>
    <w:rsid w:val="00616085"/>
    <w:rsid w:val="00616485"/>
    <w:rsid w:val="006167F5"/>
    <w:rsid w:val="00617362"/>
    <w:rsid w:val="00617E4E"/>
    <w:rsid w:val="00617F9A"/>
    <w:rsid w:val="0062009B"/>
    <w:rsid w:val="00621187"/>
    <w:rsid w:val="006227F7"/>
    <w:rsid w:val="00623162"/>
    <w:rsid w:val="006232C0"/>
    <w:rsid w:val="006237D8"/>
    <w:rsid w:val="00623F3C"/>
    <w:rsid w:val="00624B28"/>
    <w:rsid w:val="00624F11"/>
    <w:rsid w:val="00625AF5"/>
    <w:rsid w:val="0062666D"/>
    <w:rsid w:val="00627963"/>
    <w:rsid w:val="00630495"/>
    <w:rsid w:val="006304DD"/>
    <w:rsid w:val="00630636"/>
    <w:rsid w:val="00630E36"/>
    <w:rsid w:val="00630F8B"/>
    <w:rsid w:val="006318A4"/>
    <w:rsid w:val="00631DDB"/>
    <w:rsid w:val="00631DDE"/>
    <w:rsid w:val="0063202F"/>
    <w:rsid w:val="00632361"/>
    <w:rsid w:val="006325F6"/>
    <w:rsid w:val="006330A3"/>
    <w:rsid w:val="006339D3"/>
    <w:rsid w:val="00633B1F"/>
    <w:rsid w:val="00634CFF"/>
    <w:rsid w:val="00634F57"/>
    <w:rsid w:val="00635F53"/>
    <w:rsid w:val="006360AA"/>
    <w:rsid w:val="0063707E"/>
    <w:rsid w:val="0063763D"/>
    <w:rsid w:val="006379AF"/>
    <w:rsid w:val="006407A3"/>
    <w:rsid w:val="00640855"/>
    <w:rsid w:val="00640B24"/>
    <w:rsid w:val="0064146B"/>
    <w:rsid w:val="00642804"/>
    <w:rsid w:val="00642FC3"/>
    <w:rsid w:val="0064337E"/>
    <w:rsid w:val="00643A76"/>
    <w:rsid w:val="00643B49"/>
    <w:rsid w:val="00643C4D"/>
    <w:rsid w:val="00643D2A"/>
    <w:rsid w:val="00643FED"/>
    <w:rsid w:val="006447B1"/>
    <w:rsid w:val="00644900"/>
    <w:rsid w:val="006449F4"/>
    <w:rsid w:val="00645228"/>
    <w:rsid w:val="006453ED"/>
    <w:rsid w:val="006457B2"/>
    <w:rsid w:val="00645981"/>
    <w:rsid w:val="00646508"/>
    <w:rsid w:val="00647268"/>
    <w:rsid w:val="006474B0"/>
    <w:rsid w:val="00651260"/>
    <w:rsid w:val="0065183E"/>
    <w:rsid w:val="0065221F"/>
    <w:rsid w:val="00652F2E"/>
    <w:rsid w:val="00653038"/>
    <w:rsid w:val="00654066"/>
    <w:rsid w:val="006546E9"/>
    <w:rsid w:val="00654ACF"/>
    <w:rsid w:val="00654CA4"/>
    <w:rsid w:val="00655199"/>
    <w:rsid w:val="00655495"/>
    <w:rsid w:val="00655D04"/>
    <w:rsid w:val="0065665B"/>
    <w:rsid w:val="0065674A"/>
    <w:rsid w:val="00656E8C"/>
    <w:rsid w:val="006603B4"/>
    <w:rsid w:val="00662B3A"/>
    <w:rsid w:val="006631D1"/>
    <w:rsid w:val="00663BDA"/>
    <w:rsid w:val="00663FF5"/>
    <w:rsid w:val="00664D0F"/>
    <w:rsid w:val="006650C9"/>
    <w:rsid w:val="006652F7"/>
    <w:rsid w:val="00665657"/>
    <w:rsid w:val="00665B33"/>
    <w:rsid w:val="00665C62"/>
    <w:rsid w:val="00666063"/>
    <w:rsid w:val="00666367"/>
    <w:rsid w:val="00667D7C"/>
    <w:rsid w:val="00667EF9"/>
    <w:rsid w:val="006707B9"/>
    <w:rsid w:val="00670901"/>
    <w:rsid w:val="00670FC6"/>
    <w:rsid w:val="00671A76"/>
    <w:rsid w:val="00672124"/>
    <w:rsid w:val="00672346"/>
    <w:rsid w:val="00672348"/>
    <w:rsid w:val="006728AA"/>
    <w:rsid w:val="0067454B"/>
    <w:rsid w:val="006746A5"/>
    <w:rsid w:val="00674866"/>
    <w:rsid w:val="00675256"/>
    <w:rsid w:val="0067693C"/>
    <w:rsid w:val="0067758F"/>
    <w:rsid w:val="00677F7B"/>
    <w:rsid w:val="006802FE"/>
    <w:rsid w:val="00681D27"/>
    <w:rsid w:val="00681E10"/>
    <w:rsid w:val="00684765"/>
    <w:rsid w:val="006847E8"/>
    <w:rsid w:val="00684BC3"/>
    <w:rsid w:val="006860DD"/>
    <w:rsid w:val="006864F1"/>
    <w:rsid w:val="00686BC1"/>
    <w:rsid w:val="00687943"/>
    <w:rsid w:val="00690025"/>
    <w:rsid w:val="00691DC7"/>
    <w:rsid w:val="00691F6E"/>
    <w:rsid w:val="00692118"/>
    <w:rsid w:val="0069273E"/>
    <w:rsid w:val="00692EB9"/>
    <w:rsid w:val="00693470"/>
    <w:rsid w:val="0069387E"/>
    <w:rsid w:val="0069430F"/>
    <w:rsid w:val="006964A3"/>
    <w:rsid w:val="006975A7"/>
    <w:rsid w:val="00697AB5"/>
    <w:rsid w:val="006A026D"/>
    <w:rsid w:val="006A113E"/>
    <w:rsid w:val="006A1559"/>
    <w:rsid w:val="006A1837"/>
    <w:rsid w:val="006A1843"/>
    <w:rsid w:val="006A1F7B"/>
    <w:rsid w:val="006A1FF5"/>
    <w:rsid w:val="006A2224"/>
    <w:rsid w:val="006A3DCB"/>
    <w:rsid w:val="006A44DA"/>
    <w:rsid w:val="006A4AE8"/>
    <w:rsid w:val="006A4D20"/>
    <w:rsid w:val="006A598A"/>
    <w:rsid w:val="006A5FEA"/>
    <w:rsid w:val="006A7323"/>
    <w:rsid w:val="006A7C8E"/>
    <w:rsid w:val="006B039B"/>
    <w:rsid w:val="006B08E5"/>
    <w:rsid w:val="006B09DC"/>
    <w:rsid w:val="006B123D"/>
    <w:rsid w:val="006B1302"/>
    <w:rsid w:val="006B2342"/>
    <w:rsid w:val="006B2F81"/>
    <w:rsid w:val="006B378A"/>
    <w:rsid w:val="006B3CBE"/>
    <w:rsid w:val="006B3FE7"/>
    <w:rsid w:val="006B4AF1"/>
    <w:rsid w:val="006B4B0D"/>
    <w:rsid w:val="006B4CE6"/>
    <w:rsid w:val="006B58FB"/>
    <w:rsid w:val="006B6399"/>
    <w:rsid w:val="006B654B"/>
    <w:rsid w:val="006B6989"/>
    <w:rsid w:val="006B78EC"/>
    <w:rsid w:val="006B7BB9"/>
    <w:rsid w:val="006B7C45"/>
    <w:rsid w:val="006C023A"/>
    <w:rsid w:val="006C12D8"/>
    <w:rsid w:val="006C17C1"/>
    <w:rsid w:val="006C18ED"/>
    <w:rsid w:val="006C22FB"/>
    <w:rsid w:val="006C2859"/>
    <w:rsid w:val="006C34B9"/>
    <w:rsid w:val="006C4697"/>
    <w:rsid w:val="006C46CD"/>
    <w:rsid w:val="006C4F6C"/>
    <w:rsid w:val="006C4F76"/>
    <w:rsid w:val="006C4FFC"/>
    <w:rsid w:val="006C6372"/>
    <w:rsid w:val="006C6876"/>
    <w:rsid w:val="006C7064"/>
    <w:rsid w:val="006C7ED6"/>
    <w:rsid w:val="006D0BC1"/>
    <w:rsid w:val="006D0FD8"/>
    <w:rsid w:val="006D1916"/>
    <w:rsid w:val="006D1C3A"/>
    <w:rsid w:val="006D2107"/>
    <w:rsid w:val="006D219F"/>
    <w:rsid w:val="006D267F"/>
    <w:rsid w:val="006D268F"/>
    <w:rsid w:val="006D3080"/>
    <w:rsid w:val="006D3C80"/>
    <w:rsid w:val="006D3FCB"/>
    <w:rsid w:val="006D48C9"/>
    <w:rsid w:val="006D4BF5"/>
    <w:rsid w:val="006D4DEC"/>
    <w:rsid w:val="006D4E85"/>
    <w:rsid w:val="006D5DF5"/>
    <w:rsid w:val="006D6464"/>
    <w:rsid w:val="006D71E5"/>
    <w:rsid w:val="006D7D88"/>
    <w:rsid w:val="006E0072"/>
    <w:rsid w:val="006E11AB"/>
    <w:rsid w:val="006E159C"/>
    <w:rsid w:val="006E23B7"/>
    <w:rsid w:val="006E26CC"/>
    <w:rsid w:val="006E2E35"/>
    <w:rsid w:val="006E3BDE"/>
    <w:rsid w:val="006E4701"/>
    <w:rsid w:val="006E5818"/>
    <w:rsid w:val="006E679F"/>
    <w:rsid w:val="006E6A7D"/>
    <w:rsid w:val="006E6B4C"/>
    <w:rsid w:val="006E783F"/>
    <w:rsid w:val="006E788B"/>
    <w:rsid w:val="006E7EEA"/>
    <w:rsid w:val="006E7F8B"/>
    <w:rsid w:val="006F0401"/>
    <w:rsid w:val="006F087D"/>
    <w:rsid w:val="006F0B9E"/>
    <w:rsid w:val="006F0CBF"/>
    <w:rsid w:val="006F16F5"/>
    <w:rsid w:val="006F1CB7"/>
    <w:rsid w:val="006F210B"/>
    <w:rsid w:val="006F319D"/>
    <w:rsid w:val="006F3329"/>
    <w:rsid w:val="006F4648"/>
    <w:rsid w:val="006F5168"/>
    <w:rsid w:val="006F532D"/>
    <w:rsid w:val="006F58E1"/>
    <w:rsid w:val="006F62BB"/>
    <w:rsid w:val="006F6462"/>
    <w:rsid w:val="006F7156"/>
    <w:rsid w:val="006F7368"/>
    <w:rsid w:val="006F7416"/>
    <w:rsid w:val="006F7874"/>
    <w:rsid w:val="006F7C5C"/>
    <w:rsid w:val="007001F6"/>
    <w:rsid w:val="007002ED"/>
    <w:rsid w:val="0070128E"/>
    <w:rsid w:val="007019E1"/>
    <w:rsid w:val="00701AC7"/>
    <w:rsid w:val="007031E5"/>
    <w:rsid w:val="00703670"/>
    <w:rsid w:val="00703B0A"/>
    <w:rsid w:val="00703DAB"/>
    <w:rsid w:val="007040B6"/>
    <w:rsid w:val="0070423D"/>
    <w:rsid w:val="00704C28"/>
    <w:rsid w:val="00704C82"/>
    <w:rsid w:val="007052C7"/>
    <w:rsid w:val="007056A8"/>
    <w:rsid w:val="00705E72"/>
    <w:rsid w:val="00706153"/>
    <w:rsid w:val="0070648F"/>
    <w:rsid w:val="007071ED"/>
    <w:rsid w:val="00710501"/>
    <w:rsid w:val="00710AA7"/>
    <w:rsid w:val="00711717"/>
    <w:rsid w:val="00711B77"/>
    <w:rsid w:val="00711FD3"/>
    <w:rsid w:val="00712748"/>
    <w:rsid w:val="00712854"/>
    <w:rsid w:val="007129A3"/>
    <w:rsid w:val="0071356F"/>
    <w:rsid w:val="0071390C"/>
    <w:rsid w:val="007157D5"/>
    <w:rsid w:val="00715959"/>
    <w:rsid w:val="00715B28"/>
    <w:rsid w:val="007160C3"/>
    <w:rsid w:val="00716657"/>
    <w:rsid w:val="007168A4"/>
    <w:rsid w:val="00717D6E"/>
    <w:rsid w:val="00717E7E"/>
    <w:rsid w:val="007201B8"/>
    <w:rsid w:val="00721382"/>
    <w:rsid w:val="007219AD"/>
    <w:rsid w:val="00721E45"/>
    <w:rsid w:val="00722F74"/>
    <w:rsid w:val="00723887"/>
    <w:rsid w:val="007240DB"/>
    <w:rsid w:val="00724B59"/>
    <w:rsid w:val="00724F99"/>
    <w:rsid w:val="00725A60"/>
    <w:rsid w:val="00726720"/>
    <w:rsid w:val="00726807"/>
    <w:rsid w:val="00727275"/>
    <w:rsid w:val="0072737B"/>
    <w:rsid w:val="00727481"/>
    <w:rsid w:val="00730348"/>
    <w:rsid w:val="00730FE6"/>
    <w:rsid w:val="007313E8"/>
    <w:rsid w:val="00732128"/>
    <w:rsid w:val="00732CBC"/>
    <w:rsid w:val="00733773"/>
    <w:rsid w:val="007360FA"/>
    <w:rsid w:val="00737100"/>
    <w:rsid w:val="007376C0"/>
    <w:rsid w:val="007402FC"/>
    <w:rsid w:val="00740CE3"/>
    <w:rsid w:val="00740D6F"/>
    <w:rsid w:val="0074181D"/>
    <w:rsid w:val="007418A5"/>
    <w:rsid w:val="007419AB"/>
    <w:rsid w:val="00742055"/>
    <w:rsid w:val="00743CD0"/>
    <w:rsid w:val="007444D5"/>
    <w:rsid w:val="00744836"/>
    <w:rsid w:val="00744A5E"/>
    <w:rsid w:val="00746A0C"/>
    <w:rsid w:val="00746E02"/>
    <w:rsid w:val="00747EB5"/>
    <w:rsid w:val="007501E7"/>
    <w:rsid w:val="00750325"/>
    <w:rsid w:val="007509E4"/>
    <w:rsid w:val="007511F5"/>
    <w:rsid w:val="0075147A"/>
    <w:rsid w:val="00752420"/>
    <w:rsid w:val="007526F6"/>
    <w:rsid w:val="00752C60"/>
    <w:rsid w:val="00752C85"/>
    <w:rsid w:val="007531B4"/>
    <w:rsid w:val="00753748"/>
    <w:rsid w:val="00753899"/>
    <w:rsid w:val="00753E7F"/>
    <w:rsid w:val="00753EDE"/>
    <w:rsid w:val="007543FD"/>
    <w:rsid w:val="00754F3C"/>
    <w:rsid w:val="00756E23"/>
    <w:rsid w:val="0075759C"/>
    <w:rsid w:val="00757DA6"/>
    <w:rsid w:val="00757E5D"/>
    <w:rsid w:val="00761B26"/>
    <w:rsid w:val="007625F5"/>
    <w:rsid w:val="00762916"/>
    <w:rsid w:val="00762CF2"/>
    <w:rsid w:val="00763B81"/>
    <w:rsid w:val="00763F82"/>
    <w:rsid w:val="00764163"/>
    <w:rsid w:val="00764CB1"/>
    <w:rsid w:val="007650AA"/>
    <w:rsid w:val="00765433"/>
    <w:rsid w:val="00766E08"/>
    <w:rsid w:val="0076778D"/>
    <w:rsid w:val="007679F8"/>
    <w:rsid w:val="00767F52"/>
    <w:rsid w:val="007721A3"/>
    <w:rsid w:val="0077287A"/>
    <w:rsid w:val="0077479A"/>
    <w:rsid w:val="00774E29"/>
    <w:rsid w:val="00775069"/>
    <w:rsid w:val="007752B1"/>
    <w:rsid w:val="00775307"/>
    <w:rsid w:val="00775D7A"/>
    <w:rsid w:val="00775E2F"/>
    <w:rsid w:val="0077745B"/>
    <w:rsid w:val="00780061"/>
    <w:rsid w:val="00780C32"/>
    <w:rsid w:val="007818A6"/>
    <w:rsid w:val="00781925"/>
    <w:rsid w:val="007839BD"/>
    <w:rsid w:val="00784E0F"/>
    <w:rsid w:val="00785172"/>
    <w:rsid w:val="00785800"/>
    <w:rsid w:val="00785BCD"/>
    <w:rsid w:val="00786B3E"/>
    <w:rsid w:val="007871DC"/>
    <w:rsid w:val="00787DE1"/>
    <w:rsid w:val="0079041B"/>
    <w:rsid w:val="007907FF"/>
    <w:rsid w:val="00790C66"/>
    <w:rsid w:val="00791066"/>
    <w:rsid w:val="007910BB"/>
    <w:rsid w:val="007917B3"/>
    <w:rsid w:val="0079204D"/>
    <w:rsid w:val="00792417"/>
    <w:rsid w:val="00793313"/>
    <w:rsid w:val="00793371"/>
    <w:rsid w:val="00793F5E"/>
    <w:rsid w:val="00793FC1"/>
    <w:rsid w:val="007941B0"/>
    <w:rsid w:val="00794900"/>
    <w:rsid w:val="00794BD2"/>
    <w:rsid w:val="0079567D"/>
    <w:rsid w:val="0079609E"/>
    <w:rsid w:val="00796E93"/>
    <w:rsid w:val="00797C8A"/>
    <w:rsid w:val="007A057A"/>
    <w:rsid w:val="007A0582"/>
    <w:rsid w:val="007A06D9"/>
    <w:rsid w:val="007A14DB"/>
    <w:rsid w:val="007A173C"/>
    <w:rsid w:val="007A1CF8"/>
    <w:rsid w:val="007A1EBB"/>
    <w:rsid w:val="007A24B8"/>
    <w:rsid w:val="007A295B"/>
    <w:rsid w:val="007A378B"/>
    <w:rsid w:val="007A3B43"/>
    <w:rsid w:val="007A44FC"/>
    <w:rsid w:val="007A58D8"/>
    <w:rsid w:val="007A5DE4"/>
    <w:rsid w:val="007A63E5"/>
    <w:rsid w:val="007A6803"/>
    <w:rsid w:val="007A7FA3"/>
    <w:rsid w:val="007B063D"/>
    <w:rsid w:val="007B089F"/>
    <w:rsid w:val="007B0D96"/>
    <w:rsid w:val="007B1393"/>
    <w:rsid w:val="007B1DB6"/>
    <w:rsid w:val="007B2096"/>
    <w:rsid w:val="007B216C"/>
    <w:rsid w:val="007B2294"/>
    <w:rsid w:val="007B25C0"/>
    <w:rsid w:val="007B2C2E"/>
    <w:rsid w:val="007B40C9"/>
    <w:rsid w:val="007B422C"/>
    <w:rsid w:val="007B518F"/>
    <w:rsid w:val="007B5AF5"/>
    <w:rsid w:val="007B6396"/>
    <w:rsid w:val="007B6A6C"/>
    <w:rsid w:val="007B6C8A"/>
    <w:rsid w:val="007B6CED"/>
    <w:rsid w:val="007B77D8"/>
    <w:rsid w:val="007B7A63"/>
    <w:rsid w:val="007B7D0F"/>
    <w:rsid w:val="007C01F1"/>
    <w:rsid w:val="007C07BC"/>
    <w:rsid w:val="007C0866"/>
    <w:rsid w:val="007C0AF8"/>
    <w:rsid w:val="007C0EE5"/>
    <w:rsid w:val="007C1615"/>
    <w:rsid w:val="007C1F72"/>
    <w:rsid w:val="007C2824"/>
    <w:rsid w:val="007C3104"/>
    <w:rsid w:val="007C317E"/>
    <w:rsid w:val="007C48DE"/>
    <w:rsid w:val="007C4CB5"/>
    <w:rsid w:val="007C59E5"/>
    <w:rsid w:val="007C5FFB"/>
    <w:rsid w:val="007C60D1"/>
    <w:rsid w:val="007C6859"/>
    <w:rsid w:val="007C6DB4"/>
    <w:rsid w:val="007C7450"/>
    <w:rsid w:val="007C75EB"/>
    <w:rsid w:val="007C79B4"/>
    <w:rsid w:val="007C7A66"/>
    <w:rsid w:val="007C7C1F"/>
    <w:rsid w:val="007C7DC0"/>
    <w:rsid w:val="007D070D"/>
    <w:rsid w:val="007D096E"/>
    <w:rsid w:val="007D15B3"/>
    <w:rsid w:val="007D1BA6"/>
    <w:rsid w:val="007D24B8"/>
    <w:rsid w:val="007D27FD"/>
    <w:rsid w:val="007D2D2F"/>
    <w:rsid w:val="007D36E0"/>
    <w:rsid w:val="007D3724"/>
    <w:rsid w:val="007D38A9"/>
    <w:rsid w:val="007D5E08"/>
    <w:rsid w:val="007D5E0B"/>
    <w:rsid w:val="007D6308"/>
    <w:rsid w:val="007D6659"/>
    <w:rsid w:val="007D6C44"/>
    <w:rsid w:val="007E0178"/>
    <w:rsid w:val="007E02AD"/>
    <w:rsid w:val="007E033F"/>
    <w:rsid w:val="007E0B59"/>
    <w:rsid w:val="007E21EF"/>
    <w:rsid w:val="007E24F5"/>
    <w:rsid w:val="007E2677"/>
    <w:rsid w:val="007E32F7"/>
    <w:rsid w:val="007E3368"/>
    <w:rsid w:val="007E34E1"/>
    <w:rsid w:val="007E3B73"/>
    <w:rsid w:val="007E49D2"/>
    <w:rsid w:val="007E4FD2"/>
    <w:rsid w:val="007E5380"/>
    <w:rsid w:val="007E5AD0"/>
    <w:rsid w:val="007E6336"/>
    <w:rsid w:val="007E708A"/>
    <w:rsid w:val="007E721C"/>
    <w:rsid w:val="007E79E5"/>
    <w:rsid w:val="007F0807"/>
    <w:rsid w:val="007F08B3"/>
    <w:rsid w:val="007F1000"/>
    <w:rsid w:val="007F25FB"/>
    <w:rsid w:val="007F2EB9"/>
    <w:rsid w:val="007F345A"/>
    <w:rsid w:val="007F358B"/>
    <w:rsid w:val="007F38BA"/>
    <w:rsid w:val="007F46EC"/>
    <w:rsid w:val="007F49F1"/>
    <w:rsid w:val="007F4C09"/>
    <w:rsid w:val="007F5D08"/>
    <w:rsid w:val="007F6752"/>
    <w:rsid w:val="007F712D"/>
    <w:rsid w:val="007F7F32"/>
    <w:rsid w:val="00800409"/>
    <w:rsid w:val="0080068A"/>
    <w:rsid w:val="00801D69"/>
    <w:rsid w:val="0080267B"/>
    <w:rsid w:val="008027A5"/>
    <w:rsid w:val="00802A08"/>
    <w:rsid w:val="00803EA7"/>
    <w:rsid w:val="00804515"/>
    <w:rsid w:val="008046F2"/>
    <w:rsid w:val="00805F24"/>
    <w:rsid w:val="00806397"/>
    <w:rsid w:val="00806794"/>
    <w:rsid w:val="00806D01"/>
    <w:rsid w:val="00806F96"/>
    <w:rsid w:val="0080784F"/>
    <w:rsid w:val="008104F6"/>
    <w:rsid w:val="00810F41"/>
    <w:rsid w:val="008112F1"/>
    <w:rsid w:val="00812D23"/>
    <w:rsid w:val="00813218"/>
    <w:rsid w:val="00813660"/>
    <w:rsid w:val="008138EC"/>
    <w:rsid w:val="008141FE"/>
    <w:rsid w:val="00815148"/>
    <w:rsid w:val="008156DD"/>
    <w:rsid w:val="008162A1"/>
    <w:rsid w:val="008168A7"/>
    <w:rsid w:val="00817007"/>
    <w:rsid w:val="0081773C"/>
    <w:rsid w:val="00817CA9"/>
    <w:rsid w:val="00820FC2"/>
    <w:rsid w:val="0082109E"/>
    <w:rsid w:val="008211BD"/>
    <w:rsid w:val="00821675"/>
    <w:rsid w:val="008217F9"/>
    <w:rsid w:val="00821D22"/>
    <w:rsid w:val="00821F11"/>
    <w:rsid w:val="00822C91"/>
    <w:rsid w:val="00822E9E"/>
    <w:rsid w:val="008231F1"/>
    <w:rsid w:val="00823BCF"/>
    <w:rsid w:val="0082421D"/>
    <w:rsid w:val="0082450D"/>
    <w:rsid w:val="00825BA9"/>
    <w:rsid w:val="0082639C"/>
    <w:rsid w:val="0082646D"/>
    <w:rsid w:val="00826AC2"/>
    <w:rsid w:val="008270AC"/>
    <w:rsid w:val="008273E0"/>
    <w:rsid w:val="0083007C"/>
    <w:rsid w:val="00830199"/>
    <w:rsid w:val="00830461"/>
    <w:rsid w:val="00831408"/>
    <w:rsid w:val="00831768"/>
    <w:rsid w:val="00831794"/>
    <w:rsid w:val="00831CAB"/>
    <w:rsid w:val="00831F64"/>
    <w:rsid w:val="0083271E"/>
    <w:rsid w:val="0083272E"/>
    <w:rsid w:val="00833285"/>
    <w:rsid w:val="0083408F"/>
    <w:rsid w:val="00834C24"/>
    <w:rsid w:val="008352BE"/>
    <w:rsid w:val="00835A6D"/>
    <w:rsid w:val="00836275"/>
    <w:rsid w:val="0083700B"/>
    <w:rsid w:val="008402AA"/>
    <w:rsid w:val="00840A96"/>
    <w:rsid w:val="0084319B"/>
    <w:rsid w:val="00843218"/>
    <w:rsid w:val="00843626"/>
    <w:rsid w:val="00843CF5"/>
    <w:rsid w:val="00843F7A"/>
    <w:rsid w:val="00844203"/>
    <w:rsid w:val="00845162"/>
    <w:rsid w:val="008454A0"/>
    <w:rsid w:val="00845642"/>
    <w:rsid w:val="008463BC"/>
    <w:rsid w:val="00846715"/>
    <w:rsid w:val="00847657"/>
    <w:rsid w:val="00847F64"/>
    <w:rsid w:val="00850077"/>
    <w:rsid w:val="008516F9"/>
    <w:rsid w:val="00851C3B"/>
    <w:rsid w:val="00851CFF"/>
    <w:rsid w:val="00852F64"/>
    <w:rsid w:val="00854933"/>
    <w:rsid w:val="00855716"/>
    <w:rsid w:val="008561B3"/>
    <w:rsid w:val="00856516"/>
    <w:rsid w:val="00856B23"/>
    <w:rsid w:val="00857098"/>
    <w:rsid w:val="0085782A"/>
    <w:rsid w:val="00857B90"/>
    <w:rsid w:val="008604B7"/>
    <w:rsid w:val="008615AB"/>
    <w:rsid w:val="0086312C"/>
    <w:rsid w:val="00863AE5"/>
    <w:rsid w:val="00863C81"/>
    <w:rsid w:val="00864C28"/>
    <w:rsid w:val="00865107"/>
    <w:rsid w:val="00865B2F"/>
    <w:rsid w:val="00866103"/>
    <w:rsid w:val="00866BE1"/>
    <w:rsid w:val="00867797"/>
    <w:rsid w:val="008706C6"/>
    <w:rsid w:val="00870AE4"/>
    <w:rsid w:val="00870BE0"/>
    <w:rsid w:val="008715DB"/>
    <w:rsid w:val="00872E4A"/>
    <w:rsid w:val="008730C9"/>
    <w:rsid w:val="00876DB9"/>
    <w:rsid w:val="00877381"/>
    <w:rsid w:val="008800DE"/>
    <w:rsid w:val="008805E1"/>
    <w:rsid w:val="00880A45"/>
    <w:rsid w:val="008818F4"/>
    <w:rsid w:val="00882085"/>
    <w:rsid w:val="0088213A"/>
    <w:rsid w:val="00883A83"/>
    <w:rsid w:val="00884037"/>
    <w:rsid w:val="00884B62"/>
    <w:rsid w:val="008863AF"/>
    <w:rsid w:val="00887845"/>
    <w:rsid w:val="00887885"/>
    <w:rsid w:val="008905B6"/>
    <w:rsid w:val="00890FF7"/>
    <w:rsid w:val="00891B41"/>
    <w:rsid w:val="00892961"/>
    <w:rsid w:val="00892D80"/>
    <w:rsid w:val="00892D96"/>
    <w:rsid w:val="00892E80"/>
    <w:rsid w:val="008930D0"/>
    <w:rsid w:val="00893161"/>
    <w:rsid w:val="00893B93"/>
    <w:rsid w:val="00893C46"/>
    <w:rsid w:val="0089469F"/>
    <w:rsid w:val="00894DBA"/>
    <w:rsid w:val="0089518B"/>
    <w:rsid w:val="0089519A"/>
    <w:rsid w:val="0089598B"/>
    <w:rsid w:val="00895ED5"/>
    <w:rsid w:val="00896298"/>
    <w:rsid w:val="00896380"/>
    <w:rsid w:val="00897660"/>
    <w:rsid w:val="00897AC1"/>
    <w:rsid w:val="008A0C39"/>
    <w:rsid w:val="008A11AA"/>
    <w:rsid w:val="008A163B"/>
    <w:rsid w:val="008A1A2A"/>
    <w:rsid w:val="008A27F3"/>
    <w:rsid w:val="008A2976"/>
    <w:rsid w:val="008A30C2"/>
    <w:rsid w:val="008A3B7A"/>
    <w:rsid w:val="008A3D39"/>
    <w:rsid w:val="008A488A"/>
    <w:rsid w:val="008A4AB7"/>
    <w:rsid w:val="008A514A"/>
    <w:rsid w:val="008A5968"/>
    <w:rsid w:val="008A5CC5"/>
    <w:rsid w:val="008A7100"/>
    <w:rsid w:val="008A735B"/>
    <w:rsid w:val="008A754F"/>
    <w:rsid w:val="008A7F68"/>
    <w:rsid w:val="008B01A1"/>
    <w:rsid w:val="008B0845"/>
    <w:rsid w:val="008B0A98"/>
    <w:rsid w:val="008B0E99"/>
    <w:rsid w:val="008B1183"/>
    <w:rsid w:val="008B13E6"/>
    <w:rsid w:val="008B1F75"/>
    <w:rsid w:val="008B1FD4"/>
    <w:rsid w:val="008B36D8"/>
    <w:rsid w:val="008B3ABB"/>
    <w:rsid w:val="008B3F30"/>
    <w:rsid w:val="008B57B6"/>
    <w:rsid w:val="008B6DED"/>
    <w:rsid w:val="008B7577"/>
    <w:rsid w:val="008B78DC"/>
    <w:rsid w:val="008B79E2"/>
    <w:rsid w:val="008B7A94"/>
    <w:rsid w:val="008C14F1"/>
    <w:rsid w:val="008C1601"/>
    <w:rsid w:val="008C225B"/>
    <w:rsid w:val="008C330C"/>
    <w:rsid w:val="008C3935"/>
    <w:rsid w:val="008C422D"/>
    <w:rsid w:val="008C4434"/>
    <w:rsid w:val="008C5009"/>
    <w:rsid w:val="008C5309"/>
    <w:rsid w:val="008C56ED"/>
    <w:rsid w:val="008C66B3"/>
    <w:rsid w:val="008C694C"/>
    <w:rsid w:val="008C6B9A"/>
    <w:rsid w:val="008C6E3B"/>
    <w:rsid w:val="008C6E41"/>
    <w:rsid w:val="008C6EEA"/>
    <w:rsid w:val="008C7347"/>
    <w:rsid w:val="008D0332"/>
    <w:rsid w:val="008D1A61"/>
    <w:rsid w:val="008D2955"/>
    <w:rsid w:val="008D2A75"/>
    <w:rsid w:val="008D2F18"/>
    <w:rsid w:val="008D3587"/>
    <w:rsid w:val="008D6715"/>
    <w:rsid w:val="008D7074"/>
    <w:rsid w:val="008D795E"/>
    <w:rsid w:val="008E02F2"/>
    <w:rsid w:val="008E0CA3"/>
    <w:rsid w:val="008E1285"/>
    <w:rsid w:val="008E1E45"/>
    <w:rsid w:val="008E2548"/>
    <w:rsid w:val="008E26A1"/>
    <w:rsid w:val="008E2B95"/>
    <w:rsid w:val="008E2CD8"/>
    <w:rsid w:val="008E2D0E"/>
    <w:rsid w:val="008E2F98"/>
    <w:rsid w:val="008E3AA3"/>
    <w:rsid w:val="008E3AC3"/>
    <w:rsid w:val="008E40DB"/>
    <w:rsid w:val="008E56FD"/>
    <w:rsid w:val="008E5907"/>
    <w:rsid w:val="008E6F03"/>
    <w:rsid w:val="008E6F9E"/>
    <w:rsid w:val="008E72D3"/>
    <w:rsid w:val="008F1042"/>
    <w:rsid w:val="008F120A"/>
    <w:rsid w:val="008F1C7D"/>
    <w:rsid w:val="008F2ACE"/>
    <w:rsid w:val="008F2C63"/>
    <w:rsid w:val="008F2E70"/>
    <w:rsid w:val="008F49FC"/>
    <w:rsid w:val="008F5022"/>
    <w:rsid w:val="008F6F8B"/>
    <w:rsid w:val="009007E2"/>
    <w:rsid w:val="009008A4"/>
    <w:rsid w:val="00900CC5"/>
    <w:rsid w:val="00900F43"/>
    <w:rsid w:val="0090101F"/>
    <w:rsid w:val="00901BF1"/>
    <w:rsid w:val="00901DB7"/>
    <w:rsid w:val="0090232A"/>
    <w:rsid w:val="00902E5F"/>
    <w:rsid w:val="00903076"/>
    <w:rsid w:val="00904465"/>
    <w:rsid w:val="0090596B"/>
    <w:rsid w:val="00905983"/>
    <w:rsid w:val="009067D0"/>
    <w:rsid w:val="009069E0"/>
    <w:rsid w:val="0090766C"/>
    <w:rsid w:val="009077F5"/>
    <w:rsid w:val="009105BE"/>
    <w:rsid w:val="009114E7"/>
    <w:rsid w:val="0091182F"/>
    <w:rsid w:val="00911853"/>
    <w:rsid w:val="00912C41"/>
    <w:rsid w:val="00912DBA"/>
    <w:rsid w:val="009139F8"/>
    <w:rsid w:val="00913D48"/>
    <w:rsid w:val="0091485C"/>
    <w:rsid w:val="0091495E"/>
    <w:rsid w:val="009161D7"/>
    <w:rsid w:val="00916381"/>
    <w:rsid w:val="0091663D"/>
    <w:rsid w:val="00916939"/>
    <w:rsid w:val="00916AF0"/>
    <w:rsid w:val="00916B7F"/>
    <w:rsid w:val="00917318"/>
    <w:rsid w:val="009174D5"/>
    <w:rsid w:val="00917B15"/>
    <w:rsid w:val="00917B97"/>
    <w:rsid w:val="009211CE"/>
    <w:rsid w:val="00921496"/>
    <w:rsid w:val="00921B96"/>
    <w:rsid w:val="00922153"/>
    <w:rsid w:val="00922178"/>
    <w:rsid w:val="009222EB"/>
    <w:rsid w:val="009227D1"/>
    <w:rsid w:val="00922A94"/>
    <w:rsid w:val="0092447A"/>
    <w:rsid w:val="00925009"/>
    <w:rsid w:val="00927652"/>
    <w:rsid w:val="0093058A"/>
    <w:rsid w:val="00930733"/>
    <w:rsid w:val="0093094A"/>
    <w:rsid w:val="00930F41"/>
    <w:rsid w:val="0093186B"/>
    <w:rsid w:val="00932CF1"/>
    <w:rsid w:val="00934EE3"/>
    <w:rsid w:val="00936EEB"/>
    <w:rsid w:val="00937D75"/>
    <w:rsid w:val="00937EDF"/>
    <w:rsid w:val="00940553"/>
    <w:rsid w:val="009416EB"/>
    <w:rsid w:val="009420BE"/>
    <w:rsid w:val="00942B71"/>
    <w:rsid w:val="00942FF6"/>
    <w:rsid w:val="00943602"/>
    <w:rsid w:val="00943779"/>
    <w:rsid w:val="00943C04"/>
    <w:rsid w:val="00944662"/>
    <w:rsid w:val="00945FD0"/>
    <w:rsid w:val="00947532"/>
    <w:rsid w:val="00947CF6"/>
    <w:rsid w:val="00947D3A"/>
    <w:rsid w:val="00947D73"/>
    <w:rsid w:val="009515BB"/>
    <w:rsid w:val="00951CAA"/>
    <w:rsid w:val="009525BB"/>
    <w:rsid w:val="00952916"/>
    <w:rsid w:val="00952AB3"/>
    <w:rsid w:val="00952D58"/>
    <w:rsid w:val="00953A28"/>
    <w:rsid w:val="00956516"/>
    <w:rsid w:val="0095680A"/>
    <w:rsid w:val="00956977"/>
    <w:rsid w:val="00956FF0"/>
    <w:rsid w:val="00960FC2"/>
    <w:rsid w:val="00961879"/>
    <w:rsid w:val="00961980"/>
    <w:rsid w:val="00961B99"/>
    <w:rsid w:val="00962235"/>
    <w:rsid w:val="00962874"/>
    <w:rsid w:val="00963BCD"/>
    <w:rsid w:val="0096427A"/>
    <w:rsid w:val="009643E5"/>
    <w:rsid w:val="00964695"/>
    <w:rsid w:val="009658B0"/>
    <w:rsid w:val="00965C62"/>
    <w:rsid w:val="009661F9"/>
    <w:rsid w:val="009670A4"/>
    <w:rsid w:val="009670C7"/>
    <w:rsid w:val="0096735F"/>
    <w:rsid w:val="00967788"/>
    <w:rsid w:val="00967992"/>
    <w:rsid w:val="00967D18"/>
    <w:rsid w:val="00967F26"/>
    <w:rsid w:val="00970954"/>
    <w:rsid w:val="00970B4E"/>
    <w:rsid w:val="00973728"/>
    <w:rsid w:val="00974BC5"/>
    <w:rsid w:val="00976971"/>
    <w:rsid w:val="00977149"/>
    <w:rsid w:val="00977539"/>
    <w:rsid w:val="0097794E"/>
    <w:rsid w:val="00977A91"/>
    <w:rsid w:val="009809D9"/>
    <w:rsid w:val="00981717"/>
    <w:rsid w:val="0098359B"/>
    <w:rsid w:val="009847C0"/>
    <w:rsid w:val="00984CB5"/>
    <w:rsid w:val="0098624E"/>
    <w:rsid w:val="0098637A"/>
    <w:rsid w:val="00987774"/>
    <w:rsid w:val="00987E91"/>
    <w:rsid w:val="00990271"/>
    <w:rsid w:val="00990D88"/>
    <w:rsid w:val="009943D7"/>
    <w:rsid w:val="009959D7"/>
    <w:rsid w:val="00995FDF"/>
    <w:rsid w:val="00997356"/>
    <w:rsid w:val="00997444"/>
    <w:rsid w:val="009A2C99"/>
    <w:rsid w:val="009A2D7E"/>
    <w:rsid w:val="009A3838"/>
    <w:rsid w:val="009A3E2A"/>
    <w:rsid w:val="009A479D"/>
    <w:rsid w:val="009A489E"/>
    <w:rsid w:val="009A4926"/>
    <w:rsid w:val="009A52BB"/>
    <w:rsid w:val="009A5EF1"/>
    <w:rsid w:val="009A612D"/>
    <w:rsid w:val="009A63BC"/>
    <w:rsid w:val="009A716F"/>
    <w:rsid w:val="009B079A"/>
    <w:rsid w:val="009B0DC6"/>
    <w:rsid w:val="009B0E99"/>
    <w:rsid w:val="009B19EB"/>
    <w:rsid w:val="009B1F20"/>
    <w:rsid w:val="009B245B"/>
    <w:rsid w:val="009B3A9A"/>
    <w:rsid w:val="009B3C57"/>
    <w:rsid w:val="009B406D"/>
    <w:rsid w:val="009B4609"/>
    <w:rsid w:val="009B5CBC"/>
    <w:rsid w:val="009B5E37"/>
    <w:rsid w:val="009B6B76"/>
    <w:rsid w:val="009B7F59"/>
    <w:rsid w:val="009C08DB"/>
    <w:rsid w:val="009C0C71"/>
    <w:rsid w:val="009C1821"/>
    <w:rsid w:val="009C290B"/>
    <w:rsid w:val="009C30E3"/>
    <w:rsid w:val="009C3304"/>
    <w:rsid w:val="009C3DD6"/>
    <w:rsid w:val="009C408D"/>
    <w:rsid w:val="009C47B1"/>
    <w:rsid w:val="009C560E"/>
    <w:rsid w:val="009C5781"/>
    <w:rsid w:val="009C5DAE"/>
    <w:rsid w:val="009C5F28"/>
    <w:rsid w:val="009C77B1"/>
    <w:rsid w:val="009C7931"/>
    <w:rsid w:val="009C79DC"/>
    <w:rsid w:val="009C7F90"/>
    <w:rsid w:val="009D1006"/>
    <w:rsid w:val="009D10AD"/>
    <w:rsid w:val="009D1273"/>
    <w:rsid w:val="009D15EC"/>
    <w:rsid w:val="009D2297"/>
    <w:rsid w:val="009D28F6"/>
    <w:rsid w:val="009D29C8"/>
    <w:rsid w:val="009D2D26"/>
    <w:rsid w:val="009D3A95"/>
    <w:rsid w:val="009D4DFB"/>
    <w:rsid w:val="009D51FF"/>
    <w:rsid w:val="009D5419"/>
    <w:rsid w:val="009D57D6"/>
    <w:rsid w:val="009D5848"/>
    <w:rsid w:val="009D5B3C"/>
    <w:rsid w:val="009D5DFD"/>
    <w:rsid w:val="009D6156"/>
    <w:rsid w:val="009D6192"/>
    <w:rsid w:val="009D624D"/>
    <w:rsid w:val="009D6451"/>
    <w:rsid w:val="009D7228"/>
    <w:rsid w:val="009E275E"/>
    <w:rsid w:val="009E2A34"/>
    <w:rsid w:val="009E5FF1"/>
    <w:rsid w:val="009E638C"/>
    <w:rsid w:val="009E64D2"/>
    <w:rsid w:val="009E670C"/>
    <w:rsid w:val="009E7226"/>
    <w:rsid w:val="009E7593"/>
    <w:rsid w:val="009E7B00"/>
    <w:rsid w:val="009F0EB6"/>
    <w:rsid w:val="009F118A"/>
    <w:rsid w:val="009F17C3"/>
    <w:rsid w:val="009F2B10"/>
    <w:rsid w:val="009F3338"/>
    <w:rsid w:val="009F34D7"/>
    <w:rsid w:val="009F403F"/>
    <w:rsid w:val="009F440D"/>
    <w:rsid w:val="009F59A9"/>
    <w:rsid w:val="009F655F"/>
    <w:rsid w:val="009F77F6"/>
    <w:rsid w:val="00A0059E"/>
    <w:rsid w:val="00A0065B"/>
    <w:rsid w:val="00A00AD6"/>
    <w:rsid w:val="00A01917"/>
    <w:rsid w:val="00A01B5E"/>
    <w:rsid w:val="00A01E2A"/>
    <w:rsid w:val="00A02032"/>
    <w:rsid w:val="00A0241F"/>
    <w:rsid w:val="00A02C18"/>
    <w:rsid w:val="00A02CA7"/>
    <w:rsid w:val="00A02D97"/>
    <w:rsid w:val="00A0302C"/>
    <w:rsid w:val="00A04648"/>
    <w:rsid w:val="00A04F05"/>
    <w:rsid w:val="00A05C85"/>
    <w:rsid w:val="00A067B3"/>
    <w:rsid w:val="00A06A75"/>
    <w:rsid w:val="00A06E3C"/>
    <w:rsid w:val="00A06EB5"/>
    <w:rsid w:val="00A077B6"/>
    <w:rsid w:val="00A07DC6"/>
    <w:rsid w:val="00A1018B"/>
    <w:rsid w:val="00A11738"/>
    <w:rsid w:val="00A11B7F"/>
    <w:rsid w:val="00A11D15"/>
    <w:rsid w:val="00A11E2E"/>
    <w:rsid w:val="00A1245B"/>
    <w:rsid w:val="00A12995"/>
    <w:rsid w:val="00A13291"/>
    <w:rsid w:val="00A1343E"/>
    <w:rsid w:val="00A13C20"/>
    <w:rsid w:val="00A13EC5"/>
    <w:rsid w:val="00A14BF2"/>
    <w:rsid w:val="00A154BC"/>
    <w:rsid w:val="00A15867"/>
    <w:rsid w:val="00A16CCD"/>
    <w:rsid w:val="00A17099"/>
    <w:rsid w:val="00A17A49"/>
    <w:rsid w:val="00A17DDD"/>
    <w:rsid w:val="00A20126"/>
    <w:rsid w:val="00A20A09"/>
    <w:rsid w:val="00A20A5A"/>
    <w:rsid w:val="00A20B8C"/>
    <w:rsid w:val="00A20BD2"/>
    <w:rsid w:val="00A20DBE"/>
    <w:rsid w:val="00A210DF"/>
    <w:rsid w:val="00A212F9"/>
    <w:rsid w:val="00A21DEE"/>
    <w:rsid w:val="00A22014"/>
    <w:rsid w:val="00A22D37"/>
    <w:rsid w:val="00A24680"/>
    <w:rsid w:val="00A2532E"/>
    <w:rsid w:val="00A2647A"/>
    <w:rsid w:val="00A2655A"/>
    <w:rsid w:val="00A27094"/>
    <w:rsid w:val="00A2729A"/>
    <w:rsid w:val="00A27538"/>
    <w:rsid w:val="00A27AB9"/>
    <w:rsid w:val="00A3003D"/>
    <w:rsid w:val="00A3020D"/>
    <w:rsid w:val="00A307FD"/>
    <w:rsid w:val="00A30853"/>
    <w:rsid w:val="00A308FE"/>
    <w:rsid w:val="00A329A9"/>
    <w:rsid w:val="00A337D7"/>
    <w:rsid w:val="00A34131"/>
    <w:rsid w:val="00A34BE2"/>
    <w:rsid w:val="00A34D66"/>
    <w:rsid w:val="00A35125"/>
    <w:rsid w:val="00A35460"/>
    <w:rsid w:val="00A35792"/>
    <w:rsid w:val="00A370F4"/>
    <w:rsid w:val="00A3776B"/>
    <w:rsid w:val="00A40497"/>
    <w:rsid w:val="00A41FA6"/>
    <w:rsid w:val="00A421E8"/>
    <w:rsid w:val="00A45049"/>
    <w:rsid w:val="00A46CCA"/>
    <w:rsid w:val="00A470CE"/>
    <w:rsid w:val="00A471A3"/>
    <w:rsid w:val="00A4723C"/>
    <w:rsid w:val="00A47D3D"/>
    <w:rsid w:val="00A501A9"/>
    <w:rsid w:val="00A51064"/>
    <w:rsid w:val="00A51137"/>
    <w:rsid w:val="00A51633"/>
    <w:rsid w:val="00A51965"/>
    <w:rsid w:val="00A51CF9"/>
    <w:rsid w:val="00A51F82"/>
    <w:rsid w:val="00A52D48"/>
    <w:rsid w:val="00A5352C"/>
    <w:rsid w:val="00A53929"/>
    <w:rsid w:val="00A53FD0"/>
    <w:rsid w:val="00A5403F"/>
    <w:rsid w:val="00A54061"/>
    <w:rsid w:val="00A544DC"/>
    <w:rsid w:val="00A54DB8"/>
    <w:rsid w:val="00A5653F"/>
    <w:rsid w:val="00A6296D"/>
    <w:rsid w:val="00A6306D"/>
    <w:rsid w:val="00A6309D"/>
    <w:rsid w:val="00A63E54"/>
    <w:rsid w:val="00A64048"/>
    <w:rsid w:val="00A654BC"/>
    <w:rsid w:val="00A658EA"/>
    <w:rsid w:val="00A65EA6"/>
    <w:rsid w:val="00A66324"/>
    <w:rsid w:val="00A666F7"/>
    <w:rsid w:val="00A671AF"/>
    <w:rsid w:val="00A67293"/>
    <w:rsid w:val="00A7053C"/>
    <w:rsid w:val="00A707E0"/>
    <w:rsid w:val="00A70A75"/>
    <w:rsid w:val="00A7111D"/>
    <w:rsid w:val="00A71704"/>
    <w:rsid w:val="00A71FD5"/>
    <w:rsid w:val="00A72977"/>
    <w:rsid w:val="00A72CDF"/>
    <w:rsid w:val="00A73366"/>
    <w:rsid w:val="00A7361D"/>
    <w:rsid w:val="00A73912"/>
    <w:rsid w:val="00A744FD"/>
    <w:rsid w:val="00A7462D"/>
    <w:rsid w:val="00A75543"/>
    <w:rsid w:val="00A764CF"/>
    <w:rsid w:val="00A800B6"/>
    <w:rsid w:val="00A804AE"/>
    <w:rsid w:val="00A804F6"/>
    <w:rsid w:val="00A80908"/>
    <w:rsid w:val="00A811AB"/>
    <w:rsid w:val="00A81B89"/>
    <w:rsid w:val="00A81E7C"/>
    <w:rsid w:val="00A8247B"/>
    <w:rsid w:val="00A82DA9"/>
    <w:rsid w:val="00A83FFB"/>
    <w:rsid w:val="00A84090"/>
    <w:rsid w:val="00A84382"/>
    <w:rsid w:val="00A849D1"/>
    <w:rsid w:val="00A85574"/>
    <w:rsid w:val="00A85BEE"/>
    <w:rsid w:val="00A85E6D"/>
    <w:rsid w:val="00A864F4"/>
    <w:rsid w:val="00A86635"/>
    <w:rsid w:val="00A86A4B"/>
    <w:rsid w:val="00A86C67"/>
    <w:rsid w:val="00A87567"/>
    <w:rsid w:val="00A87952"/>
    <w:rsid w:val="00A87BEA"/>
    <w:rsid w:val="00A87FB3"/>
    <w:rsid w:val="00A906B2"/>
    <w:rsid w:val="00A90B27"/>
    <w:rsid w:val="00A91C7B"/>
    <w:rsid w:val="00A92100"/>
    <w:rsid w:val="00A92BB6"/>
    <w:rsid w:val="00A92C9C"/>
    <w:rsid w:val="00A9344C"/>
    <w:rsid w:val="00A93D54"/>
    <w:rsid w:val="00A93FAB"/>
    <w:rsid w:val="00A94434"/>
    <w:rsid w:val="00A947A9"/>
    <w:rsid w:val="00A956CA"/>
    <w:rsid w:val="00A95F1B"/>
    <w:rsid w:val="00A96180"/>
    <w:rsid w:val="00A9655E"/>
    <w:rsid w:val="00A96AF9"/>
    <w:rsid w:val="00A97384"/>
    <w:rsid w:val="00A97EC8"/>
    <w:rsid w:val="00AA000D"/>
    <w:rsid w:val="00AA0B79"/>
    <w:rsid w:val="00AA0DA3"/>
    <w:rsid w:val="00AA125A"/>
    <w:rsid w:val="00AA1A91"/>
    <w:rsid w:val="00AA1C86"/>
    <w:rsid w:val="00AA1F9A"/>
    <w:rsid w:val="00AA24A6"/>
    <w:rsid w:val="00AA2ECE"/>
    <w:rsid w:val="00AA35F1"/>
    <w:rsid w:val="00AA3845"/>
    <w:rsid w:val="00AA4E65"/>
    <w:rsid w:val="00AA7547"/>
    <w:rsid w:val="00AA77B5"/>
    <w:rsid w:val="00AB037F"/>
    <w:rsid w:val="00AB0AF9"/>
    <w:rsid w:val="00AB1779"/>
    <w:rsid w:val="00AB2105"/>
    <w:rsid w:val="00AB2550"/>
    <w:rsid w:val="00AB268F"/>
    <w:rsid w:val="00AB279E"/>
    <w:rsid w:val="00AB2961"/>
    <w:rsid w:val="00AB2985"/>
    <w:rsid w:val="00AB3194"/>
    <w:rsid w:val="00AB34CB"/>
    <w:rsid w:val="00AB3D7F"/>
    <w:rsid w:val="00AB410C"/>
    <w:rsid w:val="00AB484A"/>
    <w:rsid w:val="00AB4E1B"/>
    <w:rsid w:val="00AB4E68"/>
    <w:rsid w:val="00AB5ED7"/>
    <w:rsid w:val="00AB5F07"/>
    <w:rsid w:val="00AB60A8"/>
    <w:rsid w:val="00AB6302"/>
    <w:rsid w:val="00AB6921"/>
    <w:rsid w:val="00AB7301"/>
    <w:rsid w:val="00AB77CD"/>
    <w:rsid w:val="00AB7B0E"/>
    <w:rsid w:val="00AB7EDA"/>
    <w:rsid w:val="00AC06BE"/>
    <w:rsid w:val="00AC0BBF"/>
    <w:rsid w:val="00AC0E23"/>
    <w:rsid w:val="00AC1145"/>
    <w:rsid w:val="00AC21E9"/>
    <w:rsid w:val="00AC3537"/>
    <w:rsid w:val="00AC3827"/>
    <w:rsid w:val="00AC40FA"/>
    <w:rsid w:val="00AC499E"/>
    <w:rsid w:val="00AC5065"/>
    <w:rsid w:val="00AC52DE"/>
    <w:rsid w:val="00AC5660"/>
    <w:rsid w:val="00AC5B0D"/>
    <w:rsid w:val="00AC6BC5"/>
    <w:rsid w:val="00AC720F"/>
    <w:rsid w:val="00AC7347"/>
    <w:rsid w:val="00AC778A"/>
    <w:rsid w:val="00AD02D7"/>
    <w:rsid w:val="00AD061A"/>
    <w:rsid w:val="00AD08AE"/>
    <w:rsid w:val="00AD08CF"/>
    <w:rsid w:val="00AD1401"/>
    <w:rsid w:val="00AD2E87"/>
    <w:rsid w:val="00AD30D5"/>
    <w:rsid w:val="00AD39ED"/>
    <w:rsid w:val="00AD4090"/>
    <w:rsid w:val="00AD47F0"/>
    <w:rsid w:val="00AD5511"/>
    <w:rsid w:val="00AD5B2A"/>
    <w:rsid w:val="00AD68ED"/>
    <w:rsid w:val="00AD6C1D"/>
    <w:rsid w:val="00AD7AA2"/>
    <w:rsid w:val="00AD7C9B"/>
    <w:rsid w:val="00AE0BD2"/>
    <w:rsid w:val="00AE0DA3"/>
    <w:rsid w:val="00AE1BF2"/>
    <w:rsid w:val="00AE2300"/>
    <w:rsid w:val="00AE2F02"/>
    <w:rsid w:val="00AE32A4"/>
    <w:rsid w:val="00AE482E"/>
    <w:rsid w:val="00AE5775"/>
    <w:rsid w:val="00AE5EF4"/>
    <w:rsid w:val="00AE6FAD"/>
    <w:rsid w:val="00AE7066"/>
    <w:rsid w:val="00AE776C"/>
    <w:rsid w:val="00AE7997"/>
    <w:rsid w:val="00AF0152"/>
    <w:rsid w:val="00AF0208"/>
    <w:rsid w:val="00AF058A"/>
    <w:rsid w:val="00AF0A9F"/>
    <w:rsid w:val="00AF0C35"/>
    <w:rsid w:val="00AF22B1"/>
    <w:rsid w:val="00AF2833"/>
    <w:rsid w:val="00AF2F99"/>
    <w:rsid w:val="00AF34AC"/>
    <w:rsid w:val="00AF3777"/>
    <w:rsid w:val="00AF38B2"/>
    <w:rsid w:val="00AF3C93"/>
    <w:rsid w:val="00AF4B51"/>
    <w:rsid w:val="00AF69D7"/>
    <w:rsid w:val="00AF6EE1"/>
    <w:rsid w:val="00B00995"/>
    <w:rsid w:val="00B0150B"/>
    <w:rsid w:val="00B01F52"/>
    <w:rsid w:val="00B02ABF"/>
    <w:rsid w:val="00B0312F"/>
    <w:rsid w:val="00B03BF4"/>
    <w:rsid w:val="00B03CB7"/>
    <w:rsid w:val="00B041CB"/>
    <w:rsid w:val="00B042B3"/>
    <w:rsid w:val="00B04D51"/>
    <w:rsid w:val="00B05135"/>
    <w:rsid w:val="00B06145"/>
    <w:rsid w:val="00B06156"/>
    <w:rsid w:val="00B06493"/>
    <w:rsid w:val="00B072B3"/>
    <w:rsid w:val="00B07348"/>
    <w:rsid w:val="00B107E1"/>
    <w:rsid w:val="00B10C82"/>
    <w:rsid w:val="00B10E08"/>
    <w:rsid w:val="00B11EBE"/>
    <w:rsid w:val="00B12070"/>
    <w:rsid w:val="00B128FB"/>
    <w:rsid w:val="00B12C40"/>
    <w:rsid w:val="00B13768"/>
    <w:rsid w:val="00B1377D"/>
    <w:rsid w:val="00B1381B"/>
    <w:rsid w:val="00B13FA1"/>
    <w:rsid w:val="00B1429D"/>
    <w:rsid w:val="00B143AD"/>
    <w:rsid w:val="00B146A9"/>
    <w:rsid w:val="00B14D9F"/>
    <w:rsid w:val="00B15452"/>
    <w:rsid w:val="00B15BD2"/>
    <w:rsid w:val="00B15DC0"/>
    <w:rsid w:val="00B16507"/>
    <w:rsid w:val="00B16EC3"/>
    <w:rsid w:val="00B1748C"/>
    <w:rsid w:val="00B21DFD"/>
    <w:rsid w:val="00B21E64"/>
    <w:rsid w:val="00B21F8B"/>
    <w:rsid w:val="00B233CB"/>
    <w:rsid w:val="00B23713"/>
    <w:rsid w:val="00B24947"/>
    <w:rsid w:val="00B25E45"/>
    <w:rsid w:val="00B26496"/>
    <w:rsid w:val="00B26526"/>
    <w:rsid w:val="00B2693F"/>
    <w:rsid w:val="00B26D9A"/>
    <w:rsid w:val="00B33FD0"/>
    <w:rsid w:val="00B3423F"/>
    <w:rsid w:val="00B353DD"/>
    <w:rsid w:val="00B35639"/>
    <w:rsid w:val="00B35B44"/>
    <w:rsid w:val="00B35B8F"/>
    <w:rsid w:val="00B35EBC"/>
    <w:rsid w:val="00B3654C"/>
    <w:rsid w:val="00B36C9F"/>
    <w:rsid w:val="00B3784A"/>
    <w:rsid w:val="00B37933"/>
    <w:rsid w:val="00B37BC0"/>
    <w:rsid w:val="00B37BC3"/>
    <w:rsid w:val="00B40E99"/>
    <w:rsid w:val="00B40F26"/>
    <w:rsid w:val="00B40FAB"/>
    <w:rsid w:val="00B41A23"/>
    <w:rsid w:val="00B41B6F"/>
    <w:rsid w:val="00B42138"/>
    <w:rsid w:val="00B42A38"/>
    <w:rsid w:val="00B42C79"/>
    <w:rsid w:val="00B42E13"/>
    <w:rsid w:val="00B42EAF"/>
    <w:rsid w:val="00B42F65"/>
    <w:rsid w:val="00B432C8"/>
    <w:rsid w:val="00B43ED2"/>
    <w:rsid w:val="00B44882"/>
    <w:rsid w:val="00B44A53"/>
    <w:rsid w:val="00B46387"/>
    <w:rsid w:val="00B466D0"/>
    <w:rsid w:val="00B46B48"/>
    <w:rsid w:val="00B46BEE"/>
    <w:rsid w:val="00B471E1"/>
    <w:rsid w:val="00B472B7"/>
    <w:rsid w:val="00B47520"/>
    <w:rsid w:val="00B4759A"/>
    <w:rsid w:val="00B47A4B"/>
    <w:rsid w:val="00B50173"/>
    <w:rsid w:val="00B508A6"/>
    <w:rsid w:val="00B50FDB"/>
    <w:rsid w:val="00B51476"/>
    <w:rsid w:val="00B51647"/>
    <w:rsid w:val="00B5164C"/>
    <w:rsid w:val="00B52130"/>
    <w:rsid w:val="00B54008"/>
    <w:rsid w:val="00B546C1"/>
    <w:rsid w:val="00B5520A"/>
    <w:rsid w:val="00B55677"/>
    <w:rsid w:val="00B55ABA"/>
    <w:rsid w:val="00B57113"/>
    <w:rsid w:val="00B572F7"/>
    <w:rsid w:val="00B575DB"/>
    <w:rsid w:val="00B60778"/>
    <w:rsid w:val="00B61690"/>
    <w:rsid w:val="00B61BC6"/>
    <w:rsid w:val="00B627B7"/>
    <w:rsid w:val="00B62AF8"/>
    <w:rsid w:val="00B62D04"/>
    <w:rsid w:val="00B63042"/>
    <w:rsid w:val="00B63268"/>
    <w:rsid w:val="00B633D7"/>
    <w:rsid w:val="00B63E59"/>
    <w:rsid w:val="00B64A11"/>
    <w:rsid w:val="00B6596E"/>
    <w:rsid w:val="00B67E59"/>
    <w:rsid w:val="00B67F6C"/>
    <w:rsid w:val="00B7259D"/>
    <w:rsid w:val="00B727A4"/>
    <w:rsid w:val="00B73F05"/>
    <w:rsid w:val="00B7527B"/>
    <w:rsid w:val="00B75E70"/>
    <w:rsid w:val="00B76674"/>
    <w:rsid w:val="00B766F2"/>
    <w:rsid w:val="00B76DD5"/>
    <w:rsid w:val="00B771F3"/>
    <w:rsid w:val="00B77414"/>
    <w:rsid w:val="00B77AC3"/>
    <w:rsid w:val="00B802E1"/>
    <w:rsid w:val="00B8089B"/>
    <w:rsid w:val="00B823DD"/>
    <w:rsid w:val="00B82664"/>
    <w:rsid w:val="00B83699"/>
    <w:rsid w:val="00B83FCE"/>
    <w:rsid w:val="00B84260"/>
    <w:rsid w:val="00B84301"/>
    <w:rsid w:val="00B848A1"/>
    <w:rsid w:val="00B858C3"/>
    <w:rsid w:val="00B85AC3"/>
    <w:rsid w:val="00B870D7"/>
    <w:rsid w:val="00B87568"/>
    <w:rsid w:val="00B875DA"/>
    <w:rsid w:val="00B9014D"/>
    <w:rsid w:val="00B902B1"/>
    <w:rsid w:val="00B90406"/>
    <w:rsid w:val="00B90A80"/>
    <w:rsid w:val="00B90C38"/>
    <w:rsid w:val="00B910C8"/>
    <w:rsid w:val="00B91765"/>
    <w:rsid w:val="00B91807"/>
    <w:rsid w:val="00B919AE"/>
    <w:rsid w:val="00B920F2"/>
    <w:rsid w:val="00B93170"/>
    <w:rsid w:val="00B93876"/>
    <w:rsid w:val="00B93D0B"/>
    <w:rsid w:val="00B949C2"/>
    <w:rsid w:val="00B95CAC"/>
    <w:rsid w:val="00B962A8"/>
    <w:rsid w:val="00B97279"/>
    <w:rsid w:val="00B977F9"/>
    <w:rsid w:val="00B97982"/>
    <w:rsid w:val="00BA1D43"/>
    <w:rsid w:val="00BA2965"/>
    <w:rsid w:val="00BA2C1D"/>
    <w:rsid w:val="00BA339D"/>
    <w:rsid w:val="00BA409B"/>
    <w:rsid w:val="00BA4225"/>
    <w:rsid w:val="00BA48DB"/>
    <w:rsid w:val="00BA5C14"/>
    <w:rsid w:val="00BA6413"/>
    <w:rsid w:val="00BA6AD7"/>
    <w:rsid w:val="00BA71DD"/>
    <w:rsid w:val="00BA77BB"/>
    <w:rsid w:val="00BA79D3"/>
    <w:rsid w:val="00BB0A8E"/>
    <w:rsid w:val="00BB2660"/>
    <w:rsid w:val="00BB2DD0"/>
    <w:rsid w:val="00BB3D52"/>
    <w:rsid w:val="00BB4270"/>
    <w:rsid w:val="00BB48F5"/>
    <w:rsid w:val="00BB4982"/>
    <w:rsid w:val="00BB49EE"/>
    <w:rsid w:val="00BB5256"/>
    <w:rsid w:val="00BB59D7"/>
    <w:rsid w:val="00BB65A4"/>
    <w:rsid w:val="00BB70D6"/>
    <w:rsid w:val="00BB7A11"/>
    <w:rsid w:val="00BC0D35"/>
    <w:rsid w:val="00BC1DD1"/>
    <w:rsid w:val="00BC2A8D"/>
    <w:rsid w:val="00BC31B5"/>
    <w:rsid w:val="00BC3324"/>
    <w:rsid w:val="00BC3461"/>
    <w:rsid w:val="00BC3884"/>
    <w:rsid w:val="00BC4296"/>
    <w:rsid w:val="00BC5F9C"/>
    <w:rsid w:val="00BC7207"/>
    <w:rsid w:val="00BC75E4"/>
    <w:rsid w:val="00BD0876"/>
    <w:rsid w:val="00BD09F0"/>
    <w:rsid w:val="00BD0B59"/>
    <w:rsid w:val="00BD0BA8"/>
    <w:rsid w:val="00BD12A9"/>
    <w:rsid w:val="00BD133D"/>
    <w:rsid w:val="00BD1381"/>
    <w:rsid w:val="00BD1742"/>
    <w:rsid w:val="00BD1B2D"/>
    <w:rsid w:val="00BD27CE"/>
    <w:rsid w:val="00BD2BEA"/>
    <w:rsid w:val="00BD2D12"/>
    <w:rsid w:val="00BD4053"/>
    <w:rsid w:val="00BD5B2C"/>
    <w:rsid w:val="00BD65F5"/>
    <w:rsid w:val="00BD66E7"/>
    <w:rsid w:val="00BD6835"/>
    <w:rsid w:val="00BD7AE2"/>
    <w:rsid w:val="00BD7EE1"/>
    <w:rsid w:val="00BE05F3"/>
    <w:rsid w:val="00BE0C08"/>
    <w:rsid w:val="00BE1268"/>
    <w:rsid w:val="00BE201D"/>
    <w:rsid w:val="00BE21D3"/>
    <w:rsid w:val="00BE2827"/>
    <w:rsid w:val="00BE2A28"/>
    <w:rsid w:val="00BE2BE6"/>
    <w:rsid w:val="00BE2C92"/>
    <w:rsid w:val="00BE2EEB"/>
    <w:rsid w:val="00BE33B1"/>
    <w:rsid w:val="00BE363D"/>
    <w:rsid w:val="00BE3FD8"/>
    <w:rsid w:val="00BE411F"/>
    <w:rsid w:val="00BE6EF3"/>
    <w:rsid w:val="00BE7B92"/>
    <w:rsid w:val="00BF000A"/>
    <w:rsid w:val="00BF0086"/>
    <w:rsid w:val="00BF047A"/>
    <w:rsid w:val="00BF0CE4"/>
    <w:rsid w:val="00BF12D9"/>
    <w:rsid w:val="00BF24ED"/>
    <w:rsid w:val="00BF2F24"/>
    <w:rsid w:val="00BF304E"/>
    <w:rsid w:val="00BF3F79"/>
    <w:rsid w:val="00BF3FED"/>
    <w:rsid w:val="00BF7092"/>
    <w:rsid w:val="00BF7172"/>
    <w:rsid w:val="00BF7944"/>
    <w:rsid w:val="00C0050D"/>
    <w:rsid w:val="00C007D8"/>
    <w:rsid w:val="00C0115E"/>
    <w:rsid w:val="00C0198D"/>
    <w:rsid w:val="00C035A4"/>
    <w:rsid w:val="00C03689"/>
    <w:rsid w:val="00C03A06"/>
    <w:rsid w:val="00C03DFF"/>
    <w:rsid w:val="00C0480E"/>
    <w:rsid w:val="00C04BDB"/>
    <w:rsid w:val="00C04F8B"/>
    <w:rsid w:val="00C055A9"/>
    <w:rsid w:val="00C055B7"/>
    <w:rsid w:val="00C063DC"/>
    <w:rsid w:val="00C06A37"/>
    <w:rsid w:val="00C076C2"/>
    <w:rsid w:val="00C07E6C"/>
    <w:rsid w:val="00C07F54"/>
    <w:rsid w:val="00C10111"/>
    <w:rsid w:val="00C10677"/>
    <w:rsid w:val="00C108BD"/>
    <w:rsid w:val="00C10B3E"/>
    <w:rsid w:val="00C11258"/>
    <w:rsid w:val="00C117AF"/>
    <w:rsid w:val="00C11D1D"/>
    <w:rsid w:val="00C11DEE"/>
    <w:rsid w:val="00C12C40"/>
    <w:rsid w:val="00C12DC5"/>
    <w:rsid w:val="00C13893"/>
    <w:rsid w:val="00C138C4"/>
    <w:rsid w:val="00C13B62"/>
    <w:rsid w:val="00C15EE4"/>
    <w:rsid w:val="00C16D0B"/>
    <w:rsid w:val="00C17190"/>
    <w:rsid w:val="00C20CA3"/>
    <w:rsid w:val="00C20FE5"/>
    <w:rsid w:val="00C213F7"/>
    <w:rsid w:val="00C2144E"/>
    <w:rsid w:val="00C21CA5"/>
    <w:rsid w:val="00C21FE2"/>
    <w:rsid w:val="00C2228A"/>
    <w:rsid w:val="00C223E8"/>
    <w:rsid w:val="00C22984"/>
    <w:rsid w:val="00C22D99"/>
    <w:rsid w:val="00C23C05"/>
    <w:rsid w:val="00C23E58"/>
    <w:rsid w:val="00C25639"/>
    <w:rsid w:val="00C25D43"/>
    <w:rsid w:val="00C26FF0"/>
    <w:rsid w:val="00C27278"/>
    <w:rsid w:val="00C27F30"/>
    <w:rsid w:val="00C3038B"/>
    <w:rsid w:val="00C303FA"/>
    <w:rsid w:val="00C30D4E"/>
    <w:rsid w:val="00C31003"/>
    <w:rsid w:val="00C3123E"/>
    <w:rsid w:val="00C3153B"/>
    <w:rsid w:val="00C325A6"/>
    <w:rsid w:val="00C32A22"/>
    <w:rsid w:val="00C32C5A"/>
    <w:rsid w:val="00C336FE"/>
    <w:rsid w:val="00C3384A"/>
    <w:rsid w:val="00C33C9E"/>
    <w:rsid w:val="00C34951"/>
    <w:rsid w:val="00C34A0A"/>
    <w:rsid w:val="00C34BA0"/>
    <w:rsid w:val="00C3549D"/>
    <w:rsid w:val="00C355FA"/>
    <w:rsid w:val="00C3653F"/>
    <w:rsid w:val="00C36D36"/>
    <w:rsid w:val="00C36F82"/>
    <w:rsid w:val="00C37743"/>
    <w:rsid w:val="00C378BA"/>
    <w:rsid w:val="00C4075E"/>
    <w:rsid w:val="00C41271"/>
    <w:rsid w:val="00C413E7"/>
    <w:rsid w:val="00C420F8"/>
    <w:rsid w:val="00C42D38"/>
    <w:rsid w:val="00C44348"/>
    <w:rsid w:val="00C44B79"/>
    <w:rsid w:val="00C451FF"/>
    <w:rsid w:val="00C452DB"/>
    <w:rsid w:val="00C46E2A"/>
    <w:rsid w:val="00C46EBE"/>
    <w:rsid w:val="00C473E6"/>
    <w:rsid w:val="00C50780"/>
    <w:rsid w:val="00C507E6"/>
    <w:rsid w:val="00C50C3F"/>
    <w:rsid w:val="00C50D52"/>
    <w:rsid w:val="00C50D9C"/>
    <w:rsid w:val="00C510E0"/>
    <w:rsid w:val="00C5156E"/>
    <w:rsid w:val="00C51800"/>
    <w:rsid w:val="00C52F96"/>
    <w:rsid w:val="00C53793"/>
    <w:rsid w:val="00C53B5D"/>
    <w:rsid w:val="00C54143"/>
    <w:rsid w:val="00C5517C"/>
    <w:rsid w:val="00C559E7"/>
    <w:rsid w:val="00C55CDD"/>
    <w:rsid w:val="00C55EFD"/>
    <w:rsid w:val="00C55FD0"/>
    <w:rsid w:val="00C56E39"/>
    <w:rsid w:val="00C570FC"/>
    <w:rsid w:val="00C57399"/>
    <w:rsid w:val="00C576C1"/>
    <w:rsid w:val="00C6000E"/>
    <w:rsid w:val="00C603A2"/>
    <w:rsid w:val="00C60690"/>
    <w:rsid w:val="00C60809"/>
    <w:rsid w:val="00C60986"/>
    <w:rsid w:val="00C60CAC"/>
    <w:rsid w:val="00C612C3"/>
    <w:rsid w:val="00C61F56"/>
    <w:rsid w:val="00C625ED"/>
    <w:rsid w:val="00C62F6A"/>
    <w:rsid w:val="00C634BB"/>
    <w:rsid w:val="00C6363F"/>
    <w:rsid w:val="00C638DD"/>
    <w:rsid w:val="00C639B4"/>
    <w:rsid w:val="00C63C51"/>
    <w:rsid w:val="00C63E0B"/>
    <w:rsid w:val="00C63F19"/>
    <w:rsid w:val="00C64050"/>
    <w:rsid w:val="00C649A6"/>
    <w:rsid w:val="00C65AEA"/>
    <w:rsid w:val="00C66650"/>
    <w:rsid w:val="00C67852"/>
    <w:rsid w:val="00C70483"/>
    <w:rsid w:val="00C70B59"/>
    <w:rsid w:val="00C71010"/>
    <w:rsid w:val="00C72646"/>
    <w:rsid w:val="00C72668"/>
    <w:rsid w:val="00C729C8"/>
    <w:rsid w:val="00C72F44"/>
    <w:rsid w:val="00C72FCF"/>
    <w:rsid w:val="00C742DA"/>
    <w:rsid w:val="00C74BA9"/>
    <w:rsid w:val="00C75DC2"/>
    <w:rsid w:val="00C76140"/>
    <w:rsid w:val="00C76413"/>
    <w:rsid w:val="00C76C10"/>
    <w:rsid w:val="00C76C6B"/>
    <w:rsid w:val="00C76CBF"/>
    <w:rsid w:val="00C77000"/>
    <w:rsid w:val="00C775DD"/>
    <w:rsid w:val="00C8034B"/>
    <w:rsid w:val="00C825F2"/>
    <w:rsid w:val="00C82868"/>
    <w:rsid w:val="00C82C28"/>
    <w:rsid w:val="00C83229"/>
    <w:rsid w:val="00C832E0"/>
    <w:rsid w:val="00C8332D"/>
    <w:rsid w:val="00C83759"/>
    <w:rsid w:val="00C83C3B"/>
    <w:rsid w:val="00C8415D"/>
    <w:rsid w:val="00C84511"/>
    <w:rsid w:val="00C8466D"/>
    <w:rsid w:val="00C84866"/>
    <w:rsid w:val="00C84908"/>
    <w:rsid w:val="00C84D1B"/>
    <w:rsid w:val="00C850FB"/>
    <w:rsid w:val="00C85121"/>
    <w:rsid w:val="00C8584C"/>
    <w:rsid w:val="00C85ECA"/>
    <w:rsid w:val="00C86228"/>
    <w:rsid w:val="00C8623F"/>
    <w:rsid w:val="00C869C5"/>
    <w:rsid w:val="00C87FF7"/>
    <w:rsid w:val="00C9038B"/>
    <w:rsid w:val="00C903B0"/>
    <w:rsid w:val="00C9062A"/>
    <w:rsid w:val="00C90942"/>
    <w:rsid w:val="00C9172E"/>
    <w:rsid w:val="00C917D6"/>
    <w:rsid w:val="00C921E2"/>
    <w:rsid w:val="00C9243F"/>
    <w:rsid w:val="00C925C1"/>
    <w:rsid w:val="00C92B74"/>
    <w:rsid w:val="00C9404A"/>
    <w:rsid w:val="00C94B96"/>
    <w:rsid w:val="00C950F4"/>
    <w:rsid w:val="00C95102"/>
    <w:rsid w:val="00C95528"/>
    <w:rsid w:val="00C95795"/>
    <w:rsid w:val="00C95CD2"/>
    <w:rsid w:val="00C961E7"/>
    <w:rsid w:val="00C963EC"/>
    <w:rsid w:val="00C96E9B"/>
    <w:rsid w:val="00C97E6D"/>
    <w:rsid w:val="00CA066E"/>
    <w:rsid w:val="00CA08B4"/>
    <w:rsid w:val="00CA0BBA"/>
    <w:rsid w:val="00CA2384"/>
    <w:rsid w:val="00CA2AA9"/>
    <w:rsid w:val="00CA2AC9"/>
    <w:rsid w:val="00CA322F"/>
    <w:rsid w:val="00CA3A15"/>
    <w:rsid w:val="00CA5382"/>
    <w:rsid w:val="00CA59B7"/>
    <w:rsid w:val="00CA5E36"/>
    <w:rsid w:val="00CA6B96"/>
    <w:rsid w:val="00CA6F51"/>
    <w:rsid w:val="00CA752D"/>
    <w:rsid w:val="00CA7A09"/>
    <w:rsid w:val="00CA7ACC"/>
    <w:rsid w:val="00CA7B89"/>
    <w:rsid w:val="00CB11F0"/>
    <w:rsid w:val="00CB1AAB"/>
    <w:rsid w:val="00CB1D2B"/>
    <w:rsid w:val="00CB1DF7"/>
    <w:rsid w:val="00CB3046"/>
    <w:rsid w:val="00CB38DB"/>
    <w:rsid w:val="00CB4515"/>
    <w:rsid w:val="00CB4D0F"/>
    <w:rsid w:val="00CB59A9"/>
    <w:rsid w:val="00CB5AB7"/>
    <w:rsid w:val="00CB5F1E"/>
    <w:rsid w:val="00CB664A"/>
    <w:rsid w:val="00CB665A"/>
    <w:rsid w:val="00CB675E"/>
    <w:rsid w:val="00CB70B3"/>
    <w:rsid w:val="00CC08A1"/>
    <w:rsid w:val="00CC0CF8"/>
    <w:rsid w:val="00CC1759"/>
    <w:rsid w:val="00CC24D5"/>
    <w:rsid w:val="00CC2658"/>
    <w:rsid w:val="00CC351B"/>
    <w:rsid w:val="00CC4542"/>
    <w:rsid w:val="00CC5D02"/>
    <w:rsid w:val="00CC661B"/>
    <w:rsid w:val="00CC79CC"/>
    <w:rsid w:val="00CD0F3B"/>
    <w:rsid w:val="00CD1473"/>
    <w:rsid w:val="00CD1775"/>
    <w:rsid w:val="00CD26D4"/>
    <w:rsid w:val="00CD28A9"/>
    <w:rsid w:val="00CD300D"/>
    <w:rsid w:val="00CD55BE"/>
    <w:rsid w:val="00CD5AC4"/>
    <w:rsid w:val="00CD67E0"/>
    <w:rsid w:val="00CD6C41"/>
    <w:rsid w:val="00CD70F7"/>
    <w:rsid w:val="00CD75A8"/>
    <w:rsid w:val="00CD79C5"/>
    <w:rsid w:val="00CD7DCF"/>
    <w:rsid w:val="00CE0205"/>
    <w:rsid w:val="00CE06C2"/>
    <w:rsid w:val="00CE0BE5"/>
    <w:rsid w:val="00CE2A9E"/>
    <w:rsid w:val="00CE2C0B"/>
    <w:rsid w:val="00CE344D"/>
    <w:rsid w:val="00CE3735"/>
    <w:rsid w:val="00CE472D"/>
    <w:rsid w:val="00CE530B"/>
    <w:rsid w:val="00CE63D5"/>
    <w:rsid w:val="00CE6A50"/>
    <w:rsid w:val="00CE7045"/>
    <w:rsid w:val="00CE7768"/>
    <w:rsid w:val="00CF2E76"/>
    <w:rsid w:val="00CF3A74"/>
    <w:rsid w:val="00CF43A7"/>
    <w:rsid w:val="00CF455F"/>
    <w:rsid w:val="00CF4E3F"/>
    <w:rsid w:val="00CF5111"/>
    <w:rsid w:val="00CF5E01"/>
    <w:rsid w:val="00CF675F"/>
    <w:rsid w:val="00CF7F85"/>
    <w:rsid w:val="00D00DB8"/>
    <w:rsid w:val="00D01B2A"/>
    <w:rsid w:val="00D02508"/>
    <w:rsid w:val="00D0371A"/>
    <w:rsid w:val="00D03C5D"/>
    <w:rsid w:val="00D0407A"/>
    <w:rsid w:val="00D0445F"/>
    <w:rsid w:val="00D04A0A"/>
    <w:rsid w:val="00D04C48"/>
    <w:rsid w:val="00D05028"/>
    <w:rsid w:val="00D05834"/>
    <w:rsid w:val="00D059B7"/>
    <w:rsid w:val="00D065F2"/>
    <w:rsid w:val="00D069D4"/>
    <w:rsid w:val="00D0713A"/>
    <w:rsid w:val="00D07FD3"/>
    <w:rsid w:val="00D10D48"/>
    <w:rsid w:val="00D11B76"/>
    <w:rsid w:val="00D127F7"/>
    <w:rsid w:val="00D12B1C"/>
    <w:rsid w:val="00D12C2D"/>
    <w:rsid w:val="00D13561"/>
    <w:rsid w:val="00D13D3F"/>
    <w:rsid w:val="00D14B4C"/>
    <w:rsid w:val="00D14ECE"/>
    <w:rsid w:val="00D15BAD"/>
    <w:rsid w:val="00D15EBC"/>
    <w:rsid w:val="00D160EE"/>
    <w:rsid w:val="00D164F9"/>
    <w:rsid w:val="00D16801"/>
    <w:rsid w:val="00D16BA2"/>
    <w:rsid w:val="00D17AEE"/>
    <w:rsid w:val="00D215B9"/>
    <w:rsid w:val="00D22064"/>
    <w:rsid w:val="00D23138"/>
    <w:rsid w:val="00D23BF3"/>
    <w:rsid w:val="00D2417E"/>
    <w:rsid w:val="00D26BB2"/>
    <w:rsid w:val="00D26DB4"/>
    <w:rsid w:val="00D277D7"/>
    <w:rsid w:val="00D277F8"/>
    <w:rsid w:val="00D309CE"/>
    <w:rsid w:val="00D30B3E"/>
    <w:rsid w:val="00D33311"/>
    <w:rsid w:val="00D340CD"/>
    <w:rsid w:val="00D34E23"/>
    <w:rsid w:val="00D34E65"/>
    <w:rsid w:val="00D35BC0"/>
    <w:rsid w:val="00D36E1D"/>
    <w:rsid w:val="00D36F66"/>
    <w:rsid w:val="00D37077"/>
    <w:rsid w:val="00D37627"/>
    <w:rsid w:val="00D40147"/>
    <w:rsid w:val="00D404CA"/>
    <w:rsid w:val="00D40763"/>
    <w:rsid w:val="00D408D1"/>
    <w:rsid w:val="00D40CBB"/>
    <w:rsid w:val="00D4158E"/>
    <w:rsid w:val="00D42A38"/>
    <w:rsid w:val="00D4371A"/>
    <w:rsid w:val="00D43E21"/>
    <w:rsid w:val="00D44695"/>
    <w:rsid w:val="00D45317"/>
    <w:rsid w:val="00D45E5B"/>
    <w:rsid w:val="00D46ED2"/>
    <w:rsid w:val="00D47869"/>
    <w:rsid w:val="00D5033E"/>
    <w:rsid w:val="00D506E1"/>
    <w:rsid w:val="00D50DDC"/>
    <w:rsid w:val="00D514CB"/>
    <w:rsid w:val="00D51D56"/>
    <w:rsid w:val="00D522DB"/>
    <w:rsid w:val="00D52C66"/>
    <w:rsid w:val="00D52DDF"/>
    <w:rsid w:val="00D54EB2"/>
    <w:rsid w:val="00D5572C"/>
    <w:rsid w:val="00D568FD"/>
    <w:rsid w:val="00D56F14"/>
    <w:rsid w:val="00D570BA"/>
    <w:rsid w:val="00D5713D"/>
    <w:rsid w:val="00D57AFE"/>
    <w:rsid w:val="00D609B0"/>
    <w:rsid w:val="00D610A8"/>
    <w:rsid w:val="00D6420A"/>
    <w:rsid w:val="00D648AE"/>
    <w:rsid w:val="00D65F4D"/>
    <w:rsid w:val="00D66035"/>
    <w:rsid w:val="00D66126"/>
    <w:rsid w:val="00D66D8F"/>
    <w:rsid w:val="00D66EAE"/>
    <w:rsid w:val="00D67B2A"/>
    <w:rsid w:val="00D67EC3"/>
    <w:rsid w:val="00D7082F"/>
    <w:rsid w:val="00D70A2B"/>
    <w:rsid w:val="00D7108B"/>
    <w:rsid w:val="00D714B1"/>
    <w:rsid w:val="00D720F5"/>
    <w:rsid w:val="00D7265D"/>
    <w:rsid w:val="00D726C5"/>
    <w:rsid w:val="00D73043"/>
    <w:rsid w:val="00D7425B"/>
    <w:rsid w:val="00D753FB"/>
    <w:rsid w:val="00D759AE"/>
    <w:rsid w:val="00D7679F"/>
    <w:rsid w:val="00D76AD9"/>
    <w:rsid w:val="00D80076"/>
    <w:rsid w:val="00D80FEB"/>
    <w:rsid w:val="00D811B2"/>
    <w:rsid w:val="00D812C4"/>
    <w:rsid w:val="00D81A2A"/>
    <w:rsid w:val="00D81B38"/>
    <w:rsid w:val="00D82125"/>
    <w:rsid w:val="00D8322D"/>
    <w:rsid w:val="00D83FEB"/>
    <w:rsid w:val="00D84481"/>
    <w:rsid w:val="00D84CDB"/>
    <w:rsid w:val="00D84D2C"/>
    <w:rsid w:val="00D86D6B"/>
    <w:rsid w:val="00D876D4"/>
    <w:rsid w:val="00D87A7A"/>
    <w:rsid w:val="00D87B0F"/>
    <w:rsid w:val="00D87CA5"/>
    <w:rsid w:val="00D90620"/>
    <w:rsid w:val="00D9075D"/>
    <w:rsid w:val="00D914F1"/>
    <w:rsid w:val="00D928C4"/>
    <w:rsid w:val="00D92E38"/>
    <w:rsid w:val="00D93303"/>
    <w:rsid w:val="00D9331D"/>
    <w:rsid w:val="00D9339A"/>
    <w:rsid w:val="00D935B0"/>
    <w:rsid w:val="00D93DE8"/>
    <w:rsid w:val="00D95ADB"/>
    <w:rsid w:val="00D95BEC"/>
    <w:rsid w:val="00D965DD"/>
    <w:rsid w:val="00D966DF"/>
    <w:rsid w:val="00DA15F3"/>
    <w:rsid w:val="00DA1AE0"/>
    <w:rsid w:val="00DA25F8"/>
    <w:rsid w:val="00DA2C56"/>
    <w:rsid w:val="00DA2DFA"/>
    <w:rsid w:val="00DA3915"/>
    <w:rsid w:val="00DA4B90"/>
    <w:rsid w:val="00DA536F"/>
    <w:rsid w:val="00DA5538"/>
    <w:rsid w:val="00DA581D"/>
    <w:rsid w:val="00DA5CB3"/>
    <w:rsid w:val="00DA648A"/>
    <w:rsid w:val="00DA69F1"/>
    <w:rsid w:val="00DA710F"/>
    <w:rsid w:val="00DA71F2"/>
    <w:rsid w:val="00DB0839"/>
    <w:rsid w:val="00DB0929"/>
    <w:rsid w:val="00DB0B71"/>
    <w:rsid w:val="00DB0DCF"/>
    <w:rsid w:val="00DB1440"/>
    <w:rsid w:val="00DB16BE"/>
    <w:rsid w:val="00DB17A8"/>
    <w:rsid w:val="00DB1A83"/>
    <w:rsid w:val="00DB1CBC"/>
    <w:rsid w:val="00DB26D3"/>
    <w:rsid w:val="00DB31EE"/>
    <w:rsid w:val="00DB5383"/>
    <w:rsid w:val="00DB5631"/>
    <w:rsid w:val="00DB5ADD"/>
    <w:rsid w:val="00DB5BAA"/>
    <w:rsid w:val="00DB7165"/>
    <w:rsid w:val="00DB75E5"/>
    <w:rsid w:val="00DB7B92"/>
    <w:rsid w:val="00DB7E81"/>
    <w:rsid w:val="00DC0DBA"/>
    <w:rsid w:val="00DC1033"/>
    <w:rsid w:val="00DC1799"/>
    <w:rsid w:val="00DC18E3"/>
    <w:rsid w:val="00DC2610"/>
    <w:rsid w:val="00DC2624"/>
    <w:rsid w:val="00DC26BB"/>
    <w:rsid w:val="00DC3100"/>
    <w:rsid w:val="00DC44D8"/>
    <w:rsid w:val="00DC5322"/>
    <w:rsid w:val="00DC5A8D"/>
    <w:rsid w:val="00DC5BF5"/>
    <w:rsid w:val="00DC648D"/>
    <w:rsid w:val="00DC6D5D"/>
    <w:rsid w:val="00DC6DD9"/>
    <w:rsid w:val="00DD0A23"/>
    <w:rsid w:val="00DD1D73"/>
    <w:rsid w:val="00DD2003"/>
    <w:rsid w:val="00DD226E"/>
    <w:rsid w:val="00DD257C"/>
    <w:rsid w:val="00DD2615"/>
    <w:rsid w:val="00DD2824"/>
    <w:rsid w:val="00DD3330"/>
    <w:rsid w:val="00DD3581"/>
    <w:rsid w:val="00DD37F6"/>
    <w:rsid w:val="00DD386F"/>
    <w:rsid w:val="00DD3904"/>
    <w:rsid w:val="00DD3D66"/>
    <w:rsid w:val="00DD4CA1"/>
    <w:rsid w:val="00DD56CD"/>
    <w:rsid w:val="00DD5890"/>
    <w:rsid w:val="00DD5C59"/>
    <w:rsid w:val="00DD655F"/>
    <w:rsid w:val="00DD6C2B"/>
    <w:rsid w:val="00DD7282"/>
    <w:rsid w:val="00DE0214"/>
    <w:rsid w:val="00DE0C67"/>
    <w:rsid w:val="00DE10CB"/>
    <w:rsid w:val="00DE1210"/>
    <w:rsid w:val="00DE1957"/>
    <w:rsid w:val="00DE210D"/>
    <w:rsid w:val="00DE394C"/>
    <w:rsid w:val="00DE4F0D"/>
    <w:rsid w:val="00DE5624"/>
    <w:rsid w:val="00DE5B84"/>
    <w:rsid w:val="00DE5F62"/>
    <w:rsid w:val="00DE6220"/>
    <w:rsid w:val="00DE6CE2"/>
    <w:rsid w:val="00DE6E80"/>
    <w:rsid w:val="00DE7213"/>
    <w:rsid w:val="00DE72BA"/>
    <w:rsid w:val="00DE7537"/>
    <w:rsid w:val="00DE7CF1"/>
    <w:rsid w:val="00DE7F68"/>
    <w:rsid w:val="00DF01F3"/>
    <w:rsid w:val="00DF0745"/>
    <w:rsid w:val="00DF08AE"/>
    <w:rsid w:val="00DF0991"/>
    <w:rsid w:val="00DF0B2B"/>
    <w:rsid w:val="00DF0CF6"/>
    <w:rsid w:val="00DF10AC"/>
    <w:rsid w:val="00DF12F6"/>
    <w:rsid w:val="00DF1BCC"/>
    <w:rsid w:val="00DF1D8F"/>
    <w:rsid w:val="00DF2133"/>
    <w:rsid w:val="00DF2222"/>
    <w:rsid w:val="00DF25F8"/>
    <w:rsid w:val="00DF30A7"/>
    <w:rsid w:val="00DF5437"/>
    <w:rsid w:val="00DF57DC"/>
    <w:rsid w:val="00DF5A74"/>
    <w:rsid w:val="00DF6B96"/>
    <w:rsid w:val="00DF73B6"/>
    <w:rsid w:val="00DF78AE"/>
    <w:rsid w:val="00E0021B"/>
    <w:rsid w:val="00E004C4"/>
    <w:rsid w:val="00E013AE"/>
    <w:rsid w:val="00E01522"/>
    <w:rsid w:val="00E03449"/>
    <w:rsid w:val="00E0372C"/>
    <w:rsid w:val="00E04EF5"/>
    <w:rsid w:val="00E050E3"/>
    <w:rsid w:val="00E0531A"/>
    <w:rsid w:val="00E05857"/>
    <w:rsid w:val="00E05B44"/>
    <w:rsid w:val="00E06357"/>
    <w:rsid w:val="00E07935"/>
    <w:rsid w:val="00E07BB8"/>
    <w:rsid w:val="00E07E06"/>
    <w:rsid w:val="00E118B7"/>
    <w:rsid w:val="00E14398"/>
    <w:rsid w:val="00E1498F"/>
    <w:rsid w:val="00E156E0"/>
    <w:rsid w:val="00E15BD9"/>
    <w:rsid w:val="00E160F7"/>
    <w:rsid w:val="00E16402"/>
    <w:rsid w:val="00E16769"/>
    <w:rsid w:val="00E16A2A"/>
    <w:rsid w:val="00E16ADA"/>
    <w:rsid w:val="00E17606"/>
    <w:rsid w:val="00E17747"/>
    <w:rsid w:val="00E17A31"/>
    <w:rsid w:val="00E17D6F"/>
    <w:rsid w:val="00E217E8"/>
    <w:rsid w:val="00E21E12"/>
    <w:rsid w:val="00E22553"/>
    <w:rsid w:val="00E22821"/>
    <w:rsid w:val="00E23AEB"/>
    <w:rsid w:val="00E23F45"/>
    <w:rsid w:val="00E24046"/>
    <w:rsid w:val="00E248B5"/>
    <w:rsid w:val="00E24A5F"/>
    <w:rsid w:val="00E25239"/>
    <w:rsid w:val="00E25834"/>
    <w:rsid w:val="00E2604D"/>
    <w:rsid w:val="00E26417"/>
    <w:rsid w:val="00E26E68"/>
    <w:rsid w:val="00E2719A"/>
    <w:rsid w:val="00E27273"/>
    <w:rsid w:val="00E27467"/>
    <w:rsid w:val="00E2780E"/>
    <w:rsid w:val="00E27DD8"/>
    <w:rsid w:val="00E3048C"/>
    <w:rsid w:val="00E30A24"/>
    <w:rsid w:val="00E32153"/>
    <w:rsid w:val="00E3246F"/>
    <w:rsid w:val="00E336C1"/>
    <w:rsid w:val="00E3386B"/>
    <w:rsid w:val="00E33D33"/>
    <w:rsid w:val="00E347C6"/>
    <w:rsid w:val="00E34C6E"/>
    <w:rsid w:val="00E34D4C"/>
    <w:rsid w:val="00E357CC"/>
    <w:rsid w:val="00E36E54"/>
    <w:rsid w:val="00E415FD"/>
    <w:rsid w:val="00E41829"/>
    <w:rsid w:val="00E422A8"/>
    <w:rsid w:val="00E429F7"/>
    <w:rsid w:val="00E4563A"/>
    <w:rsid w:val="00E459A4"/>
    <w:rsid w:val="00E45C52"/>
    <w:rsid w:val="00E46A8A"/>
    <w:rsid w:val="00E47B1F"/>
    <w:rsid w:val="00E502B7"/>
    <w:rsid w:val="00E50B6E"/>
    <w:rsid w:val="00E50D13"/>
    <w:rsid w:val="00E51162"/>
    <w:rsid w:val="00E51969"/>
    <w:rsid w:val="00E525F6"/>
    <w:rsid w:val="00E529E4"/>
    <w:rsid w:val="00E52B8C"/>
    <w:rsid w:val="00E52CEF"/>
    <w:rsid w:val="00E531DA"/>
    <w:rsid w:val="00E5344A"/>
    <w:rsid w:val="00E53B11"/>
    <w:rsid w:val="00E53B93"/>
    <w:rsid w:val="00E5444C"/>
    <w:rsid w:val="00E54741"/>
    <w:rsid w:val="00E54ECC"/>
    <w:rsid w:val="00E5519E"/>
    <w:rsid w:val="00E56A3D"/>
    <w:rsid w:val="00E572E0"/>
    <w:rsid w:val="00E60AAE"/>
    <w:rsid w:val="00E61184"/>
    <w:rsid w:val="00E6159D"/>
    <w:rsid w:val="00E61997"/>
    <w:rsid w:val="00E61B82"/>
    <w:rsid w:val="00E61F3E"/>
    <w:rsid w:val="00E6227E"/>
    <w:rsid w:val="00E62844"/>
    <w:rsid w:val="00E6470D"/>
    <w:rsid w:val="00E64B0A"/>
    <w:rsid w:val="00E64F5D"/>
    <w:rsid w:val="00E650DA"/>
    <w:rsid w:val="00E65A49"/>
    <w:rsid w:val="00E65F9E"/>
    <w:rsid w:val="00E665C5"/>
    <w:rsid w:val="00E6683E"/>
    <w:rsid w:val="00E675FB"/>
    <w:rsid w:val="00E7086E"/>
    <w:rsid w:val="00E7107B"/>
    <w:rsid w:val="00E718AB"/>
    <w:rsid w:val="00E72709"/>
    <w:rsid w:val="00E72CF1"/>
    <w:rsid w:val="00E734C1"/>
    <w:rsid w:val="00E737D6"/>
    <w:rsid w:val="00E73AF9"/>
    <w:rsid w:val="00E74234"/>
    <w:rsid w:val="00E7428B"/>
    <w:rsid w:val="00E75CAC"/>
    <w:rsid w:val="00E76EBA"/>
    <w:rsid w:val="00E77232"/>
    <w:rsid w:val="00E77505"/>
    <w:rsid w:val="00E77622"/>
    <w:rsid w:val="00E77813"/>
    <w:rsid w:val="00E77FDC"/>
    <w:rsid w:val="00E8089C"/>
    <w:rsid w:val="00E813E4"/>
    <w:rsid w:val="00E82402"/>
    <w:rsid w:val="00E82818"/>
    <w:rsid w:val="00E82A5C"/>
    <w:rsid w:val="00E83E8F"/>
    <w:rsid w:val="00E84F89"/>
    <w:rsid w:val="00E851B3"/>
    <w:rsid w:val="00E87171"/>
    <w:rsid w:val="00E87228"/>
    <w:rsid w:val="00E906EC"/>
    <w:rsid w:val="00E917FF"/>
    <w:rsid w:val="00E91E2B"/>
    <w:rsid w:val="00E934DA"/>
    <w:rsid w:val="00E93643"/>
    <w:rsid w:val="00E93F10"/>
    <w:rsid w:val="00E9478C"/>
    <w:rsid w:val="00E95BC9"/>
    <w:rsid w:val="00E95BF0"/>
    <w:rsid w:val="00E9625E"/>
    <w:rsid w:val="00E96658"/>
    <w:rsid w:val="00E97446"/>
    <w:rsid w:val="00E975B2"/>
    <w:rsid w:val="00E97D12"/>
    <w:rsid w:val="00E97F49"/>
    <w:rsid w:val="00EA020F"/>
    <w:rsid w:val="00EA14D4"/>
    <w:rsid w:val="00EA24F6"/>
    <w:rsid w:val="00EA259E"/>
    <w:rsid w:val="00EA27BA"/>
    <w:rsid w:val="00EA2B57"/>
    <w:rsid w:val="00EA2D84"/>
    <w:rsid w:val="00EA361B"/>
    <w:rsid w:val="00EA4AE2"/>
    <w:rsid w:val="00EA4CE8"/>
    <w:rsid w:val="00EA5931"/>
    <w:rsid w:val="00EA5986"/>
    <w:rsid w:val="00EA5AD3"/>
    <w:rsid w:val="00EA5CE7"/>
    <w:rsid w:val="00EA5EAF"/>
    <w:rsid w:val="00EA5FCE"/>
    <w:rsid w:val="00EA611B"/>
    <w:rsid w:val="00EA6C7D"/>
    <w:rsid w:val="00EA6CA2"/>
    <w:rsid w:val="00EA6DB5"/>
    <w:rsid w:val="00EA70D5"/>
    <w:rsid w:val="00EA7898"/>
    <w:rsid w:val="00EA798A"/>
    <w:rsid w:val="00EB02D7"/>
    <w:rsid w:val="00EB145D"/>
    <w:rsid w:val="00EB1653"/>
    <w:rsid w:val="00EB173E"/>
    <w:rsid w:val="00EB21CF"/>
    <w:rsid w:val="00EB3171"/>
    <w:rsid w:val="00EB3AFA"/>
    <w:rsid w:val="00EB3DCA"/>
    <w:rsid w:val="00EB4144"/>
    <w:rsid w:val="00EB456C"/>
    <w:rsid w:val="00EB4ED4"/>
    <w:rsid w:val="00EB6058"/>
    <w:rsid w:val="00EB62CB"/>
    <w:rsid w:val="00EB6F0F"/>
    <w:rsid w:val="00EB78D1"/>
    <w:rsid w:val="00EC0301"/>
    <w:rsid w:val="00EC05B8"/>
    <w:rsid w:val="00EC05E1"/>
    <w:rsid w:val="00EC0612"/>
    <w:rsid w:val="00EC2B16"/>
    <w:rsid w:val="00EC2FAF"/>
    <w:rsid w:val="00EC34A3"/>
    <w:rsid w:val="00EC4E1D"/>
    <w:rsid w:val="00EC4FD8"/>
    <w:rsid w:val="00EC57B0"/>
    <w:rsid w:val="00EC5F0A"/>
    <w:rsid w:val="00EC792E"/>
    <w:rsid w:val="00EC7940"/>
    <w:rsid w:val="00EC79C3"/>
    <w:rsid w:val="00EC7AE1"/>
    <w:rsid w:val="00EC7E03"/>
    <w:rsid w:val="00ED030F"/>
    <w:rsid w:val="00ED09AE"/>
    <w:rsid w:val="00ED134B"/>
    <w:rsid w:val="00ED1802"/>
    <w:rsid w:val="00ED258A"/>
    <w:rsid w:val="00ED2BFD"/>
    <w:rsid w:val="00ED2F26"/>
    <w:rsid w:val="00ED3CA6"/>
    <w:rsid w:val="00ED4DF8"/>
    <w:rsid w:val="00ED5A36"/>
    <w:rsid w:val="00ED5CF7"/>
    <w:rsid w:val="00ED6063"/>
    <w:rsid w:val="00ED7398"/>
    <w:rsid w:val="00ED7530"/>
    <w:rsid w:val="00ED7E36"/>
    <w:rsid w:val="00EE020E"/>
    <w:rsid w:val="00EE03FF"/>
    <w:rsid w:val="00EE1CB3"/>
    <w:rsid w:val="00EE1FEC"/>
    <w:rsid w:val="00EE2083"/>
    <w:rsid w:val="00EE2891"/>
    <w:rsid w:val="00EE3A81"/>
    <w:rsid w:val="00EE3E02"/>
    <w:rsid w:val="00EE4702"/>
    <w:rsid w:val="00EE482F"/>
    <w:rsid w:val="00EE4D34"/>
    <w:rsid w:val="00EE4E15"/>
    <w:rsid w:val="00EE6E0A"/>
    <w:rsid w:val="00EF0445"/>
    <w:rsid w:val="00EF0B7F"/>
    <w:rsid w:val="00EF20AE"/>
    <w:rsid w:val="00EF2985"/>
    <w:rsid w:val="00EF3DB0"/>
    <w:rsid w:val="00EF44B1"/>
    <w:rsid w:val="00EF477B"/>
    <w:rsid w:val="00EF4B79"/>
    <w:rsid w:val="00EF505B"/>
    <w:rsid w:val="00EF66D9"/>
    <w:rsid w:val="00EF69B1"/>
    <w:rsid w:val="00EF758E"/>
    <w:rsid w:val="00EF7851"/>
    <w:rsid w:val="00F002FD"/>
    <w:rsid w:val="00F00869"/>
    <w:rsid w:val="00F012EC"/>
    <w:rsid w:val="00F01E11"/>
    <w:rsid w:val="00F0276E"/>
    <w:rsid w:val="00F02D83"/>
    <w:rsid w:val="00F04D4C"/>
    <w:rsid w:val="00F059B4"/>
    <w:rsid w:val="00F05B58"/>
    <w:rsid w:val="00F05F4A"/>
    <w:rsid w:val="00F06D77"/>
    <w:rsid w:val="00F06F3C"/>
    <w:rsid w:val="00F074B1"/>
    <w:rsid w:val="00F11590"/>
    <w:rsid w:val="00F1199A"/>
    <w:rsid w:val="00F11D5E"/>
    <w:rsid w:val="00F11ED9"/>
    <w:rsid w:val="00F1225F"/>
    <w:rsid w:val="00F1266B"/>
    <w:rsid w:val="00F1289E"/>
    <w:rsid w:val="00F12BA8"/>
    <w:rsid w:val="00F12D04"/>
    <w:rsid w:val="00F12E3D"/>
    <w:rsid w:val="00F1358C"/>
    <w:rsid w:val="00F13687"/>
    <w:rsid w:val="00F13AFA"/>
    <w:rsid w:val="00F14E2D"/>
    <w:rsid w:val="00F155D4"/>
    <w:rsid w:val="00F15656"/>
    <w:rsid w:val="00F15D24"/>
    <w:rsid w:val="00F16379"/>
    <w:rsid w:val="00F170F8"/>
    <w:rsid w:val="00F20BF8"/>
    <w:rsid w:val="00F2166D"/>
    <w:rsid w:val="00F22441"/>
    <w:rsid w:val="00F235BE"/>
    <w:rsid w:val="00F24A44"/>
    <w:rsid w:val="00F24B31"/>
    <w:rsid w:val="00F2509B"/>
    <w:rsid w:val="00F257C9"/>
    <w:rsid w:val="00F25EF8"/>
    <w:rsid w:val="00F26308"/>
    <w:rsid w:val="00F2733A"/>
    <w:rsid w:val="00F27B72"/>
    <w:rsid w:val="00F27D0A"/>
    <w:rsid w:val="00F3073C"/>
    <w:rsid w:val="00F30B5F"/>
    <w:rsid w:val="00F31640"/>
    <w:rsid w:val="00F31FEB"/>
    <w:rsid w:val="00F3212C"/>
    <w:rsid w:val="00F33697"/>
    <w:rsid w:val="00F3413E"/>
    <w:rsid w:val="00F3415A"/>
    <w:rsid w:val="00F36B00"/>
    <w:rsid w:val="00F3717F"/>
    <w:rsid w:val="00F372A2"/>
    <w:rsid w:val="00F37D45"/>
    <w:rsid w:val="00F37F37"/>
    <w:rsid w:val="00F4043F"/>
    <w:rsid w:val="00F40576"/>
    <w:rsid w:val="00F40B30"/>
    <w:rsid w:val="00F41C2D"/>
    <w:rsid w:val="00F41D1B"/>
    <w:rsid w:val="00F430F0"/>
    <w:rsid w:val="00F4330B"/>
    <w:rsid w:val="00F435EA"/>
    <w:rsid w:val="00F4369B"/>
    <w:rsid w:val="00F438ED"/>
    <w:rsid w:val="00F4390C"/>
    <w:rsid w:val="00F43B83"/>
    <w:rsid w:val="00F43B87"/>
    <w:rsid w:val="00F43C2F"/>
    <w:rsid w:val="00F44060"/>
    <w:rsid w:val="00F46085"/>
    <w:rsid w:val="00F464A5"/>
    <w:rsid w:val="00F46790"/>
    <w:rsid w:val="00F50255"/>
    <w:rsid w:val="00F50494"/>
    <w:rsid w:val="00F50739"/>
    <w:rsid w:val="00F5106D"/>
    <w:rsid w:val="00F515FC"/>
    <w:rsid w:val="00F528C5"/>
    <w:rsid w:val="00F52BB3"/>
    <w:rsid w:val="00F53BE1"/>
    <w:rsid w:val="00F54132"/>
    <w:rsid w:val="00F54821"/>
    <w:rsid w:val="00F551C4"/>
    <w:rsid w:val="00F55DA6"/>
    <w:rsid w:val="00F561CA"/>
    <w:rsid w:val="00F56632"/>
    <w:rsid w:val="00F56B12"/>
    <w:rsid w:val="00F57608"/>
    <w:rsid w:val="00F57F50"/>
    <w:rsid w:val="00F60006"/>
    <w:rsid w:val="00F602F9"/>
    <w:rsid w:val="00F608A9"/>
    <w:rsid w:val="00F60ABF"/>
    <w:rsid w:val="00F60B2A"/>
    <w:rsid w:val="00F61316"/>
    <w:rsid w:val="00F617C4"/>
    <w:rsid w:val="00F6278B"/>
    <w:rsid w:val="00F62D67"/>
    <w:rsid w:val="00F63631"/>
    <w:rsid w:val="00F63873"/>
    <w:rsid w:val="00F642F2"/>
    <w:rsid w:val="00F645F9"/>
    <w:rsid w:val="00F645FB"/>
    <w:rsid w:val="00F64D2B"/>
    <w:rsid w:val="00F64EF6"/>
    <w:rsid w:val="00F65266"/>
    <w:rsid w:val="00F65534"/>
    <w:rsid w:val="00F65A85"/>
    <w:rsid w:val="00F66424"/>
    <w:rsid w:val="00F66C19"/>
    <w:rsid w:val="00F67992"/>
    <w:rsid w:val="00F703E1"/>
    <w:rsid w:val="00F70D49"/>
    <w:rsid w:val="00F70E1B"/>
    <w:rsid w:val="00F712B1"/>
    <w:rsid w:val="00F71F52"/>
    <w:rsid w:val="00F72783"/>
    <w:rsid w:val="00F72A6D"/>
    <w:rsid w:val="00F73310"/>
    <w:rsid w:val="00F7383E"/>
    <w:rsid w:val="00F739EC"/>
    <w:rsid w:val="00F73C27"/>
    <w:rsid w:val="00F74C02"/>
    <w:rsid w:val="00F750F8"/>
    <w:rsid w:val="00F755F1"/>
    <w:rsid w:val="00F76457"/>
    <w:rsid w:val="00F7673B"/>
    <w:rsid w:val="00F771BC"/>
    <w:rsid w:val="00F77749"/>
    <w:rsid w:val="00F77B5A"/>
    <w:rsid w:val="00F77F0C"/>
    <w:rsid w:val="00F8057E"/>
    <w:rsid w:val="00F81208"/>
    <w:rsid w:val="00F81676"/>
    <w:rsid w:val="00F81A6E"/>
    <w:rsid w:val="00F82E58"/>
    <w:rsid w:val="00F83499"/>
    <w:rsid w:val="00F83525"/>
    <w:rsid w:val="00F83874"/>
    <w:rsid w:val="00F84AEA"/>
    <w:rsid w:val="00F84D63"/>
    <w:rsid w:val="00F8626F"/>
    <w:rsid w:val="00F865F7"/>
    <w:rsid w:val="00F86801"/>
    <w:rsid w:val="00F90299"/>
    <w:rsid w:val="00F902E7"/>
    <w:rsid w:val="00F90439"/>
    <w:rsid w:val="00F9180B"/>
    <w:rsid w:val="00F92E3E"/>
    <w:rsid w:val="00F93170"/>
    <w:rsid w:val="00F93310"/>
    <w:rsid w:val="00F941E5"/>
    <w:rsid w:val="00F95142"/>
    <w:rsid w:val="00F95A32"/>
    <w:rsid w:val="00F95FA7"/>
    <w:rsid w:val="00F95FB8"/>
    <w:rsid w:val="00F96038"/>
    <w:rsid w:val="00F9605E"/>
    <w:rsid w:val="00F961A8"/>
    <w:rsid w:val="00F966CA"/>
    <w:rsid w:val="00F971ED"/>
    <w:rsid w:val="00F973A7"/>
    <w:rsid w:val="00F97A45"/>
    <w:rsid w:val="00FA031A"/>
    <w:rsid w:val="00FA0937"/>
    <w:rsid w:val="00FA0B29"/>
    <w:rsid w:val="00FA0B3D"/>
    <w:rsid w:val="00FA0E14"/>
    <w:rsid w:val="00FA258E"/>
    <w:rsid w:val="00FA2BB4"/>
    <w:rsid w:val="00FA3074"/>
    <w:rsid w:val="00FA3B64"/>
    <w:rsid w:val="00FA429E"/>
    <w:rsid w:val="00FA4E0C"/>
    <w:rsid w:val="00FA5A55"/>
    <w:rsid w:val="00FA6D72"/>
    <w:rsid w:val="00FA70DB"/>
    <w:rsid w:val="00FA76C9"/>
    <w:rsid w:val="00FA7707"/>
    <w:rsid w:val="00FA7784"/>
    <w:rsid w:val="00FA79B5"/>
    <w:rsid w:val="00FA7C59"/>
    <w:rsid w:val="00FB16AD"/>
    <w:rsid w:val="00FB21CE"/>
    <w:rsid w:val="00FB2601"/>
    <w:rsid w:val="00FB260A"/>
    <w:rsid w:val="00FB2E14"/>
    <w:rsid w:val="00FB32AA"/>
    <w:rsid w:val="00FB3C00"/>
    <w:rsid w:val="00FB3E8C"/>
    <w:rsid w:val="00FB4178"/>
    <w:rsid w:val="00FB4252"/>
    <w:rsid w:val="00FB51E0"/>
    <w:rsid w:val="00FB5D44"/>
    <w:rsid w:val="00FB6150"/>
    <w:rsid w:val="00FB6631"/>
    <w:rsid w:val="00FB716C"/>
    <w:rsid w:val="00FB74CD"/>
    <w:rsid w:val="00FB7661"/>
    <w:rsid w:val="00FC0513"/>
    <w:rsid w:val="00FC0BEC"/>
    <w:rsid w:val="00FC1240"/>
    <w:rsid w:val="00FC124F"/>
    <w:rsid w:val="00FC1547"/>
    <w:rsid w:val="00FC1AE0"/>
    <w:rsid w:val="00FC1C43"/>
    <w:rsid w:val="00FC23AF"/>
    <w:rsid w:val="00FC39C2"/>
    <w:rsid w:val="00FC3B93"/>
    <w:rsid w:val="00FC4019"/>
    <w:rsid w:val="00FC47AE"/>
    <w:rsid w:val="00FC4DE1"/>
    <w:rsid w:val="00FC4E85"/>
    <w:rsid w:val="00FC4EE9"/>
    <w:rsid w:val="00FC5033"/>
    <w:rsid w:val="00FC512E"/>
    <w:rsid w:val="00FC5529"/>
    <w:rsid w:val="00FC5D91"/>
    <w:rsid w:val="00FC5DC6"/>
    <w:rsid w:val="00FC6ADA"/>
    <w:rsid w:val="00FC6BDD"/>
    <w:rsid w:val="00FC74ED"/>
    <w:rsid w:val="00FD0402"/>
    <w:rsid w:val="00FD0573"/>
    <w:rsid w:val="00FD0E49"/>
    <w:rsid w:val="00FD1CEC"/>
    <w:rsid w:val="00FD2BFC"/>
    <w:rsid w:val="00FD3313"/>
    <w:rsid w:val="00FD35F0"/>
    <w:rsid w:val="00FD3ABD"/>
    <w:rsid w:val="00FD3BB2"/>
    <w:rsid w:val="00FD3E0C"/>
    <w:rsid w:val="00FD56B2"/>
    <w:rsid w:val="00FD6162"/>
    <w:rsid w:val="00FD61E3"/>
    <w:rsid w:val="00FD636B"/>
    <w:rsid w:val="00FD63C4"/>
    <w:rsid w:val="00FD660B"/>
    <w:rsid w:val="00FD7CA5"/>
    <w:rsid w:val="00FD7CD8"/>
    <w:rsid w:val="00FD7EA1"/>
    <w:rsid w:val="00FE0F74"/>
    <w:rsid w:val="00FE1439"/>
    <w:rsid w:val="00FE1812"/>
    <w:rsid w:val="00FE1EBA"/>
    <w:rsid w:val="00FE25CF"/>
    <w:rsid w:val="00FE29C1"/>
    <w:rsid w:val="00FE2E37"/>
    <w:rsid w:val="00FE3466"/>
    <w:rsid w:val="00FE38CB"/>
    <w:rsid w:val="00FE3DBD"/>
    <w:rsid w:val="00FE5570"/>
    <w:rsid w:val="00FE646E"/>
    <w:rsid w:val="00FE6AD2"/>
    <w:rsid w:val="00FE6D2B"/>
    <w:rsid w:val="00FF04E3"/>
    <w:rsid w:val="00FF1084"/>
    <w:rsid w:val="00FF1644"/>
    <w:rsid w:val="00FF366B"/>
    <w:rsid w:val="00FF6579"/>
    <w:rsid w:val="00FF7501"/>
    <w:rsid w:val="00FF770E"/>
    <w:rsid w:val="00FF7A42"/>
    <w:rsid w:val="00FF7B92"/>
    <w:rsid w:val="0392E569"/>
    <w:rsid w:val="04E580B8"/>
    <w:rsid w:val="052E468D"/>
    <w:rsid w:val="053737E1"/>
    <w:rsid w:val="057D5514"/>
    <w:rsid w:val="058B7878"/>
    <w:rsid w:val="05CC095C"/>
    <w:rsid w:val="0628290D"/>
    <w:rsid w:val="066BC6B0"/>
    <w:rsid w:val="06834EFD"/>
    <w:rsid w:val="06D3C3DC"/>
    <w:rsid w:val="06D851D3"/>
    <w:rsid w:val="0754C35D"/>
    <w:rsid w:val="0757D82F"/>
    <w:rsid w:val="075C4EED"/>
    <w:rsid w:val="0765DE56"/>
    <w:rsid w:val="07CD2C33"/>
    <w:rsid w:val="08455045"/>
    <w:rsid w:val="08A0AD51"/>
    <w:rsid w:val="08E44246"/>
    <w:rsid w:val="08E84C51"/>
    <w:rsid w:val="09F35965"/>
    <w:rsid w:val="09FDBB9F"/>
    <w:rsid w:val="0A87583F"/>
    <w:rsid w:val="0ADE7D53"/>
    <w:rsid w:val="0AE1FB1A"/>
    <w:rsid w:val="0AF290C3"/>
    <w:rsid w:val="0B856E40"/>
    <w:rsid w:val="0B8C42D3"/>
    <w:rsid w:val="0BFAE7AA"/>
    <w:rsid w:val="0C104EC8"/>
    <w:rsid w:val="0C83759D"/>
    <w:rsid w:val="0D9980F4"/>
    <w:rsid w:val="0DF34C0B"/>
    <w:rsid w:val="0E3FE874"/>
    <w:rsid w:val="0EF4EDE8"/>
    <w:rsid w:val="0F0D073B"/>
    <w:rsid w:val="0F710FE0"/>
    <w:rsid w:val="10437DB7"/>
    <w:rsid w:val="10660BBC"/>
    <w:rsid w:val="109C0979"/>
    <w:rsid w:val="1101B8AB"/>
    <w:rsid w:val="1154FCA6"/>
    <w:rsid w:val="11709E77"/>
    <w:rsid w:val="1255537A"/>
    <w:rsid w:val="127FCF53"/>
    <w:rsid w:val="12E0F903"/>
    <w:rsid w:val="1599DC6A"/>
    <w:rsid w:val="16140CA7"/>
    <w:rsid w:val="168A302E"/>
    <w:rsid w:val="16C13692"/>
    <w:rsid w:val="16C92287"/>
    <w:rsid w:val="17155BF7"/>
    <w:rsid w:val="183DF8C6"/>
    <w:rsid w:val="18CBD007"/>
    <w:rsid w:val="18F5B942"/>
    <w:rsid w:val="1A404FDD"/>
    <w:rsid w:val="1A9189A3"/>
    <w:rsid w:val="1B005664"/>
    <w:rsid w:val="1B0D4B64"/>
    <w:rsid w:val="1B94CEF1"/>
    <w:rsid w:val="1B94D32C"/>
    <w:rsid w:val="1BBFEF4E"/>
    <w:rsid w:val="1C5248F1"/>
    <w:rsid w:val="1C9365DB"/>
    <w:rsid w:val="1CBA07B6"/>
    <w:rsid w:val="1CF46765"/>
    <w:rsid w:val="1D42C2F1"/>
    <w:rsid w:val="1D50E798"/>
    <w:rsid w:val="1D76C106"/>
    <w:rsid w:val="1DFD1BA9"/>
    <w:rsid w:val="1E2992E5"/>
    <w:rsid w:val="1E599455"/>
    <w:rsid w:val="1E6C57FA"/>
    <w:rsid w:val="1F035734"/>
    <w:rsid w:val="1F68381F"/>
    <w:rsid w:val="2016EDF8"/>
    <w:rsid w:val="20AD9656"/>
    <w:rsid w:val="2134E135"/>
    <w:rsid w:val="217EA4C1"/>
    <w:rsid w:val="219B09E4"/>
    <w:rsid w:val="21FEA5B4"/>
    <w:rsid w:val="22057B94"/>
    <w:rsid w:val="222E0DE9"/>
    <w:rsid w:val="22395447"/>
    <w:rsid w:val="23002C07"/>
    <w:rsid w:val="2316AA88"/>
    <w:rsid w:val="236BC5A9"/>
    <w:rsid w:val="2452904C"/>
    <w:rsid w:val="245EE939"/>
    <w:rsid w:val="247EA3EF"/>
    <w:rsid w:val="2498CB74"/>
    <w:rsid w:val="24CA8B4A"/>
    <w:rsid w:val="254A5718"/>
    <w:rsid w:val="254E72B4"/>
    <w:rsid w:val="25CE8CF5"/>
    <w:rsid w:val="260DE598"/>
    <w:rsid w:val="26AF6D99"/>
    <w:rsid w:val="26E0F53A"/>
    <w:rsid w:val="271CD03D"/>
    <w:rsid w:val="275AC2AB"/>
    <w:rsid w:val="27C750BB"/>
    <w:rsid w:val="27C994D9"/>
    <w:rsid w:val="280B7D77"/>
    <w:rsid w:val="285632C3"/>
    <w:rsid w:val="28A21A1E"/>
    <w:rsid w:val="28B9FDCF"/>
    <w:rsid w:val="29208997"/>
    <w:rsid w:val="2949832F"/>
    <w:rsid w:val="29784DFD"/>
    <w:rsid w:val="29B75D19"/>
    <w:rsid w:val="2A2EC470"/>
    <w:rsid w:val="2AA310E4"/>
    <w:rsid w:val="2ADBD363"/>
    <w:rsid w:val="2AE5A59F"/>
    <w:rsid w:val="2AEB756C"/>
    <w:rsid w:val="2B9FDBAE"/>
    <w:rsid w:val="2DC4F7DD"/>
    <w:rsid w:val="2E3AD581"/>
    <w:rsid w:val="2F3820DA"/>
    <w:rsid w:val="2F5C46DE"/>
    <w:rsid w:val="2FD2E06F"/>
    <w:rsid w:val="2FE70993"/>
    <w:rsid w:val="3024820F"/>
    <w:rsid w:val="30774F65"/>
    <w:rsid w:val="307BAC24"/>
    <w:rsid w:val="307CE2AC"/>
    <w:rsid w:val="3088957F"/>
    <w:rsid w:val="30BAC8DE"/>
    <w:rsid w:val="3109F577"/>
    <w:rsid w:val="31478781"/>
    <w:rsid w:val="31680BE3"/>
    <w:rsid w:val="31B4DE71"/>
    <w:rsid w:val="324ED0DC"/>
    <w:rsid w:val="3298E03B"/>
    <w:rsid w:val="335B9709"/>
    <w:rsid w:val="339D7EC0"/>
    <w:rsid w:val="33E4161B"/>
    <w:rsid w:val="33F269A0"/>
    <w:rsid w:val="34A5C607"/>
    <w:rsid w:val="35B384A1"/>
    <w:rsid w:val="369337CB"/>
    <w:rsid w:val="36D1621F"/>
    <w:rsid w:val="37CBF330"/>
    <w:rsid w:val="37D68501"/>
    <w:rsid w:val="37EE44AA"/>
    <w:rsid w:val="38A4A13D"/>
    <w:rsid w:val="38AF226D"/>
    <w:rsid w:val="38C6D6E2"/>
    <w:rsid w:val="390C12C9"/>
    <w:rsid w:val="398171FF"/>
    <w:rsid w:val="39AFB2E8"/>
    <w:rsid w:val="3A254C26"/>
    <w:rsid w:val="3A4026FD"/>
    <w:rsid w:val="3A4221C0"/>
    <w:rsid w:val="3A63A362"/>
    <w:rsid w:val="3AAE8E9E"/>
    <w:rsid w:val="3ACBFFB5"/>
    <w:rsid w:val="3C39D44B"/>
    <w:rsid w:val="3CEF5766"/>
    <w:rsid w:val="3D62F31B"/>
    <w:rsid w:val="3DB9CD39"/>
    <w:rsid w:val="3EC7D074"/>
    <w:rsid w:val="3EF491A1"/>
    <w:rsid w:val="3F164495"/>
    <w:rsid w:val="3F406624"/>
    <w:rsid w:val="3F7A49E3"/>
    <w:rsid w:val="405A44CF"/>
    <w:rsid w:val="40AFC5CC"/>
    <w:rsid w:val="40C8CD4C"/>
    <w:rsid w:val="4236F2A3"/>
    <w:rsid w:val="42431986"/>
    <w:rsid w:val="42E4C84D"/>
    <w:rsid w:val="435B8C73"/>
    <w:rsid w:val="4393BAC0"/>
    <w:rsid w:val="43E58425"/>
    <w:rsid w:val="4528A9F7"/>
    <w:rsid w:val="45BA1AE3"/>
    <w:rsid w:val="45E04AAE"/>
    <w:rsid w:val="4627F48A"/>
    <w:rsid w:val="462FBA5D"/>
    <w:rsid w:val="4697249F"/>
    <w:rsid w:val="46B974EB"/>
    <w:rsid w:val="46DEBADD"/>
    <w:rsid w:val="481D38C9"/>
    <w:rsid w:val="4891DE00"/>
    <w:rsid w:val="4996DA8A"/>
    <w:rsid w:val="49BFB49E"/>
    <w:rsid w:val="4A96496F"/>
    <w:rsid w:val="4AAA7B17"/>
    <w:rsid w:val="4AD29472"/>
    <w:rsid w:val="4B3BC727"/>
    <w:rsid w:val="4C48E006"/>
    <w:rsid w:val="4C499BA6"/>
    <w:rsid w:val="4CAB6E05"/>
    <w:rsid w:val="4CE89E39"/>
    <w:rsid w:val="4CEF3604"/>
    <w:rsid w:val="4D71DDFD"/>
    <w:rsid w:val="4D7DA399"/>
    <w:rsid w:val="4DA8573E"/>
    <w:rsid w:val="4DED8B63"/>
    <w:rsid w:val="4E07AFDF"/>
    <w:rsid w:val="4E412A4B"/>
    <w:rsid w:val="4E6F0BE6"/>
    <w:rsid w:val="4ED4F582"/>
    <w:rsid w:val="4F13B811"/>
    <w:rsid w:val="4F17C948"/>
    <w:rsid w:val="4F1A33FF"/>
    <w:rsid w:val="4F280419"/>
    <w:rsid w:val="4FB53D1D"/>
    <w:rsid w:val="503FA3BC"/>
    <w:rsid w:val="5073071D"/>
    <w:rsid w:val="5077E617"/>
    <w:rsid w:val="50A50EDB"/>
    <w:rsid w:val="50BAE48F"/>
    <w:rsid w:val="50DDE635"/>
    <w:rsid w:val="51243006"/>
    <w:rsid w:val="519C91D4"/>
    <w:rsid w:val="524A3E2B"/>
    <w:rsid w:val="532698FC"/>
    <w:rsid w:val="546D2DE9"/>
    <w:rsid w:val="54C8B4A9"/>
    <w:rsid w:val="551672F1"/>
    <w:rsid w:val="55436F2C"/>
    <w:rsid w:val="55C7C101"/>
    <w:rsid w:val="569B20F4"/>
    <w:rsid w:val="56BC5A8C"/>
    <w:rsid w:val="577D0377"/>
    <w:rsid w:val="57950054"/>
    <w:rsid w:val="579C5B2F"/>
    <w:rsid w:val="57D03C36"/>
    <w:rsid w:val="58D40972"/>
    <w:rsid w:val="594F12B3"/>
    <w:rsid w:val="5955768A"/>
    <w:rsid w:val="59B6CEE0"/>
    <w:rsid w:val="59C20112"/>
    <w:rsid w:val="59FE4DF6"/>
    <w:rsid w:val="5ADB52A4"/>
    <w:rsid w:val="5AFDCE41"/>
    <w:rsid w:val="5B15CBB2"/>
    <w:rsid w:val="5C90599B"/>
    <w:rsid w:val="5CAAA7A3"/>
    <w:rsid w:val="5CD8B23B"/>
    <w:rsid w:val="5DB650E1"/>
    <w:rsid w:val="5DC8538A"/>
    <w:rsid w:val="5E14B82E"/>
    <w:rsid w:val="5E1EBC81"/>
    <w:rsid w:val="5E548FB1"/>
    <w:rsid w:val="5ECB1DCE"/>
    <w:rsid w:val="5EE831A3"/>
    <w:rsid w:val="5FC92008"/>
    <w:rsid w:val="5FE14F4F"/>
    <w:rsid w:val="604E496E"/>
    <w:rsid w:val="60F6A951"/>
    <w:rsid w:val="616059F0"/>
    <w:rsid w:val="618697F5"/>
    <w:rsid w:val="61B83718"/>
    <w:rsid w:val="61DFE4BE"/>
    <w:rsid w:val="61F1BD03"/>
    <w:rsid w:val="630537AC"/>
    <w:rsid w:val="6307F027"/>
    <w:rsid w:val="632050C7"/>
    <w:rsid w:val="63D11C56"/>
    <w:rsid w:val="6445F22E"/>
    <w:rsid w:val="64AAE458"/>
    <w:rsid w:val="6548A4EB"/>
    <w:rsid w:val="65A1E605"/>
    <w:rsid w:val="65AE3CB4"/>
    <w:rsid w:val="65B4E0F6"/>
    <w:rsid w:val="66EC3A1B"/>
    <w:rsid w:val="674F677F"/>
    <w:rsid w:val="67B84F16"/>
    <w:rsid w:val="67D63F50"/>
    <w:rsid w:val="68A48D79"/>
    <w:rsid w:val="68E5D073"/>
    <w:rsid w:val="68F1F2DF"/>
    <w:rsid w:val="68FB44C2"/>
    <w:rsid w:val="69169733"/>
    <w:rsid w:val="6916C37C"/>
    <w:rsid w:val="6927A034"/>
    <w:rsid w:val="69BA29D6"/>
    <w:rsid w:val="6A7CF0A7"/>
    <w:rsid w:val="6BAA95D5"/>
    <w:rsid w:val="6C1AB946"/>
    <w:rsid w:val="6C46F8F4"/>
    <w:rsid w:val="6CA579EA"/>
    <w:rsid w:val="6CBD5F47"/>
    <w:rsid w:val="6CE8837F"/>
    <w:rsid w:val="6D579E04"/>
    <w:rsid w:val="6D994E8C"/>
    <w:rsid w:val="6DFD0995"/>
    <w:rsid w:val="6E7049AC"/>
    <w:rsid w:val="6F4D666F"/>
    <w:rsid w:val="6FD67485"/>
    <w:rsid w:val="6FD8A432"/>
    <w:rsid w:val="703B380F"/>
    <w:rsid w:val="7179B9DA"/>
    <w:rsid w:val="717E7449"/>
    <w:rsid w:val="720DAD36"/>
    <w:rsid w:val="72308CA6"/>
    <w:rsid w:val="729EE9AF"/>
    <w:rsid w:val="73439E95"/>
    <w:rsid w:val="73574B66"/>
    <w:rsid w:val="73B19C35"/>
    <w:rsid w:val="73B430C9"/>
    <w:rsid w:val="74B051A7"/>
    <w:rsid w:val="74C8E9FB"/>
    <w:rsid w:val="75F69F4F"/>
    <w:rsid w:val="75F98280"/>
    <w:rsid w:val="76E35EA0"/>
    <w:rsid w:val="777737A4"/>
    <w:rsid w:val="77D3E682"/>
    <w:rsid w:val="78034F47"/>
    <w:rsid w:val="78407A3E"/>
    <w:rsid w:val="7842DDCE"/>
    <w:rsid w:val="7892D036"/>
    <w:rsid w:val="78B45525"/>
    <w:rsid w:val="79DEAE2F"/>
    <w:rsid w:val="79F2AB8D"/>
    <w:rsid w:val="7A087E9C"/>
    <w:rsid w:val="7A2ED362"/>
    <w:rsid w:val="7D0092BA"/>
    <w:rsid w:val="7D25D7E2"/>
    <w:rsid w:val="7D3FF8BA"/>
    <w:rsid w:val="7D4EFAAE"/>
    <w:rsid w:val="7DEB6C08"/>
    <w:rsid w:val="7E581794"/>
    <w:rsid w:val="7E6CE049"/>
    <w:rsid w:val="7ECC75A4"/>
    <w:rsid w:val="7F1D7C70"/>
    <w:rsid w:val="7F9353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B5060"/>
  <w15:chartTrackingRefBased/>
  <w15:docId w15:val="{AE35125A-9527-47DA-94D4-E774087F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1B"/>
    <w:rPr>
      <w:rFonts w:ascii="VIC" w:hAnsi="VIC"/>
    </w:rPr>
  </w:style>
  <w:style w:type="paragraph" w:styleId="Heading1">
    <w:name w:val="heading 1"/>
    <w:basedOn w:val="Normal"/>
    <w:next w:val="Normal"/>
    <w:link w:val="Heading1Char"/>
    <w:uiPriority w:val="9"/>
    <w:qFormat/>
    <w:rsid w:val="003D251B"/>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3D251B"/>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3D251B"/>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semiHidden/>
    <w:unhideWhenUsed/>
    <w:qFormat/>
    <w:rsid w:val="003D251B"/>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3D25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3D25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251B"/>
  </w:style>
  <w:style w:type="paragraph" w:styleId="Header">
    <w:name w:val="header"/>
    <w:basedOn w:val="Normal"/>
    <w:link w:val="HeaderChar"/>
    <w:uiPriority w:val="99"/>
    <w:unhideWhenUsed/>
    <w:rsid w:val="003D2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51B"/>
    <w:rPr>
      <w:rFonts w:ascii="VIC" w:hAnsi="VIC"/>
    </w:rPr>
  </w:style>
  <w:style w:type="paragraph" w:styleId="Footer">
    <w:name w:val="footer"/>
    <w:basedOn w:val="Normal"/>
    <w:link w:val="FooterChar"/>
    <w:uiPriority w:val="99"/>
    <w:unhideWhenUsed/>
    <w:rsid w:val="003D2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51B"/>
    <w:rPr>
      <w:rFonts w:ascii="VIC" w:hAnsi="VIC"/>
    </w:rPr>
  </w:style>
  <w:style w:type="paragraph" w:styleId="FootnoteText">
    <w:name w:val="footnote text"/>
    <w:basedOn w:val="Normal"/>
    <w:link w:val="FootnoteTextChar"/>
    <w:uiPriority w:val="99"/>
    <w:semiHidden/>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C5"/>
    <w:rPr>
      <w:sz w:val="20"/>
      <w:szCs w:val="20"/>
    </w:rPr>
  </w:style>
  <w:style w:type="table" w:styleId="TableGrid">
    <w:name w:val="Table Grid"/>
    <w:basedOn w:val="TableNormal"/>
    <w:rsid w:val="003D25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3"/>
    <w:rsid w:val="00A13EC5"/>
    <w:pPr>
      <w:numPr>
        <w:numId w:val="4"/>
      </w:numPr>
      <w:tabs>
        <w:tab w:val="clear" w:pos="397"/>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3"/>
    <w:rsid w:val="00A13EC5"/>
    <w:pPr>
      <w:numPr>
        <w:ilvl w:val="1"/>
        <w:numId w:val="4"/>
      </w:numPr>
      <w:tabs>
        <w:tab w:val="clear" w:pos="794"/>
        <w:tab w:val="num" w:pos="360"/>
      </w:tabs>
      <w:spacing w:line="300" w:lineRule="atLeast"/>
      <w:ind w:left="0" w:firstLine="0"/>
    </w:pPr>
    <w:rPr>
      <w:rFonts w:ascii="Arial" w:eastAsia="Times" w:hAnsi="Arial" w:cs="Arial"/>
      <w:color w:val="000000"/>
    </w:rPr>
  </w:style>
  <w:style w:type="paragraph" w:styleId="BalloonText">
    <w:name w:val="Balloon Text"/>
    <w:basedOn w:val="Normal"/>
    <w:link w:val="BalloonTextChar"/>
    <w:uiPriority w:val="99"/>
    <w:semiHidden/>
    <w:unhideWhenUsed/>
    <w:rsid w:val="0014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29"/>
    <w:rPr>
      <w:rFonts w:ascii="Segoe UI" w:hAnsi="Segoe UI" w:cs="Segoe UI"/>
      <w:sz w:val="18"/>
      <w:szCs w:val="18"/>
    </w:rPr>
  </w:style>
  <w:style w:type="character" w:customStyle="1" w:styleId="Heading1Char">
    <w:name w:val="Heading 1 Char"/>
    <w:basedOn w:val="DefaultParagraphFont"/>
    <w:link w:val="Heading1"/>
    <w:uiPriority w:val="9"/>
    <w:rsid w:val="003D251B"/>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3D251B"/>
    <w:rPr>
      <w:rFonts w:ascii="VIC" w:eastAsiaTheme="majorEastAsia" w:hAnsi="VIC" w:cstheme="majorBidi"/>
      <w:color w:val="5C308D"/>
      <w:sz w:val="36"/>
      <w:szCs w:val="26"/>
    </w:rPr>
  </w:style>
  <w:style w:type="character" w:styleId="CommentReference">
    <w:name w:val="annotation reference"/>
    <w:basedOn w:val="DefaultParagraphFont"/>
    <w:uiPriority w:val="99"/>
    <w:semiHidden/>
    <w:unhideWhenUsed/>
    <w:rsid w:val="00EB62CB"/>
    <w:rPr>
      <w:sz w:val="16"/>
      <w:szCs w:val="16"/>
    </w:rPr>
  </w:style>
  <w:style w:type="paragraph" w:styleId="CommentText">
    <w:name w:val="annotation text"/>
    <w:basedOn w:val="Normal"/>
    <w:link w:val="CommentTextChar"/>
    <w:uiPriority w:val="99"/>
    <w:unhideWhenUsed/>
    <w:rsid w:val="00EB62CB"/>
    <w:pPr>
      <w:spacing w:line="240" w:lineRule="auto"/>
    </w:pPr>
    <w:rPr>
      <w:sz w:val="20"/>
      <w:szCs w:val="20"/>
    </w:rPr>
  </w:style>
  <w:style w:type="character" w:customStyle="1" w:styleId="CommentTextChar">
    <w:name w:val="Comment Text Char"/>
    <w:basedOn w:val="DefaultParagraphFont"/>
    <w:link w:val="CommentText"/>
    <w:uiPriority w:val="99"/>
    <w:rsid w:val="00EB62CB"/>
    <w:rPr>
      <w:sz w:val="20"/>
      <w:szCs w:val="20"/>
    </w:rPr>
  </w:style>
  <w:style w:type="paragraph" w:styleId="CommentSubject">
    <w:name w:val="annotation subject"/>
    <w:basedOn w:val="CommentText"/>
    <w:next w:val="CommentText"/>
    <w:link w:val="CommentSubjectChar"/>
    <w:uiPriority w:val="99"/>
    <w:semiHidden/>
    <w:unhideWhenUsed/>
    <w:rsid w:val="00EB62CB"/>
    <w:rPr>
      <w:b/>
      <w:bCs/>
    </w:rPr>
  </w:style>
  <w:style w:type="character" w:customStyle="1" w:styleId="CommentSubjectChar">
    <w:name w:val="Comment Subject Char"/>
    <w:basedOn w:val="CommentTextChar"/>
    <w:link w:val="CommentSubject"/>
    <w:uiPriority w:val="99"/>
    <w:semiHidden/>
    <w:rsid w:val="00EB62CB"/>
    <w:rPr>
      <w:b/>
      <w:bCs/>
      <w:sz w:val="20"/>
      <w:szCs w:val="20"/>
    </w:rPr>
  </w:style>
  <w:style w:type="paragraph" w:customStyle="1" w:styleId="xxxmsonormal">
    <w:name w:val="x_xxmsonormal"/>
    <w:basedOn w:val="Normal"/>
    <w:rsid w:val="004C5E13"/>
    <w:pPr>
      <w:spacing w:before="100" w:beforeAutospacing="1" w:after="100" w:afterAutospacing="1" w:line="240" w:lineRule="auto"/>
    </w:pPr>
    <w:rPr>
      <w:rFonts w:ascii="Calibri" w:hAnsi="Calibri" w:cs="Calibri"/>
      <w:lang w:eastAsia="en-AU"/>
    </w:rPr>
  </w:style>
  <w:style w:type="paragraph" w:styleId="ListParagraph">
    <w:name w:val="List Paragraph"/>
    <w:basedOn w:val="Normal"/>
    <w:uiPriority w:val="34"/>
    <w:qFormat/>
    <w:rsid w:val="004C5E13"/>
    <w:pPr>
      <w:spacing w:after="0" w:line="240" w:lineRule="auto"/>
      <w:ind w:left="720"/>
      <w:contextualSpacing/>
    </w:pPr>
    <w:rPr>
      <w:rFonts w:ascii="Calibri" w:hAnsi="Calibri" w:cs="Calibri"/>
    </w:rPr>
  </w:style>
  <w:style w:type="paragraph" w:customStyle="1" w:styleId="DPCbullet1">
    <w:name w:val="DPC bullet 1"/>
    <w:basedOn w:val="Normal"/>
    <w:qFormat/>
    <w:rsid w:val="00EC05E1"/>
    <w:pPr>
      <w:spacing w:after="60" w:line="300" w:lineRule="atLeast"/>
      <w:ind w:left="284" w:hanging="284"/>
    </w:pPr>
    <w:rPr>
      <w:rFonts w:eastAsia="Times" w:cs="Arial"/>
      <w:color w:val="000000" w:themeColor="text1"/>
    </w:rPr>
  </w:style>
  <w:style w:type="paragraph" w:customStyle="1" w:styleId="DPCbullet2">
    <w:name w:val="DPC bullet 2"/>
    <w:basedOn w:val="Normal"/>
    <w:uiPriority w:val="2"/>
    <w:qFormat/>
    <w:rsid w:val="00EC05E1"/>
    <w:pPr>
      <w:spacing w:after="60" w:line="300" w:lineRule="atLeast"/>
      <w:ind w:left="567" w:hanging="283"/>
    </w:pPr>
    <w:rPr>
      <w:rFonts w:eastAsia="Times" w:cs="Arial"/>
      <w:color w:val="000000" w:themeColor="text1"/>
    </w:rPr>
  </w:style>
  <w:style w:type="numbering" w:customStyle="1" w:styleId="ZZBullets">
    <w:name w:val="ZZ Bullets"/>
    <w:rsid w:val="003D251B"/>
    <w:pPr>
      <w:numPr>
        <w:numId w:val="17"/>
      </w:numPr>
    </w:pPr>
  </w:style>
  <w:style w:type="paragraph" w:customStyle="1" w:styleId="BodyVPSC">
    <w:name w:val="Body VPSC"/>
    <w:link w:val="BodyVPSCChar"/>
    <w:qFormat/>
    <w:rsid w:val="00B471E1"/>
    <w:pPr>
      <w:spacing w:after="100" w:line="276" w:lineRule="auto"/>
    </w:pPr>
    <w:rPr>
      <w:rFonts w:ascii="Arial" w:eastAsia="Times New Roman" w:hAnsi="Arial" w:cs="Tahoma"/>
      <w:color w:val="000000" w:themeColor="text1"/>
      <w:sz w:val="20"/>
      <w:szCs w:val="20"/>
      <w:lang w:eastAsia="en-AU"/>
    </w:rPr>
  </w:style>
  <w:style w:type="character" w:customStyle="1" w:styleId="BodyVPSCChar">
    <w:name w:val="Body VPSC Char"/>
    <w:basedOn w:val="DefaultParagraphFont"/>
    <w:link w:val="BodyVPSC"/>
    <w:rsid w:val="00B471E1"/>
    <w:rPr>
      <w:rFonts w:ascii="Arial" w:eastAsia="Times New Roman" w:hAnsi="Arial" w:cs="Tahoma"/>
      <w:color w:val="000000" w:themeColor="text1"/>
      <w:sz w:val="20"/>
      <w:szCs w:val="20"/>
      <w:lang w:eastAsia="en-AU"/>
    </w:rPr>
  </w:style>
  <w:style w:type="paragraph" w:styleId="TOCHeading">
    <w:name w:val="TOC Heading"/>
    <w:basedOn w:val="Heading1"/>
    <w:next w:val="Normal"/>
    <w:uiPriority w:val="39"/>
    <w:unhideWhenUsed/>
    <w:qFormat/>
    <w:rsid w:val="00075917"/>
    <w:pPr>
      <w:outlineLvl w:val="9"/>
    </w:pPr>
    <w:rPr>
      <w:lang w:val="en-US"/>
    </w:rPr>
  </w:style>
  <w:style w:type="paragraph" w:styleId="TOC1">
    <w:name w:val="toc 1"/>
    <w:basedOn w:val="Normal"/>
    <w:next w:val="Normal"/>
    <w:autoRedefine/>
    <w:uiPriority w:val="39"/>
    <w:unhideWhenUsed/>
    <w:rsid w:val="00962235"/>
    <w:pPr>
      <w:tabs>
        <w:tab w:val="right" w:leader="dot" w:pos="9288"/>
      </w:tabs>
      <w:spacing w:after="100"/>
    </w:pPr>
    <w:rPr>
      <w:rFonts w:ascii="Arial" w:eastAsia="MS Gothic" w:hAnsi="Arial" w:cs="Arial"/>
      <w:bCs/>
      <w:noProof/>
      <w:kern w:val="32"/>
    </w:rPr>
  </w:style>
  <w:style w:type="paragraph" w:styleId="TOC2">
    <w:name w:val="toc 2"/>
    <w:basedOn w:val="Normal"/>
    <w:next w:val="Normal"/>
    <w:autoRedefine/>
    <w:uiPriority w:val="39"/>
    <w:unhideWhenUsed/>
    <w:rsid w:val="0096427A"/>
    <w:pPr>
      <w:tabs>
        <w:tab w:val="right" w:leader="dot" w:pos="9288"/>
      </w:tabs>
      <w:spacing w:after="100"/>
      <w:ind w:left="567"/>
    </w:pPr>
    <w:rPr>
      <w:rFonts w:ascii="Arial" w:eastAsia="MS Gothic" w:hAnsi="Arial" w:cs="Arial"/>
      <w:bCs/>
      <w:iCs/>
      <w:noProof/>
    </w:rPr>
  </w:style>
  <w:style w:type="character" w:styleId="Hyperlink">
    <w:name w:val="Hyperlink"/>
    <w:uiPriority w:val="99"/>
    <w:rsid w:val="003D251B"/>
    <w:rPr>
      <w:color w:val="287E84"/>
      <w:u w:val="dotted"/>
    </w:rPr>
  </w:style>
  <w:style w:type="paragraph" w:customStyle="1" w:styleId="DPCbody">
    <w:name w:val="DPC body"/>
    <w:qFormat/>
    <w:rsid w:val="00050748"/>
    <w:pPr>
      <w:spacing w:line="300" w:lineRule="atLeast"/>
    </w:pPr>
    <w:rPr>
      <w:rFonts w:eastAsia="Times" w:cs="Arial"/>
      <w:color w:val="000000" w:themeColor="text1"/>
    </w:rPr>
  </w:style>
  <w:style w:type="paragraph" w:customStyle="1" w:styleId="DPCbodyaftertablefigure">
    <w:name w:val="DPC body after table/figure"/>
    <w:basedOn w:val="DPCbody"/>
    <w:uiPriority w:val="1"/>
    <w:rsid w:val="00050748"/>
    <w:pPr>
      <w:spacing w:before="240"/>
    </w:pPr>
  </w:style>
  <w:style w:type="paragraph" w:customStyle="1" w:styleId="DPCbodyafterbullets">
    <w:name w:val="DPC body after bullets"/>
    <w:basedOn w:val="DPCbody"/>
    <w:uiPriority w:val="11"/>
    <w:rsid w:val="00050748"/>
    <w:pPr>
      <w:spacing w:before="160"/>
    </w:pPr>
  </w:style>
  <w:style w:type="character" w:styleId="UnresolvedMention">
    <w:name w:val="Unresolved Mention"/>
    <w:basedOn w:val="DefaultParagraphFont"/>
    <w:uiPriority w:val="99"/>
    <w:unhideWhenUsed/>
    <w:rsid w:val="003D251B"/>
    <w:rPr>
      <w:color w:val="605E5C"/>
      <w:shd w:val="clear" w:color="auto" w:fill="E1DFDD"/>
    </w:rPr>
  </w:style>
  <w:style w:type="character" w:styleId="FollowedHyperlink">
    <w:name w:val="FollowedHyperlink"/>
    <w:basedOn w:val="DefaultParagraphFont"/>
    <w:uiPriority w:val="99"/>
    <w:semiHidden/>
    <w:unhideWhenUsed/>
    <w:rsid w:val="00607796"/>
    <w:rPr>
      <w:color w:val="954F72" w:themeColor="followedHyperlink"/>
      <w:u w:val="single"/>
    </w:rPr>
  </w:style>
  <w:style w:type="paragraph" w:customStyle="1" w:styleId="DPCtabletext">
    <w:name w:val="DPC table text"/>
    <w:uiPriority w:val="3"/>
    <w:qFormat/>
    <w:rsid w:val="000C5B2A"/>
    <w:pPr>
      <w:spacing w:before="60" w:after="40" w:line="240" w:lineRule="auto"/>
    </w:pPr>
    <w:rPr>
      <w:rFonts w:eastAsia="Times New Roman" w:cs="Times New Roman"/>
      <w:color w:val="000000" w:themeColor="text1"/>
      <w:sz w:val="20"/>
      <w:szCs w:val="20"/>
    </w:rPr>
  </w:style>
  <w:style w:type="paragraph" w:customStyle="1" w:styleId="DPCtablecaption">
    <w:name w:val="DPC table caption"/>
    <w:next w:val="DPCbody"/>
    <w:uiPriority w:val="3"/>
    <w:qFormat/>
    <w:rsid w:val="000C5B2A"/>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DPCtablebullet">
    <w:name w:val="DPC table bullet"/>
    <w:basedOn w:val="DPCtabletext"/>
    <w:uiPriority w:val="3"/>
    <w:qFormat/>
    <w:rsid w:val="000C5B2A"/>
    <w:pPr>
      <w:numPr>
        <w:numId w:val="23"/>
      </w:numPr>
    </w:pPr>
  </w:style>
  <w:style w:type="paragraph" w:customStyle="1" w:styleId="DPCtablecolhead">
    <w:name w:val="DPC table col head"/>
    <w:uiPriority w:val="3"/>
    <w:qFormat/>
    <w:rsid w:val="000C5B2A"/>
    <w:pPr>
      <w:spacing w:before="80" w:after="60" w:line="240" w:lineRule="auto"/>
    </w:pPr>
    <w:rPr>
      <w:rFonts w:asciiTheme="majorHAnsi" w:eastAsia="Times New Roman" w:hAnsiTheme="majorHAnsi" w:cs="Times New Roman"/>
      <w:b/>
      <w:color w:val="53565A"/>
      <w:sz w:val="20"/>
      <w:szCs w:val="20"/>
    </w:rPr>
  </w:style>
  <w:style w:type="numbering" w:customStyle="1" w:styleId="ZZTablebullets">
    <w:name w:val="ZZ Table bullets"/>
    <w:basedOn w:val="ZZBullets"/>
    <w:uiPriority w:val="99"/>
    <w:rsid w:val="000C5B2A"/>
    <w:pPr>
      <w:numPr>
        <w:numId w:val="23"/>
      </w:numPr>
    </w:pPr>
  </w:style>
  <w:style w:type="paragraph" w:customStyle="1" w:styleId="DPCtabletext6pt">
    <w:name w:val="DPC table text + 6pt"/>
    <w:basedOn w:val="DPCtabletext"/>
    <w:uiPriority w:val="11"/>
    <w:rsid w:val="000C5B2A"/>
    <w:pPr>
      <w:spacing w:after="120"/>
    </w:pPr>
  </w:style>
  <w:style w:type="paragraph" w:styleId="Revision">
    <w:name w:val="Revision"/>
    <w:hidden/>
    <w:uiPriority w:val="99"/>
    <w:semiHidden/>
    <w:rsid w:val="00D51D56"/>
    <w:pPr>
      <w:spacing w:after="0" w:line="240" w:lineRule="auto"/>
    </w:pPr>
  </w:style>
  <w:style w:type="paragraph" w:customStyle="1" w:styleId="DraftDefinition2">
    <w:name w:val="Draft Definition 2"/>
    <w:next w:val="Normal"/>
    <w:rsid w:val="006D308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table" w:styleId="TableGridLight">
    <w:name w:val="Grid Table Light"/>
    <w:basedOn w:val="TableNormal"/>
    <w:uiPriority w:val="40"/>
    <w:rsid w:val="004B2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91DF0"/>
    <w:pPr>
      <w:autoSpaceDE w:val="0"/>
      <w:autoSpaceDN w:val="0"/>
      <w:adjustRightInd w:val="0"/>
      <w:spacing w:after="0" w:line="240" w:lineRule="auto"/>
    </w:pPr>
    <w:rPr>
      <w:rFonts w:ascii="Graphik Regular" w:hAnsi="Graphik Regular" w:cs="Graphik Regular"/>
      <w:color w:val="000000"/>
      <w:sz w:val="24"/>
      <w:szCs w:val="24"/>
    </w:rPr>
  </w:style>
  <w:style w:type="character" w:styleId="Mention">
    <w:name w:val="Mention"/>
    <w:basedOn w:val="DefaultParagraphFont"/>
    <w:uiPriority w:val="99"/>
    <w:unhideWhenUsed/>
    <w:rsid w:val="006B3CBE"/>
    <w:rPr>
      <w:color w:val="2B579A"/>
      <w:shd w:val="clear" w:color="auto" w:fill="E1DFDD"/>
    </w:rPr>
  </w:style>
  <w:style w:type="character" w:customStyle="1" w:styleId="Heading3Char">
    <w:name w:val="Heading 3 Char"/>
    <w:basedOn w:val="DefaultParagraphFont"/>
    <w:link w:val="Heading3"/>
    <w:uiPriority w:val="9"/>
    <w:rsid w:val="003D251B"/>
    <w:rPr>
      <w:rFonts w:ascii="VIC SemiBold" w:eastAsiaTheme="majorEastAsia" w:hAnsi="VIC SemiBold" w:cstheme="minorHAnsi"/>
      <w:color w:val="5C308D"/>
      <w:sz w:val="24"/>
      <w:szCs w:val="24"/>
    </w:rPr>
  </w:style>
  <w:style w:type="character" w:customStyle="1" w:styleId="Heading4Char">
    <w:name w:val="Heading 4 Char"/>
    <w:basedOn w:val="DefaultParagraphFont"/>
    <w:link w:val="Heading4"/>
    <w:uiPriority w:val="9"/>
    <w:semiHidden/>
    <w:rsid w:val="003D251B"/>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3D251B"/>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qFormat/>
    <w:rsid w:val="003D251B"/>
    <w:rPr>
      <w:rFonts w:ascii="VIC" w:hAnsi="VIC"/>
      <w:i/>
      <w:iCs/>
      <w:color w:val="287E84"/>
    </w:rPr>
  </w:style>
  <w:style w:type="paragraph" w:styleId="IntenseQuote">
    <w:name w:val="Intense Quote"/>
    <w:aliases w:val="Callout box Jade"/>
    <w:basedOn w:val="Normal"/>
    <w:next w:val="Normal"/>
    <w:link w:val="IntenseQuoteChar"/>
    <w:autoRedefine/>
    <w:uiPriority w:val="30"/>
    <w:qFormat/>
    <w:rsid w:val="003D251B"/>
    <w:pPr>
      <w:framePr w:wrap="notBeside" w:vAnchor="text" w:hAnchor="text" w:y="1"/>
      <w:pBdr>
        <w:top w:val="single" w:sz="12" w:space="10" w:color="287E84"/>
        <w:left w:val="single" w:sz="12" w:space="4" w:color="287E84"/>
        <w:bottom w:val="single" w:sz="12" w:space="10" w:color="287E84"/>
        <w:right w:val="single" w:sz="12" w:space="4" w:color="287E84"/>
      </w:pBdr>
      <w:spacing w:before="240" w:after="240" w:line="240" w:lineRule="auto"/>
      <w:ind w:left="510" w:right="510"/>
      <w:contextualSpacing/>
    </w:pPr>
    <w:rPr>
      <w:iCs/>
      <w:color w:val="287E84"/>
    </w:rPr>
  </w:style>
  <w:style w:type="character" w:customStyle="1" w:styleId="IntenseQuoteChar">
    <w:name w:val="Intense Quote Char"/>
    <w:aliases w:val="Callout box Jade Char"/>
    <w:basedOn w:val="DefaultParagraphFont"/>
    <w:link w:val="IntenseQuote"/>
    <w:uiPriority w:val="30"/>
    <w:rsid w:val="003D251B"/>
    <w:rPr>
      <w:rFonts w:ascii="VIC" w:hAnsi="VIC"/>
      <w:iCs/>
      <w:color w:val="287E84"/>
    </w:rPr>
  </w:style>
  <w:style w:type="character" w:styleId="IntenseReference">
    <w:name w:val="Intense Reference"/>
    <w:basedOn w:val="DefaultParagraphFont"/>
    <w:uiPriority w:val="32"/>
    <w:qFormat/>
    <w:rsid w:val="003D251B"/>
    <w:rPr>
      <w:rFonts w:ascii="VIC" w:hAnsi="VIC"/>
      <w:b/>
      <w:bCs/>
      <w:smallCaps/>
      <w:color w:val="287E84"/>
      <w:spacing w:val="5"/>
    </w:rPr>
  </w:style>
  <w:style w:type="paragraph" w:styleId="Title">
    <w:name w:val="Title"/>
    <w:basedOn w:val="Normal"/>
    <w:next w:val="Normal"/>
    <w:link w:val="TitleChar"/>
    <w:uiPriority w:val="10"/>
    <w:qFormat/>
    <w:rsid w:val="003D25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51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D251B"/>
    <w:rPr>
      <w:rFonts w:ascii="VIC" w:hAnsi="VIC"/>
      <w:i/>
      <w:iCs/>
      <w:color w:val="404040" w:themeColor="text1" w:themeTint="BF"/>
    </w:rPr>
  </w:style>
  <w:style w:type="character" w:styleId="Emphasis">
    <w:name w:val="Emphasis"/>
    <w:basedOn w:val="DefaultParagraphFont"/>
    <w:uiPriority w:val="20"/>
    <w:qFormat/>
    <w:rsid w:val="003D251B"/>
    <w:rPr>
      <w:rFonts w:ascii="VIC" w:hAnsi="VIC"/>
      <w:i/>
      <w:iCs/>
    </w:rPr>
  </w:style>
  <w:style w:type="character" w:styleId="Strong">
    <w:name w:val="Strong"/>
    <w:basedOn w:val="DefaultParagraphFont"/>
    <w:uiPriority w:val="22"/>
    <w:qFormat/>
    <w:rsid w:val="003D251B"/>
    <w:rPr>
      <w:rFonts w:ascii="VIC" w:hAnsi="VIC"/>
      <w:b/>
      <w:bCs/>
    </w:rPr>
  </w:style>
  <w:style w:type="character" w:styleId="SubtleReference">
    <w:name w:val="Subtle Reference"/>
    <w:basedOn w:val="DefaultParagraphFont"/>
    <w:uiPriority w:val="31"/>
    <w:qFormat/>
    <w:rsid w:val="003D251B"/>
    <w:rPr>
      <w:rFonts w:ascii="VIC" w:hAnsi="VIC"/>
      <w:smallCaps/>
      <w:color w:val="5A5A5A" w:themeColor="text1" w:themeTint="A5"/>
    </w:rPr>
  </w:style>
  <w:style w:type="character" w:styleId="BookTitle">
    <w:name w:val="Book Title"/>
    <w:basedOn w:val="DefaultParagraphFont"/>
    <w:uiPriority w:val="33"/>
    <w:qFormat/>
    <w:rsid w:val="003D251B"/>
    <w:rPr>
      <w:rFonts w:ascii="VIC" w:hAnsi="VIC"/>
      <w:b/>
      <w:bCs/>
      <w:i/>
      <w:iCs/>
      <w:spacing w:val="5"/>
    </w:rPr>
  </w:style>
  <w:style w:type="paragraph" w:customStyle="1" w:styleId="Documenttitle">
    <w:name w:val="Document title"/>
    <w:uiPriority w:val="8"/>
    <w:rsid w:val="003D251B"/>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3D251B"/>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3D251B"/>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3D25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link w:val="BodyChar"/>
    <w:qFormat/>
    <w:rsid w:val="003D251B"/>
    <w:pPr>
      <w:spacing w:after="120" w:line="280" w:lineRule="atLeast"/>
    </w:pPr>
    <w:rPr>
      <w:rFonts w:ascii="VIC" w:eastAsia="Times" w:hAnsi="VIC" w:cs="Times New Roman"/>
      <w:szCs w:val="20"/>
    </w:rPr>
  </w:style>
  <w:style w:type="paragraph" w:customStyle="1" w:styleId="Bullet1">
    <w:name w:val="Bullet 1"/>
    <w:basedOn w:val="Body"/>
    <w:qFormat/>
    <w:rsid w:val="003D251B"/>
    <w:pPr>
      <w:numPr>
        <w:numId w:val="17"/>
      </w:numPr>
      <w:tabs>
        <w:tab w:val="num" w:pos="360"/>
      </w:tabs>
      <w:spacing w:after="40"/>
      <w:ind w:left="0" w:firstLine="0"/>
    </w:pPr>
  </w:style>
  <w:style w:type="paragraph" w:customStyle="1" w:styleId="Bullet2">
    <w:name w:val="Bullet 2"/>
    <w:basedOn w:val="Body"/>
    <w:uiPriority w:val="2"/>
    <w:qFormat/>
    <w:rsid w:val="003D251B"/>
    <w:pPr>
      <w:numPr>
        <w:ilvl w:val="1"/>
        <w:numId w:val="17"/>
      </w:numPr>
      <w:tabs>
        <w:tab w:val="num" w:pos="360"/>
      </w:tabs>
      <w:spacing w:after="40"/>
      <w:ind w:left="0" w:firstLine="0"/>
    </w:pPr>
  </w:style>
  <w:style w:type="paragraph" w:customStyle="1" w:styleId="Bodyafterbullets">
    <w:name w:val="Body after bullets"/>
    <w:basedOn w:val="Body"/>
    <w:uiPriority w:val="11"/>
    <w:rsid w:val="003D251B"/>
    <w:pPr>
      <w:spacing w:before="120"/>
    </w:pPr>
  </w:style>
  <w:style w:type="character" w:customStyle="1" w:styleId="BodyChar">
    <w:name w:val="Body Char"/>
    <w:basedOn w:val="DefaultParagraphFont"/>
    <w:link w:val="Body"/>
    <w:rsid w:val="003D251B"/>
    <w:rPr>
      <w:rFonts w:ascii="VIC" w:eastAsia="Times" w:hAnsi="VIC" w:cs="Times New Roman"/>
      <w:szCs w:val="20"/>
    </w:rPr>
  </w:style>
  <w:style w:type="paragraph" w:customStyle="1" w:styleId="Calloutbox">
    <w:name w:val="Calloutbox"/>
    <w:basedOn w:val="IntenseQuote"/>
    <w:next w:val="Body"/>
    <w:link w:val="CalloutboxChar"/>
    <w:autoRedefine/>
    <w:qFormat/>
    <w:rsid w:val="007419AB"/>
    <w:pPr>
      <w:keepNext/>
      <w:framePr w:wrap="notBeside"/>
      <w:spacing w:after="0"/>
    </w:pPr>
  </w:style>
  <w:style w:type="character" w:customStyle="1" w:styleId="normaltextrun">
    <w:name w:val="normaltextrun"/>
    <w:basedOn w:val="DefaultParagraphFont"/>
    <w:rsid w:val="006D7D88"/>
  </w:style>
  <w:style w:type="character" w:customStyle="1" w:styleId="CalloutboxChar">
    <w:name w:val="Calloutbox Char"/>
    <w:basedOn w:val="IntenseQuoteChar"/>
    <w:link w:val="Calloutbox"/>
    <w:rsid w:val="003210E6"/>
    <w:rPr>
      <w:rFonts w:ascii="VIC" w:hAnsi="VIC"/>
      <w:iCs/>
      <w:color w:val="287E84"/>
    </w:rPr>
  </w:style>
  <w:style w:type="character" w:customStyle="1" w:styleId="eop">
    <w:name w:val="eop"/>
    <w:basedOn w:val="DefaultParagraphFont"/>
    <w:rsid w:val="006D7D88"/>
  </w:style>
  <w:style w:type="paragraph" w:customStyle="1" w:styleId="paragraph">
    <w:name w:val="paragraph"/>
    <w:basedOn w:val="Normal"/>
    <w:rsid w:val="006D7D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D7D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D88"/>
    <w:rPr>
      <w:rFonts w:ascii="VIC" w:hAnsi="VIC"/>
      <w:sz w:val="20"/>
      <w:szCs w:val="20"/>
    </w:rPr>
  </w:style>
  <w:style w:type="character" w:styleId="EndnoteReference">
    <w:name w:val="endnote reference"/>
    <w:basedOn w:val="DefaultParagraphFont"/>
    <w:uiPriority w:val="99"/>
    <w:semiHidden/>
    <w:unhideWhenUsed/>
    <w:rsid w:val="006D7D88"/>
    <w:rPr>
      <w:vertAlign w:val="superscript"/>
    </w:rPr>
  </w:style>
  <w:style w:type="character" w:styleId="PlaceholderText">
    <w:name w:val="Placeholder Text"/>
    <w:basedOn w:val="DefaultParagraphFont"/>
    <w:uiPriority w:val="99"/>
    <w:semiHidden/>
    <w:rsid w:val="002E6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342">
      <w:bodyDiv w:val="1"/>
      <w:marLeft w:val="0"/>
      <w:marRight w:val="0"/>
      <w:marTop w:val="0"/>
      <w:marBottom w:val="0"/>
      <w:divBdr>
        <w:top w:val="none" w:sz="0" w:space="0" w:color="auto"/>
        <w:left w:val="none" w:sz="0" w:space="0" w:color="auto"/>
        <w:bottom w:val="none" w:sz="0" w:space="0" w:color="auto"/>
        <w:right w:val="none" w:sz="0" w:space="0" w:color="auto"/>
      </w:divBdr>
    </w:div>
    <w:div w:id="21563822">
      <w:bodyDiv w:val="1"/>
      <w:marLeft w:val="0"/>
      <w:marRight w:val="0"/>
      <w:marTop w:val="0"/>
      <w:marBottom w:val="0"/>
      <w:divBdr>
        <w:top w:val="none" w:sz="0" w:space="0" w:color="auto"/>
        <w:left w:val="none" w:sz="0" w:space="0" w:color="auto"/>
        <w:bottom w:val="none" w:sz="0" w:space="0" w:color="auto"/>
        <w:right w:val="none" w:sz="0" w:space="0" w:color="auto"/>
      </w:divBdr>
    </w:div>
    <w:div w:id="139885414">
      <w:bodyDiv w:val="1"/>
      <w:marLeft w:val="0"/>
      <w:marRight w:val="0"/>
      <w:marTop w:val="0"/>
      <w:marBottom w:val="0"/>
      <w:divBdr>
        <w:top w:val="none" w:sz="0" w:space="0" w:color="auto"/>
        <w:left w:val="none" w:sz="0" w:space="0" w:color="auto"/>
        <w:bottom w:val="none" w:sz="0" w:space="0" w:color="auto"/>
        <w:right w:val="none" w:sz="0" w:space="0" w:color="auto"/>
      </w:divBdr>
    </w:div>
    <w:div w:id="148593513">
      <w:bodyDiv w:val="1"/>
      <w:marLeft w:val="0"/>
      <w:marRight w:val="0"/>
      <w:marTop w:val="0"/>
      <w:marBottom w:val="0"/>
      <w:divBdr>
        <w:top w:val="none" w:sz="0" w:space="0" w:color="auto"/>
        <w:left w:val="none" w:sz="0" w:space="0" w:color="auto"/>
        <w:bottom w:val="none" w:sz="0" w:space="0" w:color="auto"/>
        <w:right w:val="none" w:sz="0" w:space="0" w:color="auto"/>
      </w:divBdr>
    </w:div>
    <w:div w:id="194973176">
      <w:bodyDiv w:val="1"/>
      <w:marLeft w:val="0"/>
      <w:marRight w:val="0"/>
      <w:marTop w:val="0"/>
      <w:marBottom w:val="0"/>
      <w:divBdr>
        <w:top w:val="none" w:sz="0" w:space="0" w:color="auto"/>
        <w:left w:val="none" w:sz="0" w:space="0" w:color="auto"/>
        <w:bottom w:val="none" w:sz="0" w:space="0" w:color="auto"/>
        <w:right w:val="none" w:sz="0" w:space="0" w:color="auto"/>
      </w:divBdr>
    </w:div>
    <w:div w:id="214584319">
      <w:bodyDiv w:val="1"/>
      <w:marLeft w:val="0"/>
      <w:marRight w:val="0"/>
      <w:marTop w:val="0"/>
      <w:marBottom w:val="0"/>
      <w:divBdr>
        <w:top w:val="none" w:sz="0" w:space="0" w:color="auto"/>
        <w:left w:val="none" w:sz="0" w:space="0" w:color="auto"/>
        <w:bottom w:val="none" w:sz="0" w:space="0" w:color="auto"/>
        <w:right w:val="none" w:sz="0" w:space="0" w:color="auto"/>
      </w:divBdr>
    </w:div>
    <w:div w:id="361706947">
      <w:bodyDiv w:val="1"/>
      <w:marLeft w:val="0"/>
      <w:marRight w:val="0"/>
      <w:marTop w:val="0"/>
      <w:marBottom w:val="0"/>
      <w:divBdr>
        <w:top w:val="none" w:sz="0" w:space="0" w:color="auto"/>
        <w:left w:val="none" w:sz="0" w:space="0" w:color="auto"/>
        <w:bottom w:val="none" w:sz="0" w:space="0" w:color="auto"/>
        <w:right w:val="none" w:sz="0" w:space="0" w:color="auto"/>
      </w:divBdr>
    </w:div>
    <w:div w:id="461654762">
      <w:bodyDiv w:val="1"/>
      <w:marLeft w:val="0"/>
      <w:marRight w:val="0"/>
      <w:marTop w:val="0"/>
      <w:marBottom w:val="0"/>
      <w:divBdr>
        <w:top w:val="none" w:sz="0" w:space="0" w:color="auto"/>
        <w:left w:val="none" w:sz="0" w:space="0" w:color="auto"/>
        <w:bottom w:val="none" w:sz="0" w:space="0" w:color="auto"/>
        <w:right w:val="none" w:sz="0" w:space="0" w:color="auto"/>
      </w:divBdr>
    </w:div>
    <w:div w:id="476607119">
      <w:bodyDiv w:val="1"/>
      <w:marLeft w:val="0"/>
      <w:marRight w:val="0"/>
      <w:marTop w:val="0"/>
      <w:marBottom w:val="0"/>
      <w:divBdr>
        <w:top w:val="none" w:sz="0" w:space="0" w:color="auto"/>
        <w:left w:val="none" w:sz="0" w:space="0" w:color="auto"/>
        <w:bottom w:val="none" w:sz="0" w:space="0" w:color="auto"/>
        <w:right w:val="none" w:sz="0" w:space="0" w:color="auto"/>
      </w:divBdr>
      <w:divsChild>
        <w:div w:id="1600792943">
          <w:marLeft w:val="0"/>
          <w:marRight w:val="0"/>
          <w:marTop w:val="0"/>
          <w:marBottom w:val="0"/>
          <w:divBdr>
            <w:top w:val="none" w:sz="0" w:space="0" w:color="auto"/>
            <w:left w:val="none" w:sz="0" w:space="0" w:color="auto"/>
            <w:bottom w:val="none" w:sz="0" w:space="0" w:color="auto"/>
            <w:right w:val="none" w:sz="0" w:space="0" w:color="auto"/>
          </w:divBdr>
        </w:div>
      </w:divsChild>
    </w:div>
    <w:div w:id="504638025">
      <w:bodyDiv w:val="1"/>
      <w:marLeft w:val="0"/>
      <w:marRight w:val="0"/>
      <w:marTop w:val="0"/>
      <w:marBottom w:val="0"/>
      <w:divBdr>
        <w:top w:val="none" w:sz="0" w:space="0" w:color="auto"/>
        <w:left w:val="none" w:sz="0" w:space="0" w:color="auto"/>
        <w:bottom w:val="none" w:sz="0" w:space="0" w:color="auto"/>
        <w:right w:val="none" w:sz="0" w:space="0" w:color="auto"/>
      </w:divBdr>
    </w:div>
    <w:div w:id="557398418">
      <w:bodyDiv w:val="1"/>
      <w:marLeft w:val="0"/>
      <w:marRight w:val="0"/>
      <w:marTop w:val="0"/>
      <w:marBottom w:val="0"/>
      <w:divBdr>
        <w:top w:val="none" w:sz="0" w:space="0" w:color="auto"/>
        <w:left w:val="none" w:sz="0" w:space="0" w:color="auto"/>
        <w:bottom w:val="none" w:sz="0" w:space="0" w:color="auto"/>
        <w:right w:val="none" w:sz="0" w:space="0" w:color="auto"/>
      </w:divBdr>
    </w:div>
    <w:div w:id="572471245">
      <w:bodyDiv w:val="1"/>
      <w:marLeft w:val="0"/>
      <w:marRight w:val="0"/>
      <w:marTop w:val="0"/>
      <w:marBottom w:val="0"/>
      <w:divBdr>
        <w:top w:val="none" w:sz="0" w:space="0" w:color="auto"/>
        <w:left w:val="none" w:sz="0" w:space="0" w:color="auto"/>
        <w:bottom w:val="none" w:sz="0" w:space="0" w:color="auto"/>
        <w:right w:val="none" w:sz="0" w:space="0" w:color="auto"/>
      </w:divBdr>
    </w:div>
    <w:div w:id="618025853">
      <w:bodyDiv w:val="1"/>
      <w:marLeft w:val="0"/>
      <w:marRight w:val="0"/>
      <w:marTop w:val="0"/>
      <w:marBottom w:val="0"/>
      <w:divBdr>
        <w:top w:val="none" w:sz="0" w:space="0" w:color="auto"/>
        <w:left w:val="none" w:sz="0" w:space="0" w:color="auto"/>
        <w:bottom w:val="none" w:sz="0" w:space="0" w:color="auto"/>
        <w:right w:val="none" w:sz="0" w:space="0" w:color="auto"/>
      </w:divBdr>
    </w:div>
    <w:div w:id="638653097">
      <w:bodyDiv w:val="1"/>
      <w:marLeft w:val="0"/>
      <w:marRight w:val="0"/>
      <w:marTop w:val="0"/>
      <w:marBottom w:val="0"/>
      <w:divBdr>
        <w:top w:val="none" w:sz="0" w:space="0" w:color="auto"/>
        <w:left w:val="none" w:sz="0" w:space="0" w:color="auto"/>
        <w:bottom w:val="none" w:sz="0" w:space="0" w:color="auto"/>
        <w:right w:val="none" w:sz="0" w:space="0" w:color="auto"/>
      </w:divBdr>
    </w:div>
    <w:div w:id="785612441">
      <w:bodyDiv w:val="1"/>
      <w:marLeft w:val="0"/>
      <w:marRight w:val="0"/>
      <w:marTop w:val="0"/>
      <w:marBottom w:val="0"/>
      <w:divBdr>
        <w:top w:val="none" w:sz="0" w:space="0" w:color="auto"/>
        <w:left w:val="none" w:sz="0" w:space="0" w:color="auto"/>
        <w:bottom w:val="none" w:sz="0" w:space="0" w:color="auto"/>
        <w:right w:val="none" w:sz="0" w:space="0" w:color="auto"/>
      </w:divBdr>
    </w:div>
    <w:div w:id="998537926">
      <w:bodyDiv w:val="1"/>
      <w:marLeft w:val="0"/>
      <w:marRight w:val="0"/>
      <w:marTop w:val="0"/>
      <w:marBottom w:val="0"/>
      <w:divBdr>
        <w:top w:val="none" w:sz="0" w:space="0" w:color="auto"/>
        <w:left w:val="none" w:sz="0" w:space="0" w:color="auto"/>
        <w:bottom w:val="none" w:sz="0" w:space="0" w:color="auto"/>
        <w:right w:val="none" w:sz="0" w:space="0" w:color="auto"/>
      </w:divBdr>
    </w:div>
    <w:div w:id="1086610055">
      <w:bodyDiv w:val="1"/>
      <w:marLeft w:val="0"/>
      <w:marRight w:val="0"/>
      <w:marTop w:val="0"/>
      <w:marBottom w:val="0"/>
      <w:divBdr>
        <w:top w:val="none" w:sz="0" w:space="0" w:color="auto"/>
        <w:left w:val="none" w:sz="0" w:space="0" w:color="auto"/>
        <w:bottom w:val="none" w:sz="0" w:space="0" w:color="auto"/>
        <w:right w:val="none" w:sz="0" w:space="0" w:color="auto"/>
      </w:divBdr>
    </w:div>
    <w:div w:id="1097940845">
      <w:bodyDiv w:val="1"/>
      <w:marLeft w:val="0"/>
      <w:marRight w:val="0"/>
      <w:marTop w:val="0"/>
      <w:marBottom w:val="0"/>
      <w:divBdr>
        <w:top w:val="none" w:sz="0" w:space="0" w:color="auto"/>
        <w:left w:val="none" w:sz="0" w:space="0" w:color="auto"/>
        <w:bottom w:val="none" w:sz="0" w:space="0" w:color="auto"/>
        <w:right w:val="none" w:sz="0" w:space="0" w:color="auto"/>
      </w:divBdr>
    </w:div>
    <w:div w:id="1173377188">
      <w:bodyDiv w:val="1"/>
      <w:marLeft w:val="0"/>
      <w:marRight w:val="0"/>
      <w:marTop w:val="0"/>
      <w:marBottom w:val="0"/>
      <w:divBdr>
        <w:top w:val="none" w:sz="0" w:space="0" w:color="auto"/>
        <w:left w:val="none" w:sz="0" w:space="0" w:color="auto"/>
        <w:bottom w:val="none" w:sz="0" w:space="0" w:color="auto"/>
        <w:right w:val="none" w:sz="0" w:space="0" w:color="auto"/>
      </w:divBdr>
    </w:div>
    <w:div w:id="1174107373">
      <w:bodyDiv w:val="1"/>
      <w:marLeft w:val="0"/>
      <w:marRight w:val="0"/>
      <w:marTop w:val="0"/>
      <w:marBottom w:val="0"/>
      <w:divBdr>
        <w:top w:val="none" w:sz="0" w:space="0" w:color="auto"/>
        <w:left w:val="none" w:sz="0" w:space="0" w:color="auto"/>
        <w:bottom w:val="none" w:sz="0" w:space="0" w:color="auto"/>
        <w:right w:val="none" w:sz="0" w:space="0" w:color="auto"/>
      </w:divBdr>
      <w:divsChild>
        <w:div w:id="88160812">
          <w:marLeft w:val="0"/>
          <w:marRight w:val="0"/>
          <w:marTop w:val="0"/>
          <w:marBottom w:val="0"/>
          <w:divBdr>
            <w:top w:val="none" w:sz="0" w:space="0" w:color="auto"/>
            <w:left w:val="none" w:sz="0" w:space="0" w:color="auto"/>
            <w:bottom w:val="none" w:sz="0" w:space="0" w:color="auto"/>
            <w:right w:val="none" w:sz="0" w:space="0" w:color="auto"/>
          </w:divBdr>
          <w:divsChild>
            <w:div w:id="1863203531">
              <w:marLeft w:val="0"/>
              <w:marRight w:val="0"/>
              <w:marTop w:val="0"/>
              <w:marBottom w:val="0"/>
              <w:divBdr>
                <w:top w:val="none" w:sz="0" w:space="0" w:color="auto"/>
                <w:left w:val="none" w:sz="0" w:space="0" w:color="auto"/>
                <w:bottom w:val="none" w:sz="0" w:space="0" w:color="auto"/>
                <w:right w:val="none" w:sz="0" w:space="0" w:color="auto"/>
              </w:divBdr>
              <w:divsChild>
                <w:div w:id="832528454">
                  <w:marLeft w:val="0"/>
                  <w:marRight w:val="0"/>
                  <w:marTop w:val="0"/>
                  <w:marBottom w:val="0"/>
                  <w:divBdr>
                    <w:top w:val="none" w:sz="0" w:space="0" w:color="auto"/>
                    <w:left w:val="none" w:sz="0" w:space="0" w:color="auto"/>
                    <w:bottom w:val="none" w:sz="0" w:space="0" w:color="auto"/>
                    <w:right w:val="none" w:sz="0" w:space="0" w:color="auto"/>
                  </w:divBdr>
                  <w:divsChild>
                    <w:div w:id="273751066">
                      <w:marLeft w:val="0"/>
                      <w:marRight w:val="0"/>
                      <w:marTop w:val="0"/>
                      <w:marBottom w:val="0"/>
                      <w:divBdr>
                        <w:top w:val="none" w:sz="0" w:space="0" w:color="auto"/>
                        <w:left w:val="none" w:sz="0" w:space="0" w:color="auto"/>
                        <w:bottom w:val="none" w:sz="0" w:space="0" w:color="auto"/>
                        <w:right w:val="none" w:sz="0" w:space="0" w:color="auto"/>
                      </w:divBdr>
                      <w:divsChild>
                        <w:div w:id="1248081310">
                          <w:marLeft w:val="0"/>
                          <w:marRight w:val="0"/>
                          <w:marTop w:val="0"/>
                          <w:marBottom w:val="0"/>
                          <w:divBdr>
                            <w:top w:val="none" w:sz="0" w:space="0" w:color="auto"/>
                            <w:left w:val="none" w:sz="0" w:space="0" w:color="auto"/>
                            <w:bottom w:val="none" w:sz="0" w:space="0" w:color="auto"/>
                            <w:right w:val="none" w:sz="0" w:space="0" w:color="auto"/>
                          </w:divBdr>
                          <w:divsChild>
                            <w:div w:id="171336149">
                              <w:marLeft w:val="0"/>
                              <w:marRight w:val="0"/>
                              <w:marTop w:val="0"/>
                              <w:marBottom w:val="0"/>
                              <w:divBdr>
                                <w:top w:val="none" w:sz="0" w:space="0" w:color="auto"/>
                                <w:left w:val="none" w:sz="0" w:space="0" w:color="auto"/>
                                <w:bottom w:val="none" w:sz="0" w:space="0" w:color="auto"/>
                                <w:right w:val="none" w:sz="0" w:space="0" w:color="auto"/>
                              </w:divBdr>
                              <w:divsChild>
                                <w:div w:id="68118939">
                                  <w:marLeft w:val="0"/>
                                  <w:marRight w:val="0"/>
                                  <w:marTop w:val="0"/>
                                  <w:marBottom w:val="0"/>
                                  <w:divBdr>
                                    <w:top w:val="none" w:sz="0" w:space="0" w:color="auto"/>
                                    <w:left w:val="none" w:sz="0" w:space="0" w:color="auto"/>
                                    <w:bottom w:val="none" w:sz="0" w:space="0" w:color="auto"/>
                                    <w:right w:val="none" w:sz="0" w:space="0" w:color="auto"/>
                                  </w:divBdr>
                                  <w:divsChild>
                                    <w:div w:id="2064137364">
                                      <w:marLeft w:val="0"/>
                                      <w:marRight w:val="0"/>
                                      <w:marTop w:val="0"/>
                                      <w:marBottom w:val="0"/>
                                      <w:divBdr>
                                        <w:top w:val="none" w:sz="0" w:space="0" w:color="auto"/>
                                        <w:left w:val="none" w:sz="0" w:space="0" w:color="auto"/>
                                        <w:bottom w:val="none" w:sz="0" w:space="0" w:color="auto"/>
                                        <w:right w:val="none" w:sz="0" w:space="0" w:color="auto"/>
                                      </w:divBdr>
                                      <w:divsChild>
                                        <w:div w:id="240071183">
                                          <w:marLeft w:val="0"/>
                                          <w:marRight w:val="0"/>
                                          <w:marTop w:val="0"/>
                                          <w:marBottom w:val="0"/>
                                          <w:divBdr>
                                            <w:top w:val="none" w:sz="0" w:space="0" w:color="auto"/>
                                            <w:left w:val="none" w:sz="0" w:space="0" w:color="auto"/>
                                            <w:bottom w:val="none" w:sz="0" w:space="0" w:color="auto"/>
                                            <w:right w:val="single" w:sz="6" w:space="0" w:color="BBBBBB"/>
                                          </w:divBdr>
                                          <w:divsChild>
                                            <w:div w:id="10422049">
                                              <w:marLeft w:val="0"/>
                                              <w:marRight w:val="0"/>
                                              <w:marTop w:val="0"/>
                                              <w:marBottom w:val="0"/>
                                              <w:divBdr>
                                                <w:top w:val="single" w:sz="2" w:space="0" w:color="DFDFDF"/>
                                                <w:left w:val="single" w:sz="2" w:space="0" w:color="DFDFDF"/>
                                                <w:bottom w:val="single" w:sz="6" w:space="0" w:color="DFDFDF"/>
                                                <w:right w:val="single" w:sz="2" w:space="0" w:color="DFDFDF"/>
                                              </w:divBdr>
                                            </w:div>
                                            <w:div w:id="19354580">
                                              <w:marLeft w:val="0"/>
                                              <w:marRight w:val="0"/>
                                              <w:marTop w:val="0"/>
                                              <w:marBottom w:val="0"/>
                                              <w:divBdr>
                                                <w:top w:val="single" w:sz="2" w:space="0" w:color="DFDFDF"/>
                                                <w:left w:val="single" w:sz="2" w:space="0" w:color="DFDFDF"/>
                                                <w:bottom w:val="single" w:sz="6" w:space="0" w:color="DFDFDF"/>
                                                <w:right w:val="single" w:sz="2" w:space="0" w:color="DFDFDF"/>
                                              </w:divBdr>
                                            </w:div>
                                            <w:div w:id="115878800">
                                              <w:marLeft w:val="0"/>
                                              <w:marRight w:val="0"/>
                                              <w:marTop w:val="0"/>
                                              <w:marBottom w:val="0"/>
                                              <w:divBdr>
                                                <w:top w:val="single" w:sz="2" w:space="0" w:color="DFDFDF"/>
                                                <w:left w:val="single" w:sz="2" w:space="0" w:color="DFDFDF"/>
                                                <w:bottom w:val="single" w:sz="6" w:space="0" w:color="DFDFDF"/>
                                                <w:right w:val="single" w:sz="2" w:space="0" w:color="DFDFDF"/>
                                              </w:divBdr>
                                            </w:div>
                                            <w:div w:id="224295741">
                                              <w:marLeft w:val="0"/>
                                              <w:marRight w:val="0"/>
                                              <w:marTop w:val="0"/>
                                              <w:marBottom w:val="0"/>
                                              <w:divBdr>
                                                <w:top w:val="single" w:sz="2" w:space="0" w:color="DFDFDF"/>
                                                <w:left w:val="single" w:sz="2" w:space="0" w:color="DFDFDF"/>
                                                <w:bottom w:val="single" w:sz="6" w:space="0" w:color="DFDFDF"/>
                                                <w:right w:val="single" w:sz="2" w:space="0" w:color="DFDFDF"/>
                                              </w:divBdr>
                                            </w:div>
                                            <w:div w:id="247543851">
                                              <w:marLeft w:val="0"/>
                                              <w:marRight w:val="0"/>
                                              <w:marTop w:val="0"/>
                                              <w:marBottom w:val="0"/>
                                              <w:divBdr>
                                                <w:top w:val="single" w:sz="2" w:space="0" w:color="BFBFBF"/>
                                                <w:left w:val="single" w:sz="2" w:space="0" w:color="BFBFBF"/>
                                                <w:bottom w:val="single" w:sz="6" w:space="0" w:color="BFBFBF"/>
                                                <w:right w:val="single" w:sz="2" w:space="0" w:color="BFBFBF"/>
                                              </w:divBdr>
                                            </w:div>
                                            <w:div w:id="343441077">
                                              <w:marLeft w:val="0"/>
                                              <w:marRight w:val="0"/>
                                              <w:marTop w:val="0"/>
                                              <w:marBottom w:val="0"/>
                                              <w:divBdr>
                                                <w:top w:val="single" w:sz="2" w:space="0" w:color="DFDFDF"/>
                                                <w:left w:val="single" w:sz="2" w:space="0" w:color="DFDFDF"/>
                                                <w:bottom w:val="single" w:sz="6" w:space="0" w:color="DFDFDF"/>
                                                <w:right w:val="single" w:sz="2" w:space="0" w:color="DFDFDF"/>
                                              </w:divBdr>
                                            </w:div>
                                            <w:div w:id="348261487">
                                              <w:marLeft w:val="0"/>
                                              <w:marRight w:val="0"/>
                                              <w:marTop w:val="0"/>
                                              <w:marBottom w:val="0"/>
                                              <w:divBdr>
                                                <w:top w:val="single" w:sz="2" w:space="0" w:color="DFDFDF"/>
                                                <w:left w:val="single" w:sz="2" w:space="0" w:color="DFDFDF"/>
                                                <w:bottom w:val="single" w:sz="6" w:space="0" w:color="DFDFDF"/>
                                                <w:right w:val="single" w:sz="2" w:space="0" w:color="DFDFDF"/>
                                              </w:divBdr>
                                            </w:div>
                                            <w:div w:id="465247248">
                                              <w:marLeft w:val="0"/>
                                              <w:marRight w:val="0"/>
                                              <w:marTop w:val="0"/>
                                              <w:marBottom w:val="0"/>
                                              <w:divBdr>
                                                <w:top w:val="single" w:sz="2" w:space="0" w:color="DFDFDF"/>
                                                <w:left w:val="single" w:sz="2" w:space="0" w:color="DFDFDF"/>
                                                <w:bottom w:val="single" w:sz="6" w:space="0" w:color="DFDFDF"/>
                                                <w:right w:val="single" w:sz="2" w:space="0" w:color="DFDFDF"/>
                                              </w:divBdr>
                                            </w:div>
                                            <w:div w:id="512843247">
                                              <w:marLeft w:val="0"/>
                                              <w:marRight w:val="0"/>
                                              <w:marTop w:val="0"/>
                                              <w:marBottom w:val="0"/>
                                              <w:divBdr>
                                                <w:top w:val="single" w:sz="2" w:space="0" w:color="DFDFDF"/>
                                                <w:left w:val="single" w:sz="2" w:space="0" w:color="DFDFDF"/>
                                                <w:bottom w:val="single" w:sz="6" w:space="0" w:color="DFDFDF"/>
                                                <w:right w:val="single" w:sz="2" w:space="0" w:color="DFDFDF"/>
                                              </w:divBdr>
                                            </w:div>
                                            <w:div w:id="711812048">
                                              <w:marLeft w:val="0"/>
                                              <w:marRight w:val="0"/>
                                              <w:marTop w:val="0"/>
                                              <w:marBottom w:val="0"/>
                                              <w:divBdr>
                                                <w:top w:val="single" w:sz="2" w:space="0" w:color="DFDFDF"/>
                                                <w:left w:val="single" w:sz="2" w:space="0" w:color="DFDFDF"/>
                                                <w:bottom w:val="single" w:sz="6" w:space="0" w:color="DFDFDF"/>
                                                <w:right w:val="single" w:sz="2" w:space="0" w:color="DFDFDF"/>
                                              </w:divBdr>
                                            </w:div>
                                            <w:div w:id="748163225">
                                              <w:marLeft w:val="0"/>
                                              <w:marRight w:val="0"/>
                                              <w:marTop w:val="0"/>
                                              <w:marBottom w:val="0"/>
                                              <w:divBdr>
                                                <w:top w:val="single" w:sz="2" w:space="0" w:color="DFDFDF"/>
                                                <w:left w:val="single" w:sz="2" w:space="0" w:color="DFDFDF"/>
                                                <w:bottom w:val="single" w:sz="6" w:space="0" w:color="DFDFDF"/>
                                                <w:right w:val="single" w:sz="2" w:space="0" w:color="DFDFDF"/>
                                              </w:divBdr>
                                            </w:div>
                                            <w:div w:id="796988834">
                                              <w:marLeft w:val="0"/>
                                              <w:marRight w:val="0"/>
                                              <w:marTop w:val="0"/>
                                              <w:marBottom w:val="0"/>
                                              <w:divBdr>
                                                <w:top w:val="single" w:sz="2" w:space="0" w:color="DFDFDF"/>
                                                <w:left w:val="single" w:sz="2" w:space="0" w:color="DFDFDF"/>
                                                <w:bottom w:val="single" w:sz="6" w:space="0" w:color="DFDFDF"/>
                                                <w:right w:val="single" w:sz="2" w:space="0" w:color="DFDFDF"/>
                                              </w:divBdr>
                                            </w:div>
                                            <w:div w:id="821896130">
                                              <w:marLeft w:val="0"/>
                                              <w:marRight w:val="0"/>
                                              <w:marTop w:val="0"/>
                                              <w:marBottom w:val="0"/>
                                              <w:divBdr>
                                                <w:top w:val="single" w:sz="2" w:space="0" w:color="DFDFDF"/>
                                                <w:left w:val="single" w:sz="2" w:space="0" w:color="DFDFDF"/>
                                                <w:bottom w:val="single" w:sz="6" w:space="0" w:color="DFDFDF"/>
                                                <w:right w:val="single" w:sz="2" w:space="0" w:color="DFDFDF"/>
                                              </w:divBdr>
                                            </w:div>
                                            <w:div w:id="903837033">
                                              <w:marLeft w:val="0"/>
                                              <w:marRight w:val="0"/>
                                              <w:marTop w:val="0"/>
                                              <w:marBottom w:val="0"/>
                                              <w:divBdr>
                                                <w:top w:val="single" w:sz="2" w:space="0" w:color="DFDFDF"/>
                                                <w:left w:val="single" w:sz="2" w:space="0" w:color="DFDFDF"/>
                                                <w:bottom w:val="single" w:sz="6" w:space="0" w:color="DFDFDF"/>
                                                <w:right w:val="single" w:sz="2" w:space="0" w:color="DFDFDF"/>
                                              </w:divBdr>
                                            </w:div>
                                            <w:div w:id="918057034">
                                              <w:marLeft w:val="0"/>
                                              <w:marRight w:val="0"/>
                                              <w:marTop w:val="0"/>
                                              <w:marBottom w:val="0"/>
                                              <w:divBdr>
                                                <w:top w:val="single" w:sz="2" w:space="0" w:color="DFDFDF"/>
                                                <w:left w:val="single" w:sz="2" w:space="0" w:color="DFDFDF"/>
                                                <w:bottom w:val="single" w:sz="6" w:space="0" w:color="DFDFDF"/>
                                                <w:right w:val="single" w:sz="2" w:space="0" w:color="DFDFDF"/>
                                              </w:divBdr>
                                            </w:div>
                                            <w:div w:id="930353641">
                                              <w:marLeft w:val="0"/>
                                              <w:marRight w:val="0"/>
                                              <w:marTop w:val="0"/>
                                              <w:marBottom w:val="0"/>
                                              <w:divBdr>
                                                <w:top w:val="single" w:sz="2" w:space="0" w:color="DFDFDF"/>
                                                <w:left w:val="single" w:sz="2" w:space="0" w:color="DFDFDF"/>
                                                <w:bottom w:val="single" w:sz="6" w:space="0" w:color="DFDFDF"/>
                                                <w:right w:val="single" w:sz="2" w:space="0" w:color="DFDFDF"/>
                                              </w:divBdr>
                                            </w:div>
                                            <w:div w:id="971204912">
                                              <w:marLeft w:val="0"/>
                                              <w:marRight w:val="0"/>
                                              <w:marTop w:val="0"/>
                                              <w:marBottom w:val="0"/>
                                              <w:divBdr>
                                                <w:top w:val="single" w:sz="2" w:space="0" w:color="BFBFBF"/>
                                                <w:left w:val="single" w:sz="2" w:space="0" w:color="BFBFBF"/>
                                                <w:bottom w:val="single" w:sz="6" w:space="0" w:color="BFBFBF"/>
                                                <w:right w:val="single" w:sz="2" w:space="0" w:color="BFBFBF"/>
                                              </w:divBdr>
                                            </w:div>
                                            <w:div w:id="1167552139">
                                              <w:marLeft w:val="0"/>
                                              <w:marRight w:val="0"/>
                                              <w:marTop w:val="0"/>
                                              <w:marBottom w:val="0"/>
                                              <w:divBdr>
                                                <w:top w:val="single" w:sz="2" w:space="0" w:color="DFDFDF"/>
                                                <w:left w:val="single" w:sz="2" w:space="0" w:color="DFDFDF"/>
                                                <w:bottom w:val="single" w:sz="6" w:space="0" w:color="DFDFDF"/>
                                                <w:right w:val="single" w:sz="2" w:space="0" w:color="DFDFDF"/>
                                              </w:divBdr>
                                            </w:div>
                                            <w:div w:id="1239050274">
                                              <w:marLeft w:val="0"/>
                                              <w:marRight w:val="0"/>
                                              <w:marTop w:val="0"/>
                                              <w:marBottom w:val="0"/>
                                              <w:divBdr>
                                                <w:top w:val="single" w:sz="2" w:space="0" w:color="DFDFDF"/>
                                                <w:left w:val="single" w:sz="2" w:space="0" w:color="DFDFDF"/>
                                                <w:bottom w:val="single" w:sz="6" w:space="0" w:color="DFDFDF"/>
                                                <w:right w:val="single" w:sz="2" w:space="0" w:color="DFDFDF"/>
                                              </w:divBdr>
                                            </w:div>
                                            <w:div w:id="1309632934">
                                              <w:marLeft w:val="0"/>
                                              <w:marRight w:val="0"/>
                                              <w:marTop w:val="0"/>
                                              <w:marBottom w:val="0"/>
                                              <w:divBdr>
                                                <w:top w:val="single" w:sz="2" w:space="0" w:color="DFDFDF"/>
                                                <w:left w:val="single" w:sz="2" w:space="0" w:color="DFDFDF"/>
                                                <w:bottom w:val="single" w:sz="6" w:space="0" w:color="DFDFDF"/>
                                                <w:right w:val="single" w:sz="2" w:space="0" w:color="DFDFDF"/>
                                              </w:divBdr>
                                            </w:div>
                                            <w:div w:id="1359357318">
                                              <w:marLeft w:val="0"/>
                                              <w:marRight w:val="0"/>
                                              <w:marTop w:val="0"/>
                                              <w:marBottom w:val="0"/>
                                              <w:divBdr>
                                                <w:top w:val="single" w:sz="2" w:space="0" w:color="DFDFDF"/>
                                                <w:left w:val="single" w:sz="2" w:space="0" w:color="DFDFDF"/>
                                                <w:bottom w:val="single" w:sz="6" w:space="0" w:color="DFDFDF"/>
                                                <w:right w:val="single" w:sz="2" w:space="0" w:color="DFDFDF"/>
                                              </w:divBdr>
                                            </w:div>
                                            <w:div w:id="1522282050">
                                              <w:marLeft w:val="0"/>
                                              <w:marRight w:val="0"/>
                                              <w:marTop w:val="0"/>
                                              <w:marBottom w:val="0"/>
                                              <w:divBdr>
                                                <w:top w:val="single" w:sz="2" w:space="0" w:color="DFDFDF"/>
                                                <w:left w:val="single" w:sz="2" w:space="0" w:color="DFDFDF"/>
                                                <w:bottom w:val="single" w:sz="6" w:space="0" w:color="DFDFDF"/>
                                                <w:right w:val="single" w:sz="2" w:space="0" w:color="DFDFDF"/>
                                              </w:divBdr>
                                            </w:div>
                                            <w:div w:id="1704474646">
                                              <w:marLeft w:val="0"/>
                                              <w:marRight w:val="0"/>
                                              <w:marTop w:val="0"/>
                                              <w:marBottom w:val="0"/>
                                              <w:divBdr>
                                                <w:top w:val="single" w:sz="2" w:space="0" w:color="DFDFDF"/>
                                                <w:left w:val="single" w:sz="2" w:space="0" w:color="DFDFDF"/>
                                                <w:bottom w:val="single" w:sz="6" w:space="0" w:color="DFDFDF"/>
                                                <w:right w:val="single" w:sz="2" w:space="0" w:color="DFDFDF"/>
                                              </w:divBdr>
                                            </w:div>
                                            <w:div w:id="1712143126">
                                              <w:marLeft w:val="0"/>
                                              <w:marRight w:val="0"/>
                                              <w:marTop w:val="0"/>
                                              <w:marBottom w:val="0"/>
                                              <w:divBdr>
                                                <w:top w:val="single" w:sz="2" w:space="0" w:color="DFDFDF"/>
                                                <w:left w:val="single" w:sz="2" w:space="0" w:color="DFDFDF"/>
                                                <w:bottom w:val="single" w:sz="6" w:space="0" w:color="DFDFDF"/>
                                                <w:right w:val="single" w:sz="2" w:space="0" w:color="DFDFDF"/>
                                              </w:divBdr>
                                            </w:div>
                                            <w:div w:id="1859390401">
                                              <w:marLeft w:val="0"/>
                                              <w:marRight w:val="0"/>
                                              <w:marTop w:val="0"/>
                                              <w:marBottom w:val="0"/>
                                              <w:divBdr>
                                                <w:top w:val="single" w:sz="2" w:space="0" w:color="DFDFDF"/>
                                                <w:left w:val="single" w:sz="2" w:space="0" w:color="DFDFDF"/>
                                                <w:bottom w:val="single" w:sz="6" w:space="0" w:color="DFDFDF"/>
                                                <w:right w:val="single" w:sz="2" w:space="0" w:color="DFDFDF"/>
                                              </w:divBdr>
                                            </w:div>
                                            <w:div w:id="1959331095">
                                              <w:marLeft w:val="0"/>
                                              <w:marRight w:val="0"/>
                                              <w:marTop w:val="0"/>
                                              <w:marBottom w:val="0"/>
                                              <w:divBdr>
                                                <w:top w:val="single" w:sz="2" w:space="0" w:color="DFDFDF"/>
                                                <w:left w:val="single" w:sz="2" w:space="0" w:color="DFDFDF"/>
                                                <w:bottom w:val="single" w:sz="6" w:space="0" w:color="DFDFDF"/>
                                                <w:right w:val="single" w:sz="2" w:space="0" w:color="DFDFDF"/>
                                              </w:divBdr>
                                            </w:div>
                                            <w:div w:id="1998267262">
                                              <w:marLeft w:val="0"/>
                                              <w:marRight w:val="0"/>
                                              <w:marTop w:val="0"/>
                                              <w:marBottom w:val="0"/>
                                              <w:divBdr>
                                                <w:top w:val="single" w:sz="2" w:space="0" w:color="DFDFDF"/>
                                                <w:left w:val="single" w:sz="2" w:space="0" w:color="DFDFDF"/>
                                                <w:bottom w:val="single" w:sz="6" w:space="0" w:color="DFDFDF"/>
                                                <w:right w:val="single" w:sz="2" w:space="0" w:color="DFDFDF"/>
                                              </w:divBdr>
                                            </w:div>
                                            <w:div w:id="2052148984">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1105035198">
                      <w:marLeft w:val="0"/>
                      <w:marRight w:val="0"/>
                      <w:marTop w:val="0"/>
                      <w:marBottom w:val="0"/>
                      <w:divBdr>
                        <w:top w:val="none" w:sz="0" w:space="0" w:color="auto"/>
                        <w:left w:val="none" w:sz="0" w:space="0" w:color="auto"/>
                        <w:bottom w:val="none" w:sz="0" w:space="0" w:color="auto"/>
                        <w:right w:val="none" w:sz="0" w:space="0" w:color="auto"/>
                      </w:divBdr>
                      <w:divsChild>
                        <w:div w:id="2023700909">
                          <w:marLeft w:val="0"/>
                          <w:marRight w:val="0"/>
                          <w:marTop w:val="0"/>
                          <w:marBottom w:val="0"/>
                          <w:divBdr>
                            <w:top w:val="none" w:sz="0" w:space="0" w:color="auto"/>
                            <w:left w:val="none" w:sz="0" w:space="0" w:color="auto"/>
                            <w:bottom w:val="none" w:sz="0" w:space="0" w:color="auto"/>
                            <w:right w:val="none" w:sz="0" w:space="0" w:color="auto"/>
                          </w:divBdr>
                          <w:divsChild>
                            <w:div w:id="2001349711">
                              <w:marLeft w:val="0"/>
                              <w:marRight w:val="0"/>
                              <w:marTop w:val="0"/>
                              <w:marBottom w:val="0"/>
                              <w:divBdr>
                                <w:top w:val="none" w:sz="0" w:space="0" w:color="auto"/>
                                <w:left w:val="none" w:sz="0" w:space="0" w:color="auto"/>
                                <w:bottom w:val="none" w:sz="0" w:space="0" w:color="auto"/>
                                <w:right w:val="none" w:sz="0" w:space="0" w:color="auto"/>
                              </w:divBdr>
                              <w:divsChild>
                                <w:div w:id="1312831258">
                                  <w:marLeft w:val="0"/>
                                  <w:marRight w:val="0"/>
                                  <w:marTop w:val="0"/>
                                  <w:marBottom w:val="0"/>
                                  <w:divBdr>
                                    <w:top w:val="none" w:sz="0" w:space="0" w:color="auto"/>
                                    <w:left w:val="none" w:sz="0" w:space="0" w:color="auto"/>
                                    <w:bottom w:val="none" w:sz="0" w:space="0" w:color="auto"/>
                                    <w:right w:val="none" w:sz="0" w:space="0" w:color="auto"/>
                                  </w:divBdr>
                                  <w:divsChild>
                                    <w:div w:id="2043245538">
                                      <w:marLeft w:val="0"/>
                                      <w:marRight w:val="0"/>
                                      <w:marTop w:val="0"/>
                                      <w:marBottom w:val="0"/>
                                      <w:divBdr>
                                        <w:top w:val="none" w:sz="0" w:space="0" w:color="auto"/>
                                        <w:left w:val="none" w:sz="0" w:space="0" w:color="auto"/>
                                        <w:bottom w:val="none" w:sz="0" w:space="0" w:color="auto"/>
                                        <w:right w:val="none" w:sz="0" w:space="0" w:color="auto"/>
                                      </w:divBdr>
                                      <w:divsChild>
                                        <w:div w:id="1081875061">
                                          <w:marLeft w:val="0"/>
                                          <w:marRight w:val="0"/>
                                          <w:marTop w:val="0"/>
                                          <w:marBottom w:val="0"/>
                                          <w:divBdr>
                                            <w:top w:val="none" w:sz="0" w:space="0" w:color="auto"/>
                                            <w:left w:val="none" w:sz="0" w:space="0" w:color="auto"/>
                                            <w:bottom w:val="single" w:sz="6" w:space="0" w:color="BBBBBB"/>
                                            <w:right w:val="none" w:sz="0" w:space="0" w:color="auto"/>
                                          </w:divBdr>
                                          <w:divsChild>
                                            <w:div w:id="171604286">
                                              <w:marLeft w:val="0"/>
                                              <w:marRight w:val="0"/>
                                              <w:marTop w:val="0"/>
                                              <w:marBottom w:val="0"/>
                                              <w:divBdr>
                                                <w:top w:val="single" w:sz="2" w:space="0" w:color="DFDFDF"/>
                                                <w:left w:val="single" w:sz="2" w:space="0" w:color="DFDFDF"/>
                                                <w:bottom w:val="single" w:sz="2" w:space="0" w:color="DFDFDF"/>
                                                <w:right w:val="single" w:sz="6" w:space="0" w:color="DFDFDF"/>
                                              </w:divBdr>
                                            </w:div>
                                            <w:div w:id="454374874">
                                              <w:marLeft w:val="0"/>
                                              <w:marRight w:val="0"/>
                                              <w:marTop w:val="0"/>
                                              <w:marBottom w:val="0"/>
                                              <w:divBdr>
                                                <w:top w:val="single" w:sz="2" w:space="0" w:color="DFDFDF"/>
                                                <w:left w:val="single" w:sz="2" w:space="0" w:color="DFDFDF"/>
                                                <w:bottom w:val="single" w:sz="2" w:space="0" w:color="DFDFDF"/>
                                                <w:right w:val="single" w:sz="6" w:space="0" w:color="DFDFDF"/>
                                              </w:divBdr>
                                            </w:div>
                                            <w:div w:id="491801476">
                                              <w:marLeft w:val="0"/>
                                              <w:marRight w:val="0"/>
                                              <w:marTop w:val="0"/>
                                              <w:marBottom w:val="0"/>
                                              <w:divBdr>
                                                <w:top w:val="single" w:sz="2" w:space="0" w:color="BFBFBF"/>
                                                <w:left w:val="single" w:sz="2" w:space="0" w:color="BFBFBF"/>
                                                <w:bottom w:val="single" w:sz="2" w:space="0" w:color="BFBFBF"/>
                                                <w:right w:val="single" w:sz="6" w:space="0" w:color="BFBFBF"/>
                                              </w:divBdr>
                                            </w:div>
                                            <w:div w:id="530918555">
                                              <w:marLeft w:val="0"/>
                                              <w:marRight w:val="0"/>
                                              <w:marTop w:val="0"/>
                                              <w:marBottom w:val="0"/>
                                              <w:divBdr>
                                                <w:top w:val="single" w:sz="2" w:space="0" w:color="DFDFDF"/>
                                                <w:left w:val="single" w:sz="2" w:space="0" w:color="DFDFDF"/>
                                                <w:bottom w:val="single" w:sz="2" w:space="0" w:color="DFDFDF"/>
                                                <w:right w:val="single" w:sz="6" w:space="0" w:color="DFDFDF"/>
                                              </w:divBdr>
                                            </w:div>
                                            <w:div w:id="554701717">
                                              <w:marLeft w:val="0"/>
                                              <w:marRight w:val="0"/>
                                              <w:marTop w:val="0"/>
                                              <w:marBottom w:val="0"/>
                                              <w:divBdr>
                                                <w:top w:val="single" w:sz="2" w:space="0" w:color="DFDFDF"/>
                                                <w:left w:val="single" w:sz="2" w:space="0" w:color="DFDFDF"/>
                                                <w:bottom w:val="single" w:sz="2" w:space="0" w:color="DFDFDF"/>
                                                <w:right w:val="single" w:sz="6" w:space="0" w:color="DFDFDF"/>
                                              </w:divBdr>
                                            </w:div>
                                            <w:div w:id="571240575">
                                              <w:marLeft w:val="0"/>
                                              <w:marRight w:val="0"/>
                                              <w:marTop w:val="0"/>
                                              <w:marBottom w:val="0"/>
                                              <w:divBdr>
                                                <w:top w:val="single" w:sz="2" w:space="0" w:color="DFDFDF"/>
                                                <w:left w:val="single" w:sz="2" w:space="0" w:color="DFDFDF"/>
                                                <w:bottom w:val="single" w:sz="2" w:space="0" w:color="DFDFDF"/>
                                                <w:right w:val="single" w:sz="6" w:space="0" w:color="DFDFDF"/>
                                              </w:divBdr>
                                            </w:div>
                                            <w:div w:id="614753942">
                                              <w:marLeft w:val="0"/>
                                              <w:marRight w:val="0"/>
                                              <w:marTop w:val="0"/>
                                              <w:marBottom w:val="0"/>
                                              <w:divBdr>
                                                <w:top w:val="single" w:sz="2" w:space="0" w:color="DFDFDF"/>
                                                <w:left w:val="single" w:sz="2" w:space="0" w:color="DFDFDF"/>
                                                <w:bottom w:val="single" w:sz="2" w:space="0" w:color="DFDFDF"/>
                                                <w:right w:val="single" w:sz="6" w:space="0" w:color="DFDFDF"/>
                                              </w:divBdr>
                                            </w:div>
                                            <w:div w:id="626082090">
                                              <w:marLeft w:val="0"/>
                                              <w:marRight w:val="0"/>
                                              <w:marTop w:val="0"/>
                                              <w:marBottom w:val="0"/>
                                              <w:divBdr>
                                                <w:top w:val="single" w:sz="2" w:space="0" w:color="DFDFDF"/>
                                                <w:left w:val="single" w:sz="2" w:space="0" w:color="DFDFDF"/>
                                                <w:bottom w:val="single" w:sz="2" w:space="0" w:color="DFDFDF"/>
                                                <w:right w:val="single" w:sz="6" w:space="0" w:color="DFDFDF"/>
                                              </w:divBdr>
                                            </w:div>
                                            <w:div w:id="642007959">
                                              <w:marLeft w:val="0"/>
                                              <w:marRight w:val="0"/>
                                              <w:marTop w:val="0"/>
                                              <w:marBottom w:val="0"/>
                                              <w:divBdr>
                                                <w:top w:val="single" w:sz="2" w:space="0" w:color="DFDFDF"/>
                                                <w:left w:val="single" w:sz="2" w:space="0" w:color="DFDFDF"/>
                                                <w:bottom w:val="single" w:sz="2" w:space="0" w:color="DFDFDF"/>
                                                <w:right w:val="single" w:sz="6" w:space="0" w:color="DFDFDF"/>
                                              </w:divBdr>
                                            </w:div>
                                            <w:div w:id="680401603">
                                              <w:marLeft w:val="0"/>
                                              <w:marRight w:val="0"/>
                                              <w:marTop w:val="0"/>
                                              <w:marBottom w:val="0"/>
                                              <w:divBdr>
                                                <w:top w:val="single" w:sz="2" w:space="0" w:color="DFDFDF"/>
                                                <w:left w:val="single" w:sz="2" w:space="0" w:color="DFDFDF"/>
                                                <w:bottom w:val="single" w:sz="2" w:space="0" w:color="DFDFDF"/>
                                                <w:right w:val="single" w:sz="6" w:space="0" w:color="DFDFDF"/>
                                              </w:divBdr>
                                            </w:div>
                                            <w:div w:id="736131455">
                                              <w:marLeft w:val="0"/>
                                              <w:marRight w:val="0"/>
                                              <w:marTop w:val="0"/>
                                              <w:marBottom w:val="0"/>
                                              <w:divBdr>
                                                <w:top w:val="single" w:sz="2" w:space="0" w:color="DFDFDF"/>
                                                <w:left w:val="single" w:sz="2" w:space="0" w:color="DFDFDF"/>
                                                <w:bottom w:val="single" w:sz="2" w:space="0" w:color="DFDFDF"/>
                                                <w:right w:val="single" w:sz="6" w:space="0" w:color="DFDFDF"/>
                                              </w:divBdr>
                                            </w:div>
                                            <w:div w:id="840387264">
                                              <w:marLeft w:val="0"/>
                                              <w:marRight w:val="0"/>
                                              <w:marTop w:val="0"/>
                                              <w:marBottom w:val="0"/>
                                              <w:divBdr>
                                                <w:top w:val="single" w:sz="2" w:space="0" w:color="DFDFDF"/>
                                                <w:left w:val="single" w:sz="2" w:space="0" w:color="DFDFDF"/>
                                                <w:bottom w:val="single" w:sz="2" w:space="0" w:color="DFDFDF"/>
                                                <w:right w:val="single" w:sz="6" w:space="0" w:color="DFDFDF"/>
                                              </w:divBdr>
                                            </w:div>
                                            <w:div w:id="854075634">
                                              <w:marLeft w:val="0"/>
                                              <w:marRight w:val="0"/>
                                              <w:marTop w:val="0"/>
                                              <w:marBottom w:val="0"/>
                                              <w:divBdr>
                                                <w:top w:val="single" w:sz="2" w:space="0" w:color="DFDFDF"/>
                                                <w:left w:val="single" w:sz="2" w:space="0" w:color="DFDFDF"/>
                                                <w:bottom w:val="single" w:sz="2" w:space="0" w:color="DFDFDF"/>
                                                <w:right w:val="single" w:sz="6" w:space="0" w:color="DFDFDF"/>
                                              </w:divBdr>
                                            </w:div>
                                            <w:div w:id="855313237">
                                              <w:marLeft w:val="0"/>
                                              <w:marRight w:val="0"/>
                                              <w:marTop w:val="0"/>
                                              <w:marBottom w:val="0"/>
                                              <w:divBdr>
                                                <w:top w:val="single" w:sz="2" w:space="0" w:color="DFDFDF"/>
                                                <w:left w:val="single" w:sz="2" w:space="0" w:color="DFDFDF"/>
                                                <w:bottom w:val="single" w:sz="2" w:space="0" w:color="DFDFDF"/>
                                                <w:right w:val="single" w:sz="6" w:space="0" w:color="DFDFDF"/>
                                              </w:divBdr>
                                            </w:div>
                                            <w:div w:id="921986712">
                                              <w:marLeft w:val="0"/>
                                              <w:marRight w:val="0"/>
                                              <w:marTop w:val="0"/>
                                              <w:marBottom w:val="0"/>
                                              <w:divBdr>
                                                <w:top w:val="single" w:sz="2" w:space="0" w:color="DFDFDF"/>
                                                <w:left w:val="single" w:sz="2" w:space="0" w:color="DFDFDF"/>
                                                <w:bottom w:val="single" w:sz="2" w:space="0" w:color="DFDFDF"/>
                                                <w:right w:val="single" w:sz="6" w:space="0" w:color="DFDFDF"/>
                                              </w:divBdr>
                                            </w:div>
                                            <w:div w:id="938414886">
                                              <w:marLeft w:val="0"/>
                                              <w:marRight w:val="0"/>
                                              <w:marTop w:val="0"/>
                                              <w:marBottom w:val="0"/>
                                              <w:divBdr>
                                                <w:top w:val="single" w:sz="2" w:space="0" w:color="DFDFDF"/>
                                                <w:left w:val="single" w:sz="2" w:space="0" w:color="DFDFDF"/>
                                                <w:bottom w:val="single" w:sz="2" w:space="0" w:color="DFDFDF"/>
                                                <w:right w:val="single" w:sz="6" w:space="0" w:color="DFDFDF"/>
                                              </w:divBdr>
                                            </w:div>
                                            <w:div w:id="965549086">
                                              <w:marLeft w:val="0"/>
                                              <w:marRight w:val="0"/>
                                              <w:marTop w:val="0"/>
                                              <w:marBottom w:val="0"/>
                                              <w:divBdr>
                                                <w:top w:val="single" w:sz="2" w:space="0" w:color="DFDFDF"/>
                                                <w:left w:val="single" w:sz="2" w:space="0" w:color="DFDFDF"/>
                                                <w:bottom w:val="single" w:sz="2" w:space="0" w:color="DFDFDF"/>
                                                <w:right w:val="single" w:sz="6" w:space="0" w:color="DFDFDF"/>
                                              </w:divBdr>
                                            </w:div>
                                            <w:div w:id="1008169721">
                                              <w:marLeft w:val="0"/>
                                              <w:marRight w:val="0"/>
                                              <w:marTop w:val="0"/>
                                              <w:marBottom w:val="0"/>
                                              <w:divBdr>
                                                <w:top w:val="single" w:sz="2" w:space="0" w:color="DFDFDF"/>
                                                <w:left w:val="single" w:sz="2" w:space="0" w:color="DFDFDF"/>
                                                <w:bottom w:val="single" w:sz="2" w:space="0" w:color="DFDFDF"/>
                                                <w:right w:val="single" w:sz="6" w:space="0" w:color="DFDFDF"/>
                                              </w:divBdr>
                                            </w:div>
                                            <w:div w:id="1096318762">
                                              <w:marLeft w:val="0"/>
                                              <w:marRight w:val="0"/>
                                              <w:marTop w:val="0"/>
                                              <w:marBottom w:val="0"/>
                                              <w:divBdr>
                                                <w:top w:val="single" w:sz="2" w:space="0" w:color="DFDFDF"/>
                                                <w:left w:val="single" w:sz="2" w:space="0" w:color="DFDFDF"/>
                                                <w:bottom w:val="single" w:sz="2" w:space="0" w:color="DFDFDF"/>
                                                <w:right w:val="single" w:sz="6" w:space="0" w:color="DFDFDF"/>
                                              </w:divBdr>
                                            </w:div>
                                            <w:div w:id="1213930847">
                                              <w:marLeft w:val="0"/>
                                              <w:marRight w:val="0"/>
                                              <w:marTop w:val="0"/>
                                              <w:marBottom w:val="0"/>
                                              <w:divBdr>
                                                <w:top w:val="single" w:sz="2" w:space="0" w:color="DFDFDF"/>
                                                <w:left w:val="single" w:sz="2" w:space="0" w:color="DFDFDF"/>
                                                <w:bottom w:val="single" w:sz="2" w:space="0" w:color="DFDFDF"/>
                                                <w:right w:val="single" w:sz="6" w:space="0" w:color="DFDFDF"/>
                                              </w:divBdr>
                                            </w:div>
                                            <w:div w:id="1305350710">
                                              <w:marLeft w:val="0"/>
                                              <w:marRight w:val="0"/>
                                              <w:marTop w:val="0"/>
                                              <w:marBottom w:val="0"/>
                                              <w:divBdr>
                                                <w:top w:val="single" w:sz="2" w:space="0" w:color="DFDFDF"/>
                                                <w:left w:val="single" w:sz="2" w:space="0" w:color="DFDFDF"/>
                                                <w:bottom w:val="single" w:sz="2" w:space="0" w:color="DFDFDF"/>
                                                <w:right w:val="single" w:sz="6" w:space="0" w:color="DFDFDF"/>
                                              </w:divBdr>
                                            </w:div>
                                            <w:div w:id="1408184477">
                                              <w:marLeft w:val="0"/>
                                              <w:marRight w:val="0"/>
                                              <w:marTop w:val="0"/>
                                              <w:marBottom w:val="0"/>
                                              <w:divBdr>
                                                <w:top w:val="single" w:sz="2" w:space="0" w:color="BFBFBF"/>
                                                <w:left w:val="single" w:sz="2" w:space="0" w:color="BFBFBF"/>
                                                <w:bottom w:val="single" w:sz="2" w:space="0" w:color="BFBFBF"/>
                                                <w:right w:val="single" w:sz="6" w:space="0" w:color="BFBFBF"/>
                                              </w:divBdr>
                                            </w:div>
                                            <w:div w:id="1424767772">
                                              <w:marLeft w:val="0"/>
                                              <w:marRight w:val="0"/>
                                              <w:marTop w:val="0"/>
                                              <w:marBottom w:val="0"/>
                                              <w:divBdr>
                                                <w:top w:val="single" w:sz="2" w:space="0" w:color="DFDFDF"/>
                                                <w:left w:val="single" w:sz="2" w:space="0" w:color="DFDFDF"/>
                                                <w:bottom w:val="single" w:sz="2" w:space="0" w:color="DFDFDF"/>
                                                <w:right w:val="single" w:sz="6" w:space="0" w:color="DFDFDF"/>
                                              </w:divBdr>
                                            </w:div>
                                            <w:div w:id="1737361012">
                                              <w:marLeft w:val="0"/>
                                              <w:marRight w:val="0"/>
                                              <w:marTop w:val="0"/>
                                              <w:marBottom w:val="0"/>
                                              <w:divBdr>
                                                <w:top w:val="single" w:sz="2" w:space="0" w:color="DFDFDF"/>
                                                <w:left w:val="single" w:sz="2" w:space="0" w:color="DFDFDF"/>
                                                <w:bottom w:val="single" w:sz="2" w:space="0" w:color="DFDFDF"/>
                                                <w:right w:val="single" w:sz="6" w:space="0" w:color="DFDFDF"/>
                                              </w:divBdr>
                                            </w:div>
                                            <w:div w:id="1774666791">
                                              <w:marLeft w:val="0"/>
                                              <w:marRight w:val="0"/>
                                              <w:marTop w:val="0"/>
                                              <w:marBottom w:val="0"/>
                                              <w:divBdr>
                                                <w:top w:val="single" w:sz="2" w:space="0" w:color="DFDFDF"/>
                                                <w:left w:val="single" w:sz="2" w:space="0" w:color="DFDFDF"/>
                                                <w:bottom w:val="single" w:sz="2" w:space="0" w:color="DFDFDF"/>
                                                <w:right w:val="single" w:sz="6" w:space="0" w:color="DFDFDF"/>
                                              </w:divBdr>
                                            </w:div>
                                            <w:div w:id="1808161309">
                                              <w:marLeft w:val="0"/>
                                              <w:marRight w:val="0"/>
                                              <w:marTop w:val="0"/>
                                              <w:marBottom w:val="0"/>
                                              <w:divBdr>
                                                <w:top w:val="single" w:sz="2" w:space="0" w:color="DFDFDF"/>
                                                <w:left w:val="single" w:sz="2" w:space="0" w:color="DFDFDF"/>
                                                <w:bottom w:val="single" w:sz="2" w:space="0" w:color="DFDFDF"/>
                                                <w:right w:val="single" w:sz="6" w:space="0" w:color="DFDFDF"/>
                                              </w:divBdr>
                                            </w:div>
                                            <w:div w:id="1937706690">
                                              <w:marLeft w:val="0"/>
                                              <w:marRight w:val="0"/>
                                              <w:marTop w:val="0"/>
                                              <w:marBottom w:val="0"/>
                                              <w:divBdr>
                                                <w:top w:val="single" w:sz="2" w:space="0" w:color="DFDFDF"/>
                                                <w:left w:val="single" w:sz="2" w:space="0" w:color="DFDFDF"/>
                                                <w:bottom w:val="single" w:sz="2" w:space="0" w:color="DFDFDF"/>
                                                <w:right w:val="single" w:sz="6" w:space="0" w:color="DFDFDF"/>
                                              </w:divBdr>
                                            </w:div>
                                            <w:div w:id="2023817240">
                                              <w:marLeft w:val="0"/>
                                              <w:marRight w:val="0"/>
                                              <w:marTop w:val="0"/>
                                              <w:marBottom w:val="0"/>
                                              <w:divBdr>
                                                <w:top w:val="single" w:sz="2" w:space="0" w:color="DFDFDF"/>
                                                <w:left w:val="single" w:sz="2" w:space="0" w:color="DFDFDF"/>
                                                <w:bottom w:val="single" w:sz="2" w:space="0" w:color="DFDFDF"/>
                                                <w:right w:val="single" w:sz="6" w:space="0" w:color="DFDFDF"/>
                                              </w:divBdr>
                                            </w:div>
                                            <w:div w:id="2028021711">
                                              <w:marLeft w:val="0"/>
                                              <w:marRight w:val="0"/>
                                              <w:marTop w:val="0"/>
                                              <w:marBottom w:val="0"/>
                                              <w:divBdr>
                                                <w:top w:val="single" w:sz="2" w:space="0" w:color="DFDFDF"/>
                                                <w:left w:val="single" w:sz="2" w:space="0" w:color="DFDFDF"/>
                                                <w:bottom w:val="single" w:sz="2" w:space="0" w:color="DFDFDF"/>
                                                <w:right w:val="single" w:sz="6" w:space="0" w:color="DFDFDF"/>
                                              </w:divBdr>
                                            </w:div>
                                            <w:div w:id="209797026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sChild>
            </w:div>
          </w:divsChild>
        </w:div>
        <w:div w:id="263266039">
          <w:marLeft w:val="0"/>
          <w:marRight w:val="0"/>
          <w:marTop w:val="0"/>
          <w:marBottom w:val="0"/>
          <w:divBdr>
            <w:top w:val="none" w:sz="0" w:space="0" w:color="auto"/>
            <w:left w:val="none" w:sz="0" w:space="0" w:color="auto"/>
            <w:bottom w:val="none" w:sz="0" w:space="0" w:color="auto"/>
            <w:right w:val="none" w:sz="0" w:space="0" w:color="auto"/>
          </w:divBdr>
          <w:divsChild>
            <w:div w:id="1041172387">
              <w:marLeft w:val="0"/>
              <w:marRight w:val="0"/>
              <w:marTop w:val="0"/>
              <w:marBottom w:val="0"/>
              <w:divBdr>
                <w:top w:val="none" w:sz="0" w:space="0" w:color="auto"/>
                <w:left w:val="none" w:sz="0" w:space="0" w:color="auto"/>
                <w:bottom w:val="none" w:sz="0" w:space="0" w:color="auto"/>
                <w:right w:val="none" w:sz="0" w:space="0" w:color="auto"/>
              </w:divBdr>
              <w:divsChild>
                <w:div w:id="1618290629">
                  <w:marLeft w:val="0"/>
                  <w:marRight w:val="0"/>
                  <w:marTop w:val="100"/>
                  <w:marBottom w:val="100"/>
                  <w:divBdr>
                    <w:top w:val="none" w:sz="0" w:space="0" w:color="auto"/>
                    <w:left w:val="none" w:sz="0" w:space="0" w:color="auto"/>
                    <w:bottom w:val="none" w:sz="0" w:space="0" w:color="auto"/>
                    <w:right w:val="none" w:sz="0" w:space="0" w:color="auto"/>
                  </w:divBdr>
                  <w:divsChild>
                    <w:div w:id="314996230">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311519180">
      <w:bodyDiv w:val="1"/>
      <w:marLeft w:val="0"/>
      <w:marRight w:val="0"/>
      <w:marTop w:val="0"/>
      <w:marBottom w:val="0"/>
      <w:divBdr>
        <w:top w:val="none" w:sz="0" w:space="0" w:color="auto"/>
        <w:left w:val="none" w:sz="0" w:space="0" w:color="auto"/>
        <w:bottom w:val="none" w:sz="0" w:space="0" w:color="auto"/>
        <w:right w:val="none" w:sz="0" w:space="0" w:color="auto"/>
      </w:divBdr>
    </w:div>
    <w:div w:id="1408729031">
      <w:bodyDiv w:val="1"/>
      <w:marLeft w:val="0"/>
      <w:marRight w:val="0"/>
      <w:marTop w:val="0"/>
      <w:marBottom w:val="0"/>
      <w:divBdr>
        <w:top w:val="none" w:sz="0" w:space="0" w:color="auto"/>
        <w:left w:val="none" w:sz="0" w:space="0" w:color="auto"/>
        <w:bottom w:val="none" w:sz="0" w:space="0" w:color="auto"/>
        <w:right w:val="none" w:sz="0" w:space="0" w:color="auto"/>
      </w:divBdr>
    </w:div>
    <w:div w:id="1412044306">
      <w:bodyDiv w:val="1"/>
      <w:marLeft w:val="0"/>
      <w:marRight w:val="0"/>
      <w:marTop w:val="0"/>
      <w:marBottom w:val="0"/>
      <w:divBdr>
        <w:top w:val="none" w:sz="0" w:space="0" w:color="auto"/>
        <w:left w:val="none" w:sz="0" w:space="0" w:color="auto"/>
        <w:bottom w:val="none" w:sz="0" w:space="0" w:color="auto"/>
        <w:right w:val="none" w:sz="0" w:space="0" w:color="auto"/>
      </w:divBdr>
    </w:div>
    <w:div w:id="1452284130">
      <w:bodyDiv w:val="1"/>
      <w:marLeft w:val="0"/>
      <w:marRight w:val="0"/>
      <w:marTop w:val="0"/>
      <w:marBottom w:val="0"/>
      <w:divBdr>
        <w:top w:val="none" w:sz="0" w:space="0" w:color="auto"/>
        <w:left w:val="none" w:sz="0" w:space="0" w:color="auto"/>
        <w:bottom w:val="none" w:sz="0" w:space="0" w:color="auto"/>
        <w:right w:val="none" w:sz="0" w:space="0" w:color="auto"/>
      </w:divBdr>
    </w:div>
    <w:div w:id="1745225757">
      <w:bodyDiv w:val="1"/>
      <w:marLeft w:val="0"/>
      <w:marRight w:val="0"/>
      <w:marTop w:val="0"/>
      <w:marBottom w:val="0"/>
      <w:divBdr>
        <w:top w:val="none" w:sz="0" w:space="0" w:color="auto"/>
        <w:left w:val="none" w:sz="0" w:space="0" w:color="auto"/>
        <w:bottom w:val="none" w:sz="0" w:space="0" w:color="auto"/>
        <w:right w:val="none" w:sz="0" w:space="0" w:color="auto"/>
      </w:divBdr>
    </w:div>
    <w:div w:id="1875968453">
      <w:bodyDiv w:val="1"/>
      <w:marLeft w:val="0"/>
      <w:marRight w:val="0"/>
      <w:marTop w:val="0"/>
      <w:marBottom w:val="0"/>
      <w:divBdr>
        <w:top w:val="none" w:sz="0" w:space="0" w:color="auto"/>
        <w:left w:val="none" w:sz="0" w:space="0" w:color="auto"/>
        <w:bottom w:val="none" w:sz="0" w:space="0" w:color="auto"/>
        <w:right w:val="none" w:sz="0" w:space="0" w:color="auto"/>
      </w:divBdr>
    </w:div>
    <w:div w:id="1898777482">
      <w:bodyDiv w:val="1"/>
      <w:marLeft w:val="0"/>
      <w:marRight w:val="0"/>
      <w:marTop w:val="0"/>
      <w:marBottom w:val="0"/>
      <w:divBdr>
        <w:top w:val="none" w:sz="0" w:space="0" w:color="auto"/>
        <w:left w:val="none" w:sz="0" w:space="0" w:color="auto"/>
        <w:bottom w:val="none" w:sz="0" w:space="0" w:color="auto"/>
        <w:right w:val="none" w:sz="0" w:space="0" w:color="auto"/>
      </w:divBdr>
    </w:div>
    <w:div w:id="20161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enderequalitycommission.vic.gov.au/gender-equality-action-plans" TargetMode="External"/><Relationship Id="rId26" Type="http://schemas.openxmlformats.org/officeDocument/2006/relationships/hyperlink" Target="https://www.humanrights.vic.gov.au/resources/sexual-harassment-guideline/" TargetMode="External"/><Relationship Id="rId39" Type="http://schemas.openxmlformats.org/officeDocument/2006/relationships/fontTable" Target="fontTable.xml"/><Relationship Id="rId21" Type="http://schemas.openxmlformats.org/officeDocument/2006/relationships/hyperlink" Target="https://www.genderequalitycommission.vic.gov.au/workplace-gender-auditing"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enderequalitycommission.vic.gov.au/gender-equality-action-plans" TargetMode="External"/><Relationship Id="rId25" Type="http://schemas.openxmlformats.org/officeDocument/2006/relationships/hyperlink" Target="https://www.genderequalitycommission.vic.gov.au/advice-local-government" TargetMode="External"/><Relationship Id="rId33" Type="http://schemas.openxmlformats.org/officeDocument/2006/relationships/hyperlink" Target="https://www.genderequalitycommission.vic.gov.au/workplace-gender-auditin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enderequalitycommission.vic.gov.au/gender-equality-action-plans" TargetMode="External"/><Relationship Id="rId20" Type="http://schemas.openxmlformats.org/officeDocument/2006/relationships/hyperlink" Target="https://www.genderequalitycommission.vic.gov.au/how-do-i-maintain-my-employees-privacy" TargetMode="External"/><Relationship Id="rId29" Type="http://schemas.openxmlformats.org/officeDocument/2006/relationships/hyperlink" Target="https://www.genderequalitycommission.vic.gov.au/gender-equality-action-pla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psc.vic.gov.au/resources/anzsco-coding-guides/" TargetMode="External"/><Relationship Id="rId32" Type="http://schemas.openxmlformats.org/officeDocument/2006/relationships/hyperlink" Target="https://vpsc.vic.gov.au/resources/prevention-sexual-harassment-workplace/"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enderequalitycommission.vic.gov.au/workplace-gender-auditing" TargetMode="External"/><Relationship Id="rId28" Type="http://schemas.openxmlformats.org/officeDocument/2006/relationships/hyperlink" Target="http://www.genderequalitycommission.vic.gov.au/list-defined-entities"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enderequalitycommission.vic.gov.au/how-do-i-maintain-my-employees-privacy" TargetMode="External"/><Relationship Id="rId31" Type="http://schemas.openxmlformats.org/officeDocument/2006/relationships/hyperlink" Target="https://www.humanrights.vic.gov.au/resources/sexual-harassment-guid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enderequalitycommission.vic.gov.au/workplace-gender-auditing" TargetMode="External"/><Relationship Id="rId27" Type="http://schemas.openxmlformats.org/officeDocument/2006/relationships/hyperlink" Target="https://www.genderequalitycommission.vic.gov.au/leading-practice-resources." TargetMode="External"/><Relationship Id="rId30" Type="http://schemas.openxmlformats.org/officeDocument/2006/relationships/hyperlink" Target="http://www.vic.gov.au/inclusive-language-guide"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apo.org.au/node/311183" TargetMode="External"/><Relationship Id="rId2" Type="http://schemas.openxmlformats.org/officeDocument/2006/relationships/hyperlink" Target="https://www.genderequalitycommission.vic.gov.au/gender-equality-action-plans" TargetMode="External"/><Relationship Id="rId1" Type="http://schemas.openxmlformats.org/officeDocument/2006/relationships/hyperlink" Target="https://www.genderequalitycommission.vic.gov.au/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2bb\OneDrive%20-%20Department%20of%20Health%20and%20Human%20Services.%20Victoria\Documents%20-%20DFFH-FV-CGEPS-GRP\Communications%20and%20Media\Templates\Commission%20Document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3" ma:contentTypeDescription="Create a new document." ma:contentTypeScope="" ma:versionID="17877402eb2b5450b8c8c279b9e76316">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0560089eb0a05097f088b5052870b767"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Enya Cai (CGEPS)</DisplayName>
        <AccountId>13</AccountId>
        <AccountType/>
      </UserInfo>
    </SharedWithUsers>
  </documentManagement>
</p:properties>
</file>

<file path=customXml/itemProps1.xml><?xml version="1.0" encoding="utf-8"?>
<ds:datastoreItem xmlns:ds="http://schemas.openxmlformats.org/officeDocument/2006/customXml" ds:itemID="{A9302258-0A70-4994-9717-581D6B9A5279}">
  <ds:schemaRefs>
    <ds:schemaRef ds:uri="http://schemas.microsoft.com/sharepoint/v3/contenttype/forms"/>
  </ds:schemaRefs>
</ds:datastoreItem>
</file>

<file path=customXml/itemProps2.xml><?xml version="1.0" encoding="utf-8"?>
<ds:datastoreItem xmlns:ds="http://schemas.openxmlformats.org/officeDocument/2006/customXml" ds:itemID="{1A99FE80-9265-4708-9000-6D1F5BEDDF21}">
  <ds:schemaRefs>
    <ds:schemaRef ds:uri="http://schemas.openxmlformats.org/officeDocument/2006/bibliography"/>
  </ds:schemaRefs>
</ds:datastoreItem>
</file>

<file path=customXml/itemProps3.xml><?xml version="1.0" encoding="utf-8"?>
<ds:datastoreItem xmlns:ds="http://schemas.openxmlformats.org/officeDocument/2006/customXml" ds:itemID="{CD147EA9-904A-48C7-A188-38994FBA9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F7FB5-9EE4-4436-8460-CF9888F4CB7C}">
  <ds:schemaRefs>
    <ds:schemaRef ds:uri="http://www.w3.org/2001/XMLSchema"/>
  </ds:schemaRefs>
</ds:datastoreItem>
</file>

<file path=customXml/itemProps5.xml><?xml version="1.0" encoding="utf-8"?>
<ds:datastoreItem xmlns:ds="http://schemas.openxmlformats.org/officeDocument/2006/customXml" ds:itemID="{587F4EB6-544E-402F-A00E-3E62802A119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7cb37dd-16a1-4d7b-8276-5c0e4168f63b"/>
    <ds:schemaRef ds:uri="http://schemas.microsoft.com/office/2006/metadata/properties"/>
    <ds:schemaRef ds:uri="50f00e27-c35f-46eb-9301-c9e2bd2467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Commission Documents - Template.dotx</Template>
  <TotalTime>3417</TotalTime>
  <Pages>1</Pages>
  <Words>6629</Words>
  <Characters>37790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44331</CharactersWithSpaces>
  <SharedDoc>false</SharedDoc>
  <HLinks>
    <vt:vector size="198" baseType="variant">
      <vt:variant>
        <vt:i4>5046343</vt:i4>
      </vt:variant>
      <vt:variant>
        <vt:i4>122</vt:i4>
      </vt:variant>
      <vt:variant>
        <vt:i4>0</vt:i4>
      </vt:variant>
      <vt:variant>
        <vt:i4>5</vt:i4>
      </vt:variant>
      <vt:variant>
        <vt:lpwstr>https://www.genderequalitycommission.vic.gov.au/workplace-gender-auditing</vt:lpwstr>
      </vt:variant>
      <vt:variant>
        <vt:lpwstr/>
      </vt:variant>
      <vt:variant>
        <vt:i4>4390922</vt:i4>
      </vt:variant>
      <vt:variant>
        <vt:i4>119</vt:i4>
      </vt:variant>
      <vt:variant>
        <vt:i4>0</vt:i4>
      </vt:variant>
      <vt:variant>
        <vt:i4>5</vt:i4>
      </vt:variant>
      <vt:variant>
        <vt:lpwstr>https://vpsc.vic.gov.au/resources/prevention-sexual-harassment-workplace/</vt:lpwstr>
      </vt:variant>
      <vt:variant>
        <vt:lpwstr/>
      </vt:variant>
      <vt:variant>
        <vt:i4>4587529</vt:i4>
      </vt:variant>
      <vt:variant>
        <vt:i4>116</vt:i4>
      </vt:variant>
      <vt:variant>
        <vt:i4>0</vt:i4>
      </vt:variant>
      <vt:variant>
        <vt:i4>5</vt:i4>
      </vt:variant>
      <vt:variant>
        <vt:lpwstr>https://www.humanrights.vic.gov.au/resources/sexual-harassment-guideline/</vt:lpwstr>
      </vt:variant>
      <vt:variant>
        <vt:lpwstr/>
      </vt:variant>
      <vt:variant>
        <vt:i4>2228348</vt:i4>
      </vt:variant>
      <vt:variant>
        <vt:i4>113</vt:i4>
      </vt:variant>
      <vt:variant>
        <vt:i4>0</vt:i4>
      </vt:variant>
      <vt:variant>
        <vt:i4>5</vt:i4>
      </vt:variant>
      <vt:variant>
        <vt:lpwstr>http://www.vic.gov.au/inclusive-language-guide</vt:lpwstr>
      </vt:variant>
      <vt:variant>
        <vt:lpwstr/>
      </vt:variant>
      <vt:variant>
        <vt:i4>5701654</vt:i4>
      </vt:variant>
      <vt:variant>
        <vt:i4>110</vt:i4>
      </vt:variant>
      <vt:variant>
        <vt:i4>0</vt:i4>
      </vt:variant>
      <vt:variant>
        <vt:i4>5</vt:i4>
      </vt:variant>
      <vt:variant>
        <vt:lpwstr>https://www.genderequalitycommission.vic.gov.au/gender-equality-action-plans</vt:lpwstr>
      </vt:variant>
      <vt:variant>
        <vt:lpwstr/>
      </vt:variant>
      <vt:variant>
        <vt:i4>131082</vt:i4>
      </vt:variant>
      <vt:variant>
        <vt:i4>107</vt:i4>
      </vt:variant>
      <vt:variant>
        <vt:i4>0</vt:i4>
      </vt:variant>
      <vt:variant>
        <vt:i4>5</vt:i4>
      </vt:variant>
      <vt:variant>
        <vt:lpwstr>http://www.genderequalitycommission.vic.gov.au/list-defined-entities</vt:lpwstr>
      </vt:variant>
      <vt:variant>
        <vt:lpwstr/>
      </vt:variant>
      <vt:variant>
        <vt:i4>3932215</vt:i4>
      </vt:variant>
      <vt:variant>
        <vt:i4>104</vt:i4>
      </vt:variant>
      <vt:variant>
        <vt:i4>0</vt:i4>
      </vt:variant>
      <vt:variant>
        <vt:i4>5</vt:i4>
      </vt:variant>
      <vt:variant>
        <vt:lpwstr>https://www.genderequalitycommission.vic.gov.au/leading-practice-resources.</vt:lpwstr>
      </vt:variant>
      <vt:variant>
        <vt:lpwstr/>
      </vt:variant>
      <vt:variant>
        <vt:i4>4587529</vt:i4>
      </vt:variant>
      <vt:variant>
        <vt:i4>101</vt:i4>
      </vt:variant>
      <vt:variant>
        <vt:i4>0</vt:i4>
      </vt:variant>
      <vt:variant>
        <vt:i4>5</vt:i4>
      </vt:variant>
      <vt:variant>
        <vt:lpwstr>https://www.humanrights.vic.gov.au/resources/sexual-harassment-guideline/</vt:lpwstr>
      </vt:variant>
      <vt:variant>
        <vt:lpwstr/>
      </vt:variant>
      <vt:variant>
        <vt:i4>4522072</vt:i4>
      </vt:variant>
      <vt:variant>
        <vt:i4>98</vt:i4>
      </vt:variant>
      <vt:variant>
        <vt:i4>0</vt:i4>
      </vt:variant>
      <vt:variant>
        <vt:i4>5</vt:i4>
      </vt:variant>
      <vt:variant>
        <vt:lpwstr>https://www.genderequalitycommission.vic.gov.au/advice-local-government</vt:lpwstr>
      </vt:variant>
      <vt:variant>
        <vt:lpwstr>anzsco-guidance-for-local-councils</vt:lpwstr>
      </vt:variant>
      <vt:variant>
        <vt:i4>3014691</vt:i4>
      </vt:variant>
      <vt:variant>
        <vt:i4>95</vt:i4>
      </vt:variant>
      <vt:variant>
        <vt:i4>0</vt:i4>
      </vt:variant>
      <vt:variant>
        <vt:i4>5</vt:i4>
      </vt:variant>
      <vt:variant>
        <vt:lpwstr>https://vpsc.vic.gov.au/resources/anzsco-coding-guides/</vt:lpwstr>
      </vt:variant>
      <vt:variant>
        <vt:lpwstr/>
      </vt:variant>
      <vt:variant>
        <vt:i4>5046343</vt:i4>
      </vt:variant>
      <vt:variant>
        <vt:i4>92</vt:i4>
      </vt:variant>
      <vt:variant>
        <vt:i4>0</vt:i4>
      </vt:variant>
      <vt:variant>
        <vt:i4>5</vt:i4>
      </vt:variant>
      <vt:variant>
        <vt:lpwstr>https://www.genderequalitycommission.vic.gov.au/workplace-gender-auditing</vt:lpwstr>
      </vt:variant>
      <vt:variant>
        <vt:lpwstr/>
      </vt:variant>
      <vt:variant>
        <vt:i4>5046343</vt:i4>
      </vt:variant>
      <vt:variant>
        <vt:i4>89</vt:i4>
      </vt:variant>
      <vt:variant>
        <vt:i4>0</vt:i4>
      </vt:variant>
      <vt:variant>
        <vt:i4>5</vt:i4>
      </vt:variant>
      <vt:variant>
        <vt:lpwstr>https://www.genderequalitycommission.vic.gov.au/workplace-gender-auditing</vt:lpwstr>
      </vt:variant>
      <vt:variant>
        <vt:lpwstr/>
      </vt:variant>
      <vt:variant>
        <vt:i4>5046343</vt:i4>
      </vt:variant>
      <vt:variant>
        <vt:i4>86</vt:i4>
      </vt:variant>
      <vt:variant>
        <vt:i4>0</vt:i4>
      </vt:variant>
      <vt:variant>
        <vt:i4>5</vt:i4>
      </vt:variant>
      <vt:variant>
        <vt:lpwstr>https://www.genderequalitycommission.vic.gov.au/workplace-gender-auditing</vt:lpwstr>
      </vt:variant>
      <vt:variant>
        <vt:lpwstr/>
      </vt:variant>
      <vt:variant>
        <vt:i4>5701654</vt:i4>
      </vt:variant>
      <vt:variant>
        <vt:i4>83</vt:i4>
      </vt:variant>
      <vt:variant>
        <vt:i4>0</vt:i4>
      </vt:variant>
      <vt:variant>
        <vt:i4>5</vt:i4>
      </vt:variant>
      <vt:variant>
        <vt:lpwstr>https://www.genderequalitycommission.vic.gov.au/gender-equality-action-plans</vt:lpwstr>
      </vt:variant>
      <vt:variant>
        <vt:lpwstr/>
      </vt:variant>
      <vt:variant>
        <vt:i4>6488174</vt:i4>
      </vt:variant>
      <vt:variant>
        <vt:i4>77</vt:i4>
      </vt:variant>
      <vt:variant>
        <vt:i4>0</vt:i4>
      </vt:variant>
      <vt:variant>
        <vt:i4>5</vt:i4>
      </vt:variant>
      <vt:variant>
        <vt:lpwstr>https://www.genderequalitycommission.vic.gov.au/how-do-i-maintain-my-employees-privacy</vt:lpwstr>
      </vt:variant>
      <vt:variant>
        <vt:lpwstr/>
      </vt:variant>
      <vt:variant>
        <vt:i4>6488174</vt:i4>
      </vt:variant>
      <vt:variant>
        <vt:i4>74</vt:i4>
      </vt:variant>
      <vt:variant>
        <vt:i4>0</vt:i4>
      </vt:variant>
      <vt:variant>
        <vt:i4>5</vt:i4>
      </vt:variant>
      <vt:variant>
        <vt:lpwstr>https://www.genderequalitycommission.vic.gov.au/how-do-i-maintain-my-employees-privacy</vt:lpwstr>
      </vt:variant>
      <vt:variant>
        <vt:lpwstr/>
      </vt:variant>
      <vt:variant>
        <vt:i4>5701654</vt:i4>
      </vt:variant>
      <vt:variant>
        <vt:i4>71</vt:i4>
      </vt:variant>
      <vt:variant>
        <vt:i4>0</vt:i4>
      </vt:variant>
      <vt:variant>
        <vt:i4>5</vt:i4>
      </vt:variant>
      <vt:variant>
        <vt:lpwstr>https://www.genderequalitycommission.vic.gov.au/gender-equality-action-plans</vt:lpwstr>
      </vt:variant>
      <vt:variant>
        <vt:lpwstr/>
      </vt:variant>
      <vt:variant>
        <vt:i4>5701654</vt:i4>
      </vt:variant>
      <vt:variant>
        <vt:i4>69</vt:i4>
      </vt:variant>
      <vt:variant>
        <vt:i4>0</vt:i4>
      </vt:variant>
      <vt:variant>
        <vt:i4>5</vt:i4>
      </vt:variant>
      <vt:variant>
        <vt:lpwstr>https://www.genderequalitycommission.vic.gov.au/gender-equality-action-plans</vt:lpwstr>
      </vt:variant>
      <vt:variant>
        <vt:lpwstr/>
      </vt:variant>
      <vt:variant>
        <vt:i4>7798874</vt:i4>
      </vt:variant>
      <vt:variant>
        <vt:i4>66</vt:i4>
      </vt:variant>
      <vt:variant>
        <vt:i4>0</vt:i4>
      </vt:variant>
      <vt:variant>
        <vt:i4>5</vt:i4>
      </vt:variant>
      <vt:variant>
        <vt:lpwstr/>
      </vt:variant>
      <vt:variant>
        <vt:lpwstr>_Appendix_1:_Definitions</vt:lpwstr>
      </vt:variant>
      <vt:variant>
        <vt:i4>5701654</vt:i4>
      </vt:variant>
      <vt:variant>
        <vt:i4>63</vt:i4>
      </vt:variant>
      <vt:variant>
        <vt:i4>0</vt:i4>
      </vt:variant>
      <vt:variant>
        <vt:i4>5</vt:i4>
      </vt:variant>
      <vt:variant>
        <vt:lpwstr>https://www.genderequalitycommission.vic.gov.au/gender-equality-action-plans</vt:lpwstr>
      </vt:variant>
      <vt:variant>
        <vt:lpwstr/>
      </vt:variant>
      <vt:variant>
        <vt:i4>1638453</vt:i4>
      </vt:variant>
      <vt:variant>
        <vt:i4>56</vt:i4>
      </vt:variant>
      <vt:variant>
        <vt:i4>0</vt:i4>
      </vt:variant>
      <vt:variant>
        <vt:i4>5</vt:i4>
      </vt:variant>
      <vt:variant>
        <vt:lpwstr/>
      </vt:variant>
      <vt:variant>
        <vt:lpwstr>_Toc77249895</vt:lpwstr>
      </vt:variant>
      <vt:variant>
        <vt:i4>1572917</vt:i4>
      </vt:variant>
      <vt:variant>
        <vt:i4>50</vt:i4>
      </vt:variant>
      <vt:variant>
        <vt:i4>0</vt:i4>
      </vt:variant>
      <vt:variant>
        <vt:i4>5</vt:i4>
      </vt:variant>
      <vt:variant>
        <vt:lpwstr/>
      </vt:variant>
      <vt:variant>
        <vt:lpwstr>_Toc77249894</vt:lpwstr>
      </vt:variant>
      <vt:variant>
        <vt:i4>2031669</vt:i4>
      </vt:variant>
      <vt:variant>
        <vt:i4>44</vt:i4>
      </vt:variant>
      <vt:variant>
        <vt:i4>0</vt:i4>
      </vt:variant>
      <vt:variant>
        <vt:i4>5</vt:i4>
      </vt:variant>
      <vt:variant>
        <vt:lpwstr/>
      </vt:variant>
      <vt:variant>
        <vt:lpwstr>_Toc77249893</vt:lpwstr>
      </vt:variant>
      <vt:variant>
        <vt:i4>1966133</vt:i4>
      </vt:variant>
      <vt:variant>
        <vt:i4>38</vt:i4>
      </vt:variant>
      <vt:variant>
        <vt:i4>0</vt:i4>
      </vt:variant>
      <vt:variant>
        <vt:i4>5</vt:i4>
      </vt:variant>
      <vt:variant>
        <vt:lpwstr/>
      </vt:variant>
      <vt:variant>
        <vt:lpwstr>_Toc77249892</vt:lpwstr>
      </vt:variant>
      <vt:variant>
        <vt:i4>1900597</vt:i4>
      </vt:variant>
      <vt:variant>
        <vt:i4>32</vt:i4>
      </vt:variant>
      <vt:variant>
        <vt:i4>0</vt:i4>
      </vt:variant>
      <vt:variant>
        <vt:i4>5</vt:i4>
      </vt:variant>
      <vt:variant>
        <vt:lpwstr/>
      </vt:variant>
      <vt:variant>
        <vt:lpwstr>_Toc77249891</vt:lpwstr>
      </vt:variant>
      <vt:variant>
        <vt:i4>1835061</vt:i4>
      </vt:variant>
      <vt:variant>
        <vt:i4>26</vt:i4>
      </vt:variant>
      <vt:variant>
        <vt:i4>0</vt:i4>
      </vt:variant>
      <vt:variant>
        <vt:i4>5</vt:i4>
      </vt:variant>
      <vt:variant>
        <vt:lpwstr/>
      </vt:variant>
      <vt:variant>
        <vt:lpwstr>_Toc77249890</vt:lpwstr>
      </vt:variant>
      <vt:variant>
        <vt:i4>1376308</vt:i4>
      </vt:variant>
      <vt:variant>
        <vt:i4>20</vt:i4>
      </vt:variant>
      <vt:variant>
        <vt:i4>0</vt:i4>
      </vt:variant>
      <vt:variant>
        <vt:i4>5</vt:i4>
      </vt:variant>
      <vt:variant>
        <vt:lpwstr/>
      </vt:variant>
      <vt:variant>
        <vt:lpwstr>_Toc77249889</vt:lpwstr>
      </vt:variant>
      <vt:variant>
        <vt:i4>1310772</vt:i4>
      </vt:variant>
      <vt:variant>
        <vt:i4>14</vt:i4>
      </vt:variant>
      <vt:variant>
        <vt:i4>0</vt:i4>
      </vt:variant>
      <vt:variant>
        <vt:i4>5</vt:i4>
      </vt:variant>
      <vt:variant>
        <vt:lpwstr/>
      </vt:variant>
      <vt:variant>
        <vt:lpwstr>_Toc77249888</vt:lpwstr>
      </vt:variant>
      <vt:variant>
        <vt:i4>1769524</vt:i4>
      </vt:variant>
      <vt:variant>
        <vt:i4>8</vt:i4>
      </vt:variant>
      <vt:variant>
        <vt:i4>0</vt:i4>
      </vt:variant>
      <vt:variant>
        <vt:i4>5</vt:i4>
      </vt:variant>
      <vt:variant>
        <vt:lpwstr/>
      </vt:variant>
      <vt:variant>
        <vt:lpwstr>_Toc77249887</vt:lpwstr>
      </vt:variant>
      <vt:variant>
        <vt:i4>1703988</vt:i4>
      </vt:variant>
      <vt:variant>
        <vt:i4>2</vt:i4>
      </vt:variant>
      <vt:variant>
        <vt:i4>0</vt:i4>
      </vt:variant>
      <vt:variant>
        <vt:i4>5</vt:i4>
      </vt:variant>
      <vt:variant>
        <vt:lpwstr/>
      </vt:variant>
      <vt:variant>
        <vt:lpwstr>_Toc77249886</vt:lpwstr>
      </vt:variant>
      <vt:variant>
        <vt:i4>7340088</vt:i4>
      </vt:variant>
      <vt:variant>
        <vt:i4>6</vt:i4>
      </vt:variant>
      <vt:variant>
        <vt:i4>0</vt:i4>
      </vt:variant>
      <vt:variant>
        <vt:i4>5</vt:i4>
      </vt:variant>
      <vt:variant>
        <vt:lpwstr>https://apo.org.au/node/311183</vt:lpwstr>
      </vt:variant>
      <vt:variant>
        <vt:lpwstr/>
      </vt:variant>
      <vt:variant>
        <vt:i4>5701654</vt:i4>
      </vt:variant>
      <vt:variant>
        <vt:i4>3</vt:i4>
      </vt:variant>
      <vt:variant>
        <vt:i4>0</vt:i4>
      </vt:variant>
      <vt:variant>
        <vt:i4>5</vt:i4>
      </vt:variant>
      <vt:variant>
        <vt:lpwstr>https://www.genderequalitycommission.vic.gov.au/gender-equality-action-plans</vt:lpwstr>
      </vt:variant>
      <vt:variant>
        <vt:lpwstr/>
      </vt:variant>
      <vt:variant>
        <vt:i4>6160396</vt:i4>
      </vt:variant>
      <vt:variant>
        <vt:i4>0</vt:i4>
      </vt:variant>
      <vt:variant>
        <vt:i4>0</vt:i4>
      </vt:variant>
      <vt:variant>
        <vt:i4>5</vt:i4>
      </vt:variant>
      <vt:variant>
        <vt:lpwstr>https://www.genderequalitycommission.vic.gov.au/guidance</vt:lpwstr>
      </vt:variant>
      <vt:variant>
        <vt:lpwstr>case-for-change-slidepack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Cooper</dc:creator>
  <cp:keywords/>
  <dc:description/>
  <cp:lastModifiedBy>Margot Paxman (CGEPS)</cp:lastModifiedBy>
  <cp:revision>302</cp:revision>
  <cp:lastPrinted>2020-02-18T11:31:00Z</cp:lastPrinted>
  <dcterms:created xsi:type="dcterms:W3CDTF">2021-06-14T11:39:00Z</dcterms:created>
  <dcterms:modified xsi:type="dcterms:W3CDTF">2021-07-15T21:01:00Z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eden.manning@dpc.vic.gov.au</vt:lpwstr>
  </property>
  <property fmtid="{D5CDD505-2E9C-101B-9397-08002B2CF9AE}" pid="5" name="MSIP_Label_7158ebbd-6c5e-441f-bfc9-4eb8c11e3978_SetDate">
    <vt:lpwstr>2020-01-12T22:58:10.8406723Z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0x010100555DF7B4C3396B4DA0F821E47AA844D3</vt:lpwstr>
  </property>
  <property fmtid="{D5CDD505-2E9C-101B-9397-08002B2CF9AE}" pid="10" name="MSIP_Label_43e64453-338c-4f93-8a4d-0039a0a41f2a_Enabled">
    <vt:lpwstr>true</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2a7faae4-1fb0-4bde-9de3-902684f8dcb4</vt:lpwstr>
  </property>
  <property fmtid="{D5CDD505-2E9C-101B-9397-08002B2CF9AE}" pid="15" name="MSIP_Label_43e64453-338c-4f93-8a4d-0039a0a41f2a_ContentBits">
    <vt:lpwstr>2</vt:lpwstr>
  </property>
  <property fmtid="{D5CDD505-2E9C-101B-9397-08002B2CF9AE}" pid="16" name="MSIP_Label_43e64453-338c-4f93-8a4d-0039a0a41f2a_SetDate">
    <vt:lpwstr>2021-07-12T04:45:44Z</vt:lpwstr>
  </property>
</Properties>
</file>